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CBAB271">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最高人民法院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关于审理海洋生态环境损害赔偿案件</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若干问题的规定</w:t>
      </w:r>
    </w:p>
    <w:p w14:paraId="70C7C74E">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（2017年11月20日最高人民法院审判委员会第1727次会议通过</w:t>
      </w:r>
      <w:r>
        <w:rPr>
          <w:rFonts w:hint="eastAsia" w:ascii="Times New Roman" w:hAnsi="Times New Roman" w:eastAsia="仿宋" w:cs="仿宋"/>
          <w:sz w:val="32"/>
          <w:szCs w:val="32"/>
          <w:lang w:val="en-US" w:eastAsia="zh-CN"/>
        </w:rPr>
        <w:t>　</w:t>
      </w:r>
      <w:r>
        <w:rPr>
          <w:rFonts w:hint="eastAsia" w:ascii="Times New Roman" w:hAnsi="Times New Roman" w:eastAsia="楷体" w:cs="楷体"/>
          <w:bCs w:val="0"/>
          <w:spacing w:val="0"/>
          <w:sz w:val="32"/>
          <w:szCs w:val="32"/>
          <w:shd w:val="clear" w:color="auto" w:fill="FFFFFF"/>
        </w:rPr>
        <w:t>根据2026年7月27日最高人民法院审判委员会第1980次会议通过的《最高人民法院关于修改〈最高人民法院关于审理船舶油污损害赔偿纠纷案件若干问题的规定〉等九件司法解释的决定》修正</w:t>
      </w:r>
      <w:r>
        <w:rPr>
          <w:rFonts w:hint="eastAsia" w:ascii="Times New Roman" w:hAnsi="Times New Roman" w:eastAsia="仿宋" w:cs="仿宋"/>
          <w:sz w:val="32"/>
          <w:szCs w:val="32"/>
          <w:lang w:val="en-US" w:eastAsia="zh-CN"/>
        </w:rPr>
        <w:t>　</w:t>
      </w:r>
      <w:r>
        <w:rPr>
          <w:rFonts w:hint="eastAsia" w:ascii="Times New Roman" w:hAnsi="Times New Roman" w:eastAsia="楷体" w:cs="楷体"/>
          <w:bCs w:val="0"/>
          <w:spacing w:val="0"/>
          <w:sz w:val="32"/>
          <w:szCs w:val="32"/>
          <w:shd w:val="clear" w:color="auto" w:fill="FFFFFF"/>
        </w:rPr>
        <w:t>该修正自2026年8月15日起施行）</w:t>
      </w:r>
    </w:p>
    <w:p w14:paraId="153230DD">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为正确审理海洋生态环境损害赔偿案件，根据《中华人民共和国生态环境法典》《中华人民共和国民事诉讼法》《中华人民共和国海事诉讼特别程序法》等法律的规定，结合审判实践，制定本规定。</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第一条</w:t>
      </w:r>
      <w:r>
        <w:rPr>
          <w:rFonts w:hint="eastAsia" w:ascii="Times New Roman" w:hAnsi="Times New Roman" w:eastAsia="仿宋" w:cs="仿宋"/>
          <w:sz w:val="32"/>
          <w:szCs w:val="32"/>
          <w:lang w:val="en-US" w:eastAsia="zh-CN"/>
        </w:rPr>
        <w:t>　人民法院审理为请求赔偿生态环境法典第一千零七十四条规定的污染海洋环境、破坏海洋生态给国家造成的损失而提起的诉讼，适用本规定。</w:t>
      </w:r>
    </w:p>
    <w:p w14:paraId="45530E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第二条</w:t>
      </w:r>
      <w:r>
        <w:rPr>
          <w:rFonts w:hint="eastAsia" w:ascii="Times New Roman" w:hAnsi="Times New Roman" w:eastAsia="仿宋" w:cs="仿宋"/>
          <w:sz w:val="32"/>
          <w:szCs w:val="32"/>
          <w:lang w:val="en-US" w:eastAsia="zh-CN"/>
        </w:rPr>
        <w:t>　在海上或者沿海陆域内从事活动，对中华人民共和国管辖海域内海洋环境、海洋生态造成损害，由此提起的海洋生态环境损害赔偿诉讼，由损害行为发生地、损害结果地或者采取预防措施地海事法院管辖。</w:t>
      </w:r>
    </w:p>
    <w:p w14:paraId="797272D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第三条</w:t>
      </w:r>
      <w:r>
        <w:rPr>
          <w:rFonts w:hint="eastAsia" w:ascii="Times New Roman" w:hAnsi="Times New Roman" w:eastAsia="仿宋" w:cs="仿宋"/>
          <w:sz w:val="32"/>
          <w:szCs w:val="32"/>
          <w:lang w:val="en-US" w:eastAsia="zh-CN"/>
        </w:rPr>
        <w:t>　生态环境法典第一千零七十四条规定的行使海洋生态环境监督管理权的机关，根据其职能分工提起海洋生态环境损害赔偿诉讼，人民法院应予受理。</w:t>
      </w:r>
    </w:p>
    <w:p w14:paraId="7B20A3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第四条</w:t>
      </w:r>
      <w:r>
        <w:rPr>
          <w:rFonts w:hint="eastAsia" w:ascii="Times New Roman" w:hAnsi="Times New Roman" w:eastAsia="仿宋" w:cs="仿宋"/>
          <w:sz w:val="32"/>
          <w:szCs w:val="32"/>
          <w:lang w:val="en-US" w:eastAsia="zh-CN"/>
        </w:rPr>
        <w:t>　人民法院受理海洋生态环境损害赔偿诉讼，应当在立案之日起五日内公告案件受理情况。</w:t>
      </w:r>
    </w:p>
    <w:p w14:paraId="0DB061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人民法院在审理中发现可能存在下列情形之一的，可以书面告知其他依法行使海洋生态环境监督管理权的机关：</w:t>
      </w:r>
    </w:p>
    <w:p w14:paraId="35BFEBE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（一）同一损害涉及不同区域或者不同部门；</w:t>
      </w:r>
    </w:p>
    <w:p w14:paraId="4C4D46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（二）不同损害应由其他依法行使海洋生态环境监督管理权的机关索赔。</w:t>
      </w:r>
    </w:p>
    <w:p w14:paraId="7F17612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本规定所称不同损害，包括海洋生态环境损害中不同种类和同种类但可以明确区分属不同机关索赔范围的损害。</w:t>
      </w:r>
    </w:p>
    <w:p w14:paraId="6E81A2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第五条</w:t>
      </w:r>
      <w:r>
        <w:rPr>
          <w:rFonts w:hint="eastAsia" w:ascii="Times New Roman" w:hAnsi="Times New Roman" w:eastAsia="仿宋" w:cs="仿宋"/>
          <w:sz w:val="32"/>
          <w:szCs w:val="32"/>
          <w:lang w:val="en-US" w:eastAsia="zh-CN"/>
        </w:rPr>
        <w:t>　在人民法院依照本规定第四条的规定发布公告之日起三十日内，或者书面告知之日起七日内，对同一损害有权提起诉讼的其他机关申请参加诉讼，经审查符合法定条件的，人民法院应当将其列为共同原告；逾期申请的，人民法院不予准许。裁判生效后另行起诉的，人民法院参照《最高人民法院关于审理生态环境民事公益诉讼案件适用法律若干问题的解释》第二十八条的规定处理。</w:t>
      </w:r>
    </w:p>
    <w:p w14:paraId="09B4F83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对于不同损害，可以由各依法行使海洋生态环境监督管理权的机关分别提起诉讼；索赔人共同起诉或者在规定期限内申请参加诉讼的，人民法院依照民事诉讼法第五十五条第一款的规定决定是否按共同诉讼进行审理。</w:t>
      </w:r>
    </w:p>
    <w:p w14:paraId="2A7A23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第六条</w:t>
      </w:r>
      <w:r>
        <w:rPr>
          <w:rFonts w:hint="eastAsia" w:ascii="Times New Roman" w:hAnsi="Times New Roman" w:eastAsia="仿宋" w:cs="仿宋"/>
          <w:sz w:val="32"/>
          <w:szCs w:val="32"/>
          <w:lang w:val="en-US" w:eastAsia="zh-CN"/>
        </w:rPr>
        <w:t>　依法行使海洋生态环境监督管理权的机关请求污染海洋环境、破坏海洋生态的责任人承担停止侵害、排除妨碍、消除危险、修复生态环境、赔礼道歉、赔偿损失等民事责任的，人民法院应当根据诉讼请求以及具体案情，合理判定责任人承担民事责任。</w:t>
      </w:r>
    </w:p>
    <w:p w14:paraId="5D7AA5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第七条</w:t>
      </w:r>
      <w:r>
        <w:rPr>
          <w:rFonts w:hint="eastAsia" w:ascii="Times New Roman" w:hAnsi="Times New Roman" w:eastAsia="仿宋" w:cs="仿宋"/>
          <w:sz w:val="32"/>
          <w:szCs w:val="32"/>
          <w:lang w:val="en-US" w:eastAsia="zh-CN"/>
        </w:rPr>
        <w:t>　污染海洋环境、破坏海洋生态损害赔偿范围包括：</w:t>
      </w:r>
    </w:p>
    <w:p w14:paraId="3BED89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（一）预防措施费用，即为减轻或者防止海洋环境污染、海洋生态破坏所采取合理应急处置措施而发生的费用；</w:t>
      </w:r>
    </w:p>
    <w:p w14:paraId="04781A1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（二）恢复费用，即采取或者将要采取措施恢复或者部分恢复受损害海洋环境与生态功能所需费用；</w:t>
      </w:r>
    </w:p>
    <w:p w14:paraId="28D325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（三）恢复期间损失，即受损害的海洋环境与生态功能部分或者完全恢复前的海洋环境与生态功能损失；</w:t>
      </w:r>
    </w:p>
    <w:p w14:paraId="70D0B1B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（四）调查评估费用，即调查、勘查、监测污染区域和评估污染等损害风险与实际损害所发生的费用；</w:t>
      </w:r>
    </w:p>
    <w:p w14:paraId="70A830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（五）海洋生态环境功能永久性损害造成的损失。</w:t>
      </w:r>
    </w:p>
    <w:p w14:paraId="2E26E9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第八条</w:t>
      </w:r>
      <w:r>
        <w:rPr>
          <w:rFonts w:hint="eastAsia" w:ascii="Times New Roman" w:hAnsi="Times New Roman" w:eastAsia="仿宋" w:cs="仿宋"/>
          <w:sz w:val="32"/>
          <w:szCs w:val="32"/>
          <w:lang w:val="en-US" w:eastAsia="zh-CN"/>
        </w:rPr>
        <w:t>　恢复费用，限于现实修复实际发生和未来修复必然发生的合理费用，包括制定和实施修复方案和监测、监管产生的费用。</w:t>
      </w:r>
    </w:p>
    <w:p w14:paraId="2D293A4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未来修复必然发生的合理费用和恢复期间损失，可以根据有资格的鉴定评估机构依据法律法规、国家主管部门颁布的鉴定评估技术规范作出的鉴定意见予以确定，但当事人有相反证据足以反驳的除外。</w:t>
      </w:r>
    </w:p>
    <w:p w14:paraId="0311BA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预防措施费用和调查评估费用，以实际发生和未来必然发生的合理费用计算。</w:t>
      </w:r>
    </w:p>
    <w:p w14:paraId="1C0D55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责任人已经采取合理预防、恢复措施，其主张相应减少损失赔偿数额的，人民法院应予支持。</w:t>
      </w:r>
    </w:p>
    <w:p w14:paraId="6E4737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第九条</w:t>
      </w:r>
      <w:r>
        <w:rPr>
          <w:rFonts w:hint="eastAsia" w:ascii="Times New Roman" w:hAnsi="Times New Roman" w:eastAsia="仿宋" w:cs="仿宋"/>
          <w:sz w:val="32"/>
          <w:szCs w:val="32"/>
          <w:lang w:val="en-US" w:eastAsia="zh-CN"/>
        </w:rPr>
        <w:t>　</w:t>
      </w:r>
      <w:bookmarkStart w:id="0" w:name="_GoBack"/>
      <w:bookmarkEnd w:id="0"/>
      <w:r>
        <w:rPr>
          <w:rFonts w:hint="eastAsia" w:ascii="Times New Roman" w:hAnsi="Times New Roman" w:eastAsia="仿宋" w:cs="仿宋"/>
          <w:sz w:val="32"/>
          <w:szCs w:val="32"/>
          <w:lang w:val="en-US" w:eastAsia="zh-CN"/>
        </w:rPr>
        <w:t>依照本规定第八条的规定难以确定恢复费用和恢复期间损失的，人民法院可以根据责任人因损害行为所获得的收益或者所减少支付的污染防治费用，合理确定损失赔偿数额。</w:t>
      </w:r>
    </w:p>
    <w:p w14:paraId="5174167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前款规定的收益或者费用无法认定的，可以参照政府部门相关统计资料或者其他证据所证明的同区域同类生产经营者同期平均收入、同期平均污染防治费用，合理酌定。</w:t>
      </w:r>
    </w:p>
    <w:p w14:paraId="3250E4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第十条</w:t>
      </w:r>
      <w:r>
        <w:rPr>
          <w:rFonts w:hint="eastAsia" w:ascii="Times New Roman" w:hAnsi="Times New Roman" w:eastAsia="仿宋" w:cs="仿宋"/>
          <w:sz w:val="32"/>
          <w:szCs w:val="32"/>
          <w:lang w:val="en-US" w:eastAsia="zh-CN"/>
        </w:rPr>
        <w:t>　人民法院判决责任人赔偿污染海洋环境、破坏海洋生态损害的，可以一并写明依法行使海洋生态环境监督管理权的机关受领赔款后向国库账户交纳。</w:t>
      </w:r>
    </w:p>
    <w:p w14:paraId="2560F9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发生法律效力的裁判需要采取强制执行措施的，应当移送执行。</w:t>
      </w:r>
    </w:p>
    <w:p w14:paraId="26FE53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第十一条</w:t>
      </w:r>
      <w:r>
        <w:rPr>
          <w:rFonts w:hint="eastAsia" w:ascii="Times New Roman" w:hAnsi="Times New Roman" w:eastAsia="仿宋" w:cs="仿宋"/>
          <w:sz w:val="32"/>
          <w:szCs w:val="32"/>
          <w:lang w:val="en-US" w:eastAsia="zh-CN"/>
        </w:rPr>
        <w:t>　海洋生态环境损害赔偿诉讼当事人达成调解协议或者自行达成和解协议的，人民法院依照《最高人民法院关于审理生态环境民事公益诉讼案件适用法律若干问题的解释》第二十五条的规定处理。</w:t>
      </w:r>
    </w:p>
    <w:p w14:paraId="119277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第十二条</w:t>
      </w:r>
      <w:r>
        <w:rPr>
          <w:rFonts w:hint="eastAsia" w:ascii="Times New Roman" w:hAnsi="Times New Roman" w:eastAsia="仿宋" w:cs="仿宋"/>
          <w:sz w:val="32"/>
          <w:szCs w:val="32"/>
          <w:lang w:val="en-US" w:eastAsia="zh-CN"/>
        </w:rPr>
        <w:t>　人民法院审理海洋生态环境损害赔偿案件，本规定没有规定的，适用《最高人民法院关于审理生态环境侵权责任纠纷案件适用法律若干问题的解释》《最高人民法院关于审理生态环境民事公益诉讼案件适用法律若干问题的解释》等相关司法解释的规定。</w:t>
      </w:r>
    </w:p>
    <w:p w14:paraId="439A40F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在海上或者沿海陆域内从事活动，对中华人民共和国管辖海域内海洋环境、海洋生态形成损害威胁，人民法院审理由此引起的赔偿纠纷案件，适用本规定。</w:t>
      </w:r>
    </w:p>
    <w:p w14:paraId="54480E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人民法院审理因船舶引起的海洋生态环境损害赔偿案件，法律、行政法规、司法解释另有特别规定的，依照其规定。</w:t>
      </w:r>
    </w:p>
    <w:p w14:paraId="1320D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黑体" w:cs="黑体"/>
          <w:sz w:val="32"/>
          <w:lang w:val="en-US" w:eastAsia="zh-CN"/>
        </w:rPr>
        <w:t>第十三条</w:t>
      </w:r>
      <w:r>
        <w:rPr>
          <w:rFonts w:hint="eastAsia" w:ascii="Times New Roman" w:hAnsi="Times New Roman" w:eastAsia="仿宋" w:cs="仿宋"/>
          <w:sz w:val="32"/>
          <w:szCs w:val="32"/>
          <w:lang w:val="en-US" w:eastAsia="zh-CN"/>
        </w:rPr>
        <w:t>　本规定自2018年1月15日起施行，人民法院尚未审结的一审、二审案件适用本规定；本规定施行前已经作出生效裁判的案件，本规定施行后依法再审的，不适用本规定。</w:t>
      </w:r>
    </w:p>
    <w:p w14:paraId="11A5A6A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 w:cs="仿宋"/>
          <w:sz w:val="32"/>
          <w:szCs w:val="32"/>
          <w:lang w:val="en-US" w:eastAsia="zh-CN"/>
        </w:rPr>
        <w:t>本规定施行后，最高人民法院以前颁布的司法解释与本规定不一致的，以本规定为准。</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ˎ̥">
    <w:altName w:val="Noto Sans SC"/>
    <w:panose1 w:val="00000000000000000000"/>
    <w:charset w:val="00"/>
    <w:family w:val="roman"/>
    <w:pitch w:val="default"/>
    <w:sig w:usb0="00000000" w:usb1="00000000" w:usb2="00000000" w:usb3="00000000" w:csb0="00040001" w:csb1="00000000"/>
  </w:font>
  <w:font w:name="Noto Sans SC">
    <w:panose1 w:val="020B0200000000000000"/>
    <w:charset w:val="86"/>
    <w:family w:val="auto"/>
    <w:pitch w:val="default"/>
    <w:sig w:usb0="20000083" w:usb1="2ADF3C10" w:usb2="00000016" w:usb3="00000000" w:csb0="60060107"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3A458E"/>
    <w:rsid w:val="479733DA"/>
    <w:rsid w:val="481351D2"/>
    <w:rsid w:val="4AB1034C"/>
    <w:rsid w:val="5248189E"/>
    <w:rsid w:val="53543565"/>
    <w:rsid w:val="558A062C"/>
    <w:rsid w:val="55D20C3F"/>
    <w:rsid w:val="563D1124"/>
    <w:rsid w:val="57A33AC9"/>
    <w:rsid w:val="57CC3356"/>
    <w:rsid w:val="5B2F58ED"/>
    <w:rsid w:val="5B8E0527"/>
    <w:rsid w:val="5BE5455C"/>
    <w:rsid w:val="5BE87A71"/>
    <w:rsid w:val="5F066F8F"/>
    <w:rsid w:val="61DD4C22"/>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5</Pages>
  <Words>2171</Words>
  <Characters>2194</Characters>
  <Lines>87</Lines>
  <Paragraphs>24</Paragraphs>
  <TotalTime>0</TotalTime>
  <ScaleCrop>false</ScaleCrop>
  <LinksUpToDate>false</LinksUpToDate>
  <CharactersWithSpaces>2208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麻花</cp:lastModifiedBy>
  <cp:lastPrinted>2024-07-19T01:09:00Z</cp:lastPrinted>
  <dcterms:modified xsi:type="dcterms:W3CDTF">2026-09-29T07:49:44Z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2052-12.1.0.28505</vt:lpwstr>
  </property>
  <property fmtid="{D5CDD505-2E9C-101B-9397-08002B2CF9AE}" pid="4" name="KSOTemplateDocerSaveRecord">
    <vt:lpwstr>eyJoZGlkIjoiMGZmY2QzNzQxNzZmZjBiNDNkNTZkZjlhNjgzNTI2YTUiLCJ1c2VySWQiOiIyNDQ5MjY5MzgifQ==</vt:lpwstr>
  </property>
</Properties>
</file>