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56FE45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关于审理生态环境侵权纠纷案件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适用惩罚性赔偿的解释</w:t>
      </w:r>
    </w:p>
    <w:p w14:paraId="632EB55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（2021年12月27日最高人民法院审判委员会第1858次会议通过　根据2026年7月27日最高人民法院审判委员会第1980次会议通过的《最高人民法院关于修改〈最高人民法院关于审理船舶油污损害赔偿纠纷案件若干问题的规定〉等九件司法解释的决定》修正　该修正自2026年8月15日起施行）</w:t>
      </w:r>
    </w:p>
    <w:p w14:paraId="2B57C3E7">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妥善审理生态环境侵权纠纷案件，全面加强生态环境保护，正确适用惩罚性赔偿，根据《中华人民共和国生态环境法典》《中华人民共和国民法典》《中华人民共和国民事诉讼法》等相关法律规定，结合审判实践，制定本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人民法院审理生态环境侵权纠纷案件适用惩罚性赔偿，应当严格审慎，注重公平公正，依法保护民事主体合法权益，统筹生态环境保护和经济社会发展。</w:t>
      </w:r>
    </w:p>
    <w:p w14:paraId="7FB9A4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因环境污染、生态破坏受到损害的自然人、法人或者非法人组织，依据民法典第一千二百三十二条的规定，请求判令侵权人承担惩罚性赔偿责任的，适用本解释。</w:t>
      </w:r>
    </w:p>
    <w:p w14:paraId="75E092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被侵权人在生态环境侵权纠纷案件中请求惩罚性赔偿的，应当在起诉时明确赔偿数额以及所依据的事实和理由。</w:t>
      </w:r>
    </w:p>
    <w:p w14:paraId="6DFA7B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被侵权人在生态环境侵权纠纷案件中没有提出惩罚性赔偿的诉讼请求，诉讼终结后又基于同一污染环境、破坏生态事实另行起诉请求惩罚性赔偿的，人民法院不予受理。</w:t>
      </w:r>
    </w:p>
    <w:p w14:paraId="2C844C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被侵权人主张侵权人承担惩罚性赔偿责任的，应当提供证据证明以下事实：</w:t>
      </w:r>
    </w:p>
    <w:p w14:paraId="594B95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（一）侵权人污染环境、破坏生态的行为违反法律规定；</w:t>
      </w:r>
    </w:p>
    <w:p w14:paraId="5EC7A1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（二）侵权人具有污染环境、破坏生态的故意；</w:t>
      </w:r>
    </w:p>
    <w:p w14:paraId="732CB4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（三）侵权人污染环境、破坏生态的行为造成严重后果。</w:t>
      </w:r>
    </w:p>
    <w:p w14:paraId="631392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人民法院认定侵权人污染环境、破坏生态的行为是否违反法律规定，应当以法律、法规为依据，可以参照规章的规定。</w:t>
      </w:r>
    </w:p>
    <w:p w14:paraId="12BF2B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人民法院认定侵权人是否具有污染环境、破坏生态的故意，应当根据侵权人的职业经历、专业背景或者经营范围，因同一或者同类行为受到行政处罚或者刑事追究的情况，以及污染物的种类，污染环境、破坏生态行为的方式等因素综合判断。</w:t>
      </w:r>
    </w:p>
    <w:p w14:paraId="7B95AD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人民法院认定侵权人污染环境、破坏生态行为是否造成严重后果，应当根据污染环境、破坏生态行为的持续时间、地域范围，造成环境污染、生态破坏的范围和程度，以及造成的社会影响等因素综合判断。</w:t>
      </w:r>
    </w:p>
    <w:p w14:paraId="714B2A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侵权人污染环境、破坏生态行为造成他人死亡、健康严重损害，重大财产损失，生态环境严重损害或者重大不良社会影响的，人民法院应当认定为造成严重后果。</w:t>
      </w:r>
    </w:p>
    <w:p w14:paraId="5134C1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人民法院确定惩罚性赔偿金数额，应当以环境污染、生态破坏造成的人身损害赔偿金、财产损失数额作为计算基数。</w:t>
      </w:r>
    </w:p>
    <w:p w14:paraId="091B9D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前款所称人身损害赔偿金、财产损失数额，依照民法典第一千一百七十九条、第一千一百八十四条规定予以确定。法律另有规定的，依照其规定。</w:t>
      </w:r>
    </w:p>
    <w:p w14:paraId="5958F9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人民法院确定惩罚性赔偿金数额，应当综合考虑侵权人的恶意程度、侵权后果的严重程度、侵权人因污染环境、破坏生态行为所获得的利益或者侵权人所采取的修复措施及其效果等因素，但一般不超过人身损害赔偿金、财产损失数额的二倍。</w:t>
      </w:r>
    </w:p>
    <w:p w14:paraId="39A6CE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因同一污染环境、破坏生态行为已经被行政机关给予罚款或者被人民法院判处罚金，侵权人主张免除惩罚性赔偿责任的，人民法院不予支持，但在确定惩罚性赔偿金数额时可以综合考虑。</w:t>
      </w:r>
    </w:p>
    <w:p w14:paraId="499368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侵权人因同一污染环境、破坏生态行为，应当承担包括惩罚性赔偿在内的民事责任、行政责任和刑事责任，其财产不足以支付的，应当优先用于承担民事责任。</w:t>
      </w:r>
    </w:p>
    <w:p w14:paraId="53ADB1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侵权人因同一污染环境、破坏生态行为，应当承担包括惩罚性赔偿在内的民事责任，其财产不足以支付的，应当优先用于承担惩罚性赔偿以外的其他责任。</w:t>
      </w:r>
    </w:p>
    <w:p w14:paraId="1B95C6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国家规定的机关或者法律规定的组织作为被侵权人代表，请求判令侵权人承担惩罚性赔偿责任的，人民法院可以参照前述规定予以处理。但惩罚性赔偿金数额的确定，应当以生态环境受到损害至修复完成期间服务功能丧失导致的损失、生态环境功能永久性损害造成的损失数额作为计算基数。</w:t>
      </w:r>
    </w:p>
    <w:p w14:paraId="202334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侵权行为实施地、损害结果发生地在中华人民共和国管辖海域内的海洋生态环境侵权纠纷案件惩罚性赔偿问题，另行规定。</w:t>
      </w:r>
    </w:p>
    <w:p w14:paraId="26D9E2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本规定自2022年1月20日起施行。</w:t>
      </w:r>
      <w:bookmarkStart w:id="0" w:name="_GoBack"/>
      <w:bookmarkEnd w:id="0"/>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2F562BD9"/>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1615</Words>
  <Characters>1638</Characters>
  <Lines>87</Lines>
  <Paragraphs>24</Paragraphs>
  <TotalTime>136</TotalTime>
  <ScaleCrop>false</ScaleCrop>
  <LinksUpToDate>false</LinksUpToDate>
  <CharactersWithSpaces>1653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2026-09-29T07:02:57Z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