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61008288">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最高人民法院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关于审理船舶油污损害赔偿纠纷案件</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若干问题的规定</w:t>
      </w:r>
    </w:p>
    <w:p w14:paraId="63F9F0B4">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（2011年1月10日最高人民法院审判委员会第1509次会议通过　根据2020年12月23日最高人民法院审判委员会第1823次会议通过的《最高人民法院关于修改〈最高人民法院关于破产企业国有划拨土地使用权应否列入破产财产等问题的批复〉等二十九件商事类司法解释的决定》第一次修正　根据2026年7月27日最高人民法院审判委员会第1980次会议通过的《最高人民法院关于修改〈最高人民法院关于审理船舶油污损害赔偿纠纷案件若干问题的规定〉等九件司法解释的决定》第二次修正　该修正自2026年8月15日起施行）</w:t>
      </w:r>
    </w:p>
    <w:p w14:paraId="3F4C7A41">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正确审理船舶油污损害赔偿纠纷案件，依照《中华人民共和国生态环境法典》《中华人民共和国民法典》《中华人民共和国海商法》《中华人民共和国民事诉讼法》《中华人民共和国海事诉讼特别程序法》等法律法规以及中华人民共和国缔结或者参加的有关国际条约，结合审判实践，制定本规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第一条</w:t>
      </w:r>
      <w:r>
        <w:rPr>
          <w:rFonts w:hint="eastAsia" w:ascii="Times New Roman" w:hAnsi="Times New Roman" w:eastAsia="仿宋" w:cs="仿宋"/>
          <w:sz w:val="32"/>
          <w:szCs w:val="32"/>
          <w:lang w:val="en-US" w:eastAsia="zh-CN"/>
        </w:rPr>
        <w:t>　船舶发生油污事故，对中华人民共和国领域和管辖的其他海域造成油污损害或者形成油污损害威胁，人民法院审理相关船舶油污损害赔偿纠纷案件，适用本规定。</w:t>
      </w:r>
    </w:p>
    <w:p w14:paraId="14B6953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第二条</w:t>
      </w:r>
      <w:r>
        <w:rPr>
          <w:rFonts w:hint="eastAsia" w:ascii="Times New Roman" w:hAnsi="Times New Roman" w:eastAsia="仿宋" w:cs="仿宋"/>
          <w:sz w:val="32"/>
          <w:szCs w:val="32"/>
          <w:lang w:val="en-US" w:eastAsia="zh-CN"/>
        </w:rPr>
        <w:t>　当事人就油轮装载持久性油类造成的油污损害提起诉讼、申请设立油污损害赔偿责任限制基金，由船舶油污事故发生地海事法院管辖。</w:t>
      </w:r>
    </w:p>
    <w:p w14:paraId="357477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油轮装载持久性油类引起的船舶油污事故，发生在中华人民共和国领域和管辖的其他海域外，对中华人民共和国领域和管辖的其他海域造成油污损害或者形成油污损害威胁，当事人就船舶油污事故造成的损害提起诉讼、申请设立油污损害赔偿责任限制基金，由油污损害结果地或者采取预防油污措施地海事法院管辖。</w:t>
      </w:r>
    </w:p>
    <w:p w14:paraId="585D7C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第三条</w:t>
      </w:r>
      <w:r>
        <w:rPr>
          <w:rFonts w:hint="eastAsia" w:ascii="Times New Roman" w:hAnsi="Times New Roman" w:eastAsia="仿宋" w:cs="仿宋"/>
          <w:sz w:val="32"/>
          <w:szCs w:val="32"/>
          <w:lang w:val="en-US" w:eastAsia="zh-CN"/>
        </w:rPr>
        <w:t>　两艘或者两艘以上船舶泄漏油类造成油污损害，受损害人请求各泄漏油船舶所有人承担赔偿责任，按照泄漏油数量及泄漏油类对环境的危害性等因素能够合理分开各自造成的损害，由各泄漏油船舶所有人分别承担责任；不能合理分开各自造成的损害，各泄漏油船舶所有人承担连带责任。但泄漏油船舶所有人依法免予承担责任的除外。</w:t>
      </w:r>
    </w:p>
    <w:p w14:paraId="3E4ECD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各泄漏油船舶所有人对受损害人承担连带责任的，相互之间根据各自责任大小确定相应的赔偿数额；难以确定责任大小的，平均承担赔偿责任。泄漏油船舶所有人支付超出自己应赔偿的数额，有权向其他泄漏油船舶所有人追偿。</w:t>
      </w:r>
    </w:p>
    <w:p w14:paraId="33AA1B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第四条</w:t>
      </w:r>
      <w:r>
        <w:rPr>
          <w:rFonts w:hint="eastAsia" w:ascii="Times New Roman" w:hAnsi="Times New Roman" w:eastAsia="仿宋" w:cs="仿宋"/>
          <w:sz w:val="32"/>
          <w:szCs w:val="32"/>
          <w:lang w:val="en-US" w:eastAsia="zh-CN"/>
        </w:rPr>
        <w:t>　船舶互有过失碰撞引起油类泄漏造成油污损害的，受损害人可以请求泄漏油船舶所有人承担全部赔偿责任。</w:t>
      </w:r>
    </w:p>
    <w:p w14:paraId="045F6A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第五条</w:t>
      </w:r>
      <w:r>
        <w:rPr>
          <w:rFonts w:hint="eastAsia" w:ascii="Times New Roman" w:hAnsi="Times New Roman" w:eastAsia="仿宋" w:cs="仿宋"/>
          <w:sz w:val="32"/>
          <w:szCs w:val="32"/>
          <w:lang w:val="en-US" w:eastAsia="zh-CN"/>
        </w:rPr>
        <w:t>　油轮装载的持久性油类造成油污损害的，应依照《防治船舶污染海洋环境管理条例》《1992年国际油污损害民事责任公约》的规定确定赔偿限额。</w:t>
      </w:r>
    </w:p>
    <w:p w14:paraId="7E87DE3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油轮装载的非持久性燃油或者非油轮装载的燃油造成油污损害的，应依照海商法关于海事赔偿责任限制的规定确定赔偿限额。</w:t>
      </w:r>
    </w:p>
    <w:p w14:paraId="4247B3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第六条</w:t>
      </w:r>
      <w:r>
        <w:rPr>
          <w:rFonts w:hint="eastAsia" w:ascii="Times New Roman" w:hAnsi="Times New Roman" w:eastAsia="仿宋" w:cs="仿宋"/>
          <w:sz w:val="32"/>
          <w:szCs w:val="32"/>
          <w:lang w:val="en-US" w:eastAsia="zh-CN"/>
        </w:rPr>
        <w:t>　经证明油污损害是由于船舶所有人的故意或者明知可能造成此种损害而轻率地作为或者不作为造成的，船舶所有人主张限制赔偿责任，人民法院不予支持。</w:t>
      </w:r>
    </w:p>
    <w:p w14:paraId="32250F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第七条</w:t>
      </w:r>
      <w:r>
        <w:rPr>
          <w:rFonts w:hint="eastAsia" w:ascii="Times New Roman" w:hAnsi="Times New Roman" w:eastAsia="仿宋" w:cs="仿宋"/>
          <w:sz w:val="32"/>
          <w:szCs w:val="32"/>
          <w:lang w:val="en-US" w:eastAsia="zh-CN"/>
        </w:rPr>
        <w:t>　油污损害是由于船舶所有人故意造成的，受损害人请求船舶油污损害责任保险人或者财务保证人赔偿，人民法院不予支持。</w:t>
      </w:r>
    </w:p>
    <w:p w14:paraId="10F49D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第八条</w:t>
      </w:r>
      <w:r>
        <w:rPr>
          <w:rFonts w:hint="eastAsia" w:ascii="Times New Roman" w:hAnsi="Times New Roman" w:eastAsia="仿宋" w:cs="仿宋"/>
          <w:sz w:val="32"/>
          <w:szCs w:val="32"/>
          <w:lang w:val="en-US" w:eastAsia="zh-CN"/>
        </w:rPr>
        <w:t>　受损害人直接向船舶油污损害责任保险人或者财务保证人提起诉讼，船舶油污损害责任保险人或者财务保证人可以对受损害人主张船舶所有人的抗辩。</w:t>
      </w:r>
    </w:p>
    <w:p w14:paraId="22B3F1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除船舶所有人故意造成油污损害外，船舶油污损害责任保险人或者财务保证人向受损害人主张其对船舶所有人的抗辩，人民法院不予支持。</w:t>
      </w:r>
    </w:p>
    <w:p w14:paraId="014A39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第九条</w:t>
      </w:r>
      <w:r>
        <w:rPr>
          <w:rFonts w:hint="eastAsia" w:ascii="Times New Roman" w:hAnsi="Times New Roman" w:eastAsia="仿宋" w:cs="仿宋"/>
          <w:sz w:val="32"/>
          <w:szCs w:val="32"/>
          <w:lang w:val="en-US" w:eastAsia="zh-CN"/>
        </w:rPr>
        <w:t>　船舶油污损害赔偿范围包括：</w:t>
      </w:r>
    </w:p>
    <w:p w14:paraId="09437C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（一）为防止或者减轻船舶油污损害采取预防措施所发生的费用，以及预防措施造成的进一步灭失或者损害；</w:t>
      </w:r>
    </w:p>
    <w:p w14:paraId="56EEF2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（二）船舶油污事故造成该船舶之外的财产损害以及由此引起的收入损失；</w:t>
      </w:r>
    </w:p>
    <w:p w14:paraId="1A4802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（三）因油污造成环境损害所引起的收入损失；</w:t>
      </w:r>
    </w:p>
    <w:p w14:paraId="529A84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（四）对受污染的环境已采取或将要采取合理恢复措施的费用。</w:t>
      </w:r>
    </w:p>
    <w:p w14:paraId="5FCF87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第十条</w:t>
      </w:r>
      <w:r>
        <w:rPr>
          <w:rFonts w:hint="eastAsia" w:ascii="Times New Roman" w:hAnsi="Times New Roman" w:eastAsia="仿宋" w:cs="仿宋"/>
          <w:sz w:val="32"/>
          <w:szCs w:val="32"/>
          <w:lang w:val="en-US" w:eastAsia="zh-CN"/>
        </w:rPr>
        <w:t>　对预防措施费用以及预防措施造成的进一步灭失或者损害，人民法院应当结合污染范围、污染程度、油类泄漏量、预防措施的合理性、参与清除油污人员及投入使用设备的费用等因素合理认定。</w:t>
      </w:r>
    </w:p>
    <w:p w14:paraId="7ADF2C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第十一条</w:t>
      </w:r>
      <w:r>
        <w:rPr>
          <w:rFonts w:hint="eastAsia" w:ascii="Times New Roman" w:hAnsi="Times New Roman" w:eastAsia="仿宋" w:cs="仿宋"/>
          <w:sz w:val="32"/>
          <w:szCs w:val="32"/>
          <w:lang w:val="en-US" w:eastAsia="zh-CN"/>
        </w:rPr>
        <w:t>　对遇险船舶实施防污措施，作业开始时的主要目的仅是为防止、减轻油污损害的，所发生的费用应认定为预防措施费用。</w:t>
      </w:r>
    </w:p>
    <w:p w14:paraId="334881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作业具有救助遇险船舶、其他财产和防止、减轻油污损害的双重目的，应根据目的的主次比例合理划分预防措施费用与救助措施费用；无合理依据区分主次目的的，相关费用应平均分摊。但污染危险消除后发生的费用不应列为预防措施费用。</w:t>
      </w:r>
    </w:p>
    <w:p w14:paraId="37A292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第十二条</w:t>
      </w:r>
      <w:r>
        <w:rPr>
          <w:rFonts w:hint="eastAsia" w:ascii="Times New Roman" w:hAnsi="Times New Roman" w:eastAsia="仿宋" w:cs="仿宋"/>
          <w:sz w:val="32"/>
          <w:szCs w:val="32"/>
          <w:lang w:val="en-US" w:eastAsia="zh-CN"/>
        </w:rPr>
        <w:t>　船舶泄漏油类污染其他船舶、渔具、养殖设施等财产，受损害人请求油污责任人赔偿因清洗、修复受污染财产支付的合理费用，人民法院应予支持。</w:t>
      </w:r>
    </w:p>
    <w:p w14:paraId="282EC7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受污染财产无法清洗、修复，或者清洗、修复成本超过其价值的，受损害人请求油污责任人赔偿合理的更换费用，人民法院应予支持，但应参照受污染财产实际使用年限与预期使用年限的比例作合理扣除。</w:t>
      </w:r>
    </w:p>
    <w:p w14:paraId="001284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第十三条</w:t>
      </w:r>
      <w:r>
        <w:rPr>
          <w:rFonts w:hint="eastAsia" w:ascii="Times New Roman" w:hAnsi="Times New Roman" w:eastAsia="仿宋" w:cs="仿宋"/>
          <w:sz w:val="32"/>
          <w:szCs w:val="32"/>
          <w:lang w:val="en-US" w:eastAsia="zh-CN"/>
        </w:rPr>
        <w:t>　受损害人因其财产遭受船舶油污，不能正常生产经营的，其收入损失应以财产清洗、修复或者更换所需合理期间为限进行计算。</w:t>
      </w:r>
    </w:p>
    <w:p w14:paraId="7B5B8E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第十四条</w:t>
      </w:r>
      <w:r>
        <w:rPr>
          <w:rFonts w:hint="eastAsia" w:ascii="Times New Roman" w:hAnsi="Times New Roman" w:eastAsia="仿宋" w:cs="仿宋"/>
          <w:sz w:val="32"/>
          <w:szCs w:val="32"/>
          <w:lang w:val="en-US" w:eastAsia="zh-CN"/>
        </w:rPr>
        <w:t>　海洋渔业、滨海旅游业及其他用海、临海经营单位或者个人请求因环境污染所遭受的收入损失，具备下列全部条件，由此证明收入损失与环境污染之间具有直接因果关系的，人民法院应予支持：</w:t>
      </w:r>
    </w:p>
    <w:p w14:paraId="5B631E7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（一）请求人的生产经营活动位于或者接近污染区域；</w:t>
      </w:r>
    </w:p>
    <w:p w14:paraId="07094A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（二）请求人的生产经营活动主要依赖受污染资源或者海岸线；</w:t>
      </w:r>
    </w:p>
    <w:p w14:paraId="0385EA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（三）请求人难以找到其他替代资源或者商业机会；</w:t>
      </w:r>
    </w:p>
    <w:p w14:paraId="6B0F73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（四）请求人的生产经营业务属于当地相对稳定的产业。</w:t>
      </w:r>
    </w:p>
    <w:p w14:paraId="063FF1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第十五条</w:t>
      </w:r>
      <w:r>
        <w:rPr>
          <w:rFonts w:hint="eastAsia" w:ascii="Times New Roman" w:hAnsi="Times New Roman" w:eastAsia="仿宋" w:cs="仿宋"/>
          <w:sz w:val="32"/>
          <w:szCs w:val="32"/>
          <w:lang w:val="en-US" w:eastAsia="zh-CN"/>
        </w:rPr>
        <w:t>　未经相关行政主管部门许可，受损害人从事海上养殖、海洋捕捞，主张收入损失的，人民法院不予支持；但请求赔偿清洗、修复、更换养殖或者捕捞设施的合理费用，人民法院应予支持。</w:t>
      </w:r>
    </w:p>
    <w:p w14:paraId="0EFBA86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第十六条</w:t>
      </w:r>
      <w:r>
        <w:rPr>
          <w:rFonts w:hint="eastAsia" w:ascii="Times New Roman" w:hAnsi="Times New Roman" w:eastAsia="仿宋" w:cs="仿宋"/>
          <w:sz w:val="32"/>
          <w:szCs w:val="32"/>
          <w:lang w:val="en-US" w:eastAsia="zh-CN"/>
        </w:rPr>
        <w:t>　受损害人主张因其财产受污染或者因环境污染造成的收入损失，应以其前三年同期平均净收入扣减受损期间的实际净收入计算，并适当考虑影响收入的其他相关因素予以合理确定。</w:t>
      </w:r>
    </w:p>
    <w:p w14:paraId="2A3333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按照前款规定无法认定收入损失的，可以参考政府部门的相关统计数据和信息，或者同区域同类生产经营者的同期平均收入合理认定。</w:t>
      </w:r>
    </w:p>
    <w:p w14:paraId="16B7CA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受损害人采取合理措施避免收入损失，请求赔偿合理措施的费用，人民法院应予支持，但以其避免发生的收入损失数额为限。</w:t>
      </w:r>
    </w:p>
    <w:p w14:paraId="402616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第十七条</w:t>
      </w:r>
      <w:r>
        <w:rPr>
          <w:rFonts w:hint="eastAsia" w:ascii="Times New Roman" w:hAnsi="Times New Roman" w:eastAsia="仿宋" w:cs="仿宋"/>
          <w:sz w:val="32"/>
          <w:szCs w:val="32"/>
          <w:lang w:val="en-US" w:eastAsia="zh-CN"/>
        </w:rPr>
        <w:t>　船舶油污事故造成环境损害的，对环境损害的赔偿应限于已实际采取或者将要采取的合理恢复措施的费用。恢复措施的费用包括合理的监测、评估、研究费用。</w:t>
      </w:r>
    </w:p>
    <w:p w14:paraId="127E12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第十八条</w:t>
      </w:r>
      <w:r>
        <w:rPr>
          <w:rFonts w:hint="eastAsia" w:ascii="Times New Roman" w:hAnsi="Times New Roman" w:eastAsia="仿宋" w:cs="仿宋"/>
          <w:sz w:val="32"/>
          <w:szCs w:val="32"/>
          <w:lang w:val="en-US" w:eastAsia="zh-CN"/>
        </w:rPr>
        <w:t>　船舶取得有效的油污损害民事责任保险或者具有相应财务保证的，油污受损害人主张船舶优先权的，人民法院不予支持。</w:t>
      </w:r>
    </w:p>
    <w:p w14:paraId="560E3DA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第十九条</w:t>
      </w:r>
      <w:r>
        <w:rPr>
          <w:rFonts w:hint="eastAsia" w:ascii="Times New Roman" w:hAnsi="Times New Roman" w:eastAsia="仿宋" w:cs="仿宋"/>
          <w:sz w:val="32"/>
          <w:szCs w:val="32"/>
          <w:lang w:val="en-US" w:eastAsia="zh-CN"/>
        </w:rPr>
        <w:t>　对油轮装载的非持久性燃油、非油轮装载的燃油造成油污损害的赔偿请求，适用海商法关于海事赔偿责任限制的规定。</w:t>
      </w:r>
    </w:p>
    <w:p w14:paraId="5FC0C6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同一海事事故造成前款规定的油污损害和海商法第二百零七条规定的可以限制赔偿责任的其他损害，船舶所有人依照海商法第十一章的规定主张在同一赔偿限额内限制赔偿责任的，人民法院应予支持。</w:t>
      </w:r>
    </w:p>
    <w:p w14:paraId="26FC7C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第二十条</w:t>
      </w:r>
      <w:r>
        <w:rPr>
          <w:rFonts w:hint="eastAsia" w:ascii="Times New Roman" w:hAnsi="Times New Roman" w:eastAsia="仿宋" w:cs="仿宋"/>
          <w:sz w:val="32"/>
          <w:szCs w:val="32"/>
          <w:lang w:val="en-US" w:eastAsia="zh-CN"/>
        </w:rPr>
        <w:t>　为避免油轮装载的非持久性燃油、非油轮装载的燃油造成油污损害，对沉没、搁浅、遇难船舶采取起浮、清除或者使之无害措施，船舶所有人对由此发生的费用主张依照海商法第十一章的规定限制赔偿责任的，人民法院不予支持。</w:t>
      </w:r>
    </w:p>
    <w:p w14:paraId="199351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第二十一条</w:t>
      </w:r>
      <w:r>
        <w:rPr>
          <w:rFonts w:hint="eastAsia" w:ascii="Times New Roman" w:hAnsi="Times New Roman" w:eastAsia="仿宋" w:cs="仿宋"/>
          <w:sz w:val="32"/>
          <w:szCs w:val="32"/>
          <w:lang w:val="en-US" w:eastAsia="zh-CN"/>
        </w:rPr>
        <w:t>　对油轮装载持久性油类造成的油污损害，船舶所有人，或者船舶油污责任保险人、财务保证人主张责任限制的，应当设立油污损害赔偿责任限制基金。</w:t>
      </w:r>
    </w:p>
    <w:p w14:paraId="012DE2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油污损害赔偿责任限制基金以现金方式设立的，基金数额为《防治船舶污染海洋环境管理条例》《1992年国际油污损害民事责任公约》规定的赔偿限额。以担保方式设立基金的，担保数额为基金数额及其在基金设立期间的利息。</w:t>
      </w:r>
    </w:p>
    <w:p w14:paraId="5AF614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第二十二条</w:t>
      </w:r>
      <w:r>
        <w:rPr>
          <w:rFonts w:hint="eastAsia" w:ascii="Times New Roman" w:hAnsi="Times New Roman" w:eastAsia="仿宋" w:cs="仿宋"/>
          <w:sz w:val="32"/>
          <w:szCs w:val="32"/>
          <w:lang w:val="en-US" w:eastAsia="zh-CN"/>
        </w:rPr>
        <w:t>　船舶所有人、船舶油污损害责任保险人或者财务保证人申请设立油污损害赔偿责任限制基金，利害关系人对船舶所有人主张限制赔偿责任有异议的，应当在海事诉讼特别程序法第一百零六条第一款规定的异议期内以书面形式提出，但提出该异议不影响基金的设立。</w:t>
      </w:r>
    </w:p>
    <w:p w14:paraId="66EA4F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第二十三条</w:t>
      </w:r>
      <w:r>
        <w:rPr>
          <w:rFonts w:hint="eastAsia" w:ascii="Times New Roman" w:hAnsi="Times New Roman" w:eastAsia="仿宋" w:cs="仿宋"/>
          <w:sz w:val="32"/>
          <w:szCs w:val="32"/>
          <w:lang w:val="en-US" w:eastAsia="zh-CN"/>
        </w:rPr>
        <w:t>　对油轮装载持久性油类造成的油污损害，利害关系人没有在异议期内对船舶所有人主张限制赔偿责任提出异议，油污损害赔偿责任限制基金设立后，海事法院应当解除对船舶所有人的财产采取的保全措施或者发还为解除保全措施而提供的担保。</w:t>
      </w:r>
    </w:p>
    <w:p w14:paraId="35A374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第二十四条</w:t>
      </w:r>
      <w:r>
        <w:rPr>
          <w:rFonts w:hint="eastAsia" w:ascii="Times New Roman" w:hAnsi="Times New Roman" w:eastAsia="仿宋" w:cs="仿宋"/>
          <w:sz w:val="32"/>
          <w:szCs w:val="32"/>
          <w:lang w:val="en-US" w:eastAsia="zh-CN"/>
        </w:rPr>
        <w:t>　对油轮装载持久性油类造成的油污损害，利害关系人在异议期内对船舶所有人主张限制赔偿责任提出异议的，人民法院在认定船舶所有人有权限制赔偿责任的裁决生效后，应当解除对船舶所有人的财产采取的保全措施或者发还为解除保全措施而提供的担保。</w:t>
      </w:r>
    </w:p>
    <w:p w14:paraId="459E9F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第二十五条</w:t>
      </w:r>
      <w:r>
        <w:rPr>
          <w:rFonts w:hint="eastAsia" w:ascii="Times New Roman" w:hAnsi="Times New Roman" w:eastAsia="仿宋" w:cs="仿宋"/>
          <w:sz w:val="32"/>
          <w:szCs w:val="32"/>
          <w:lang w:val="en-US" w:eastAsia="zh-CN"/>
        </w:rPr>
        <w:t>　对油轮装载持久性油类造成的油污损害，受损害人提起诉讼时主张船舶所有人无权限制赔偿责任的，海事法院对船舶所有人是否有权限制赔偿责任的争议，可以先行审理并作出判决。</w:t>
      </w:r>
    </w:p>
    <w:p w14:paraId="3FAF65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第二十六条</w:t>
      </w:r>
      <w:r>
        <w:rPr>
          <w:rFonts w:hint="eastAsia" w:ascii="Times New Roman" w:hAnsi="Times New Roman" w:eastAsia="仿宋" w:cs="仿宋"/>
          <w:sz w:val="32"/>
          <w:szCs w:val="32"/>
          <w:lang w:val="en-US" w:eastAsia="zh-CN"/>
        </w:rPr>
        <w:t>　对油轮装载持久性油类造成的油污损害，受损害人没有在规定的债权登记期间申请债权登记的，视为放弃在油污损害赔偿责任限制基金中受偿的权利。</w:t>
      </w:r>
    </w:p>
    <w:p w14:paraId="357FF6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第二十七条</w:t>
      </w:r>
      <w:r>
        <w:rPr>
          <w:rFonts w:hint="eastAsia" w:ascii="Times New Roman" w:hAnsi="Times New Roman" w:eastAsia="仿宋" w:cs="仿宋"/>
          <w:sz w:val="32"/>
          <w:szCs w:val="32"/>
          <w:lang w:val="en-US" w:eastAsia="zh-CN"/>
        </w:rPr>
        <w:t>　油污损害赔偿责任限制基金不足以清偿有关油污损害的，应根据确认的赔偿数额依法按比例分配。</w:t>
      </w:r>
    </w:p>
    <w:p w14:paraId="33D00C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第二十八条</w:t>
      </w:r>
      <w:r>
        <w:rPr>
          <w:rFonts w:hint="eastAsia" w:ascii="Times New Roman" w:hAnsi="Times New Roman" w:eastAsia="仿宋" w:cs="仿宋"/>
          <w:sz w:val="32"/>
          <w:szCs w:val="32"/>
          <w:lang w:val="en-US" w:eastAsia="zh-CN"/>
        </w:rPr>
        <w:t>　对油轮装载持久性油类造成的油污损害，船舶所有人、船舶油污损害责任保险人或者财务保证人申请设立油污损害赔偿责任限制基金、受损害人申请债权登记与受偿，本规定没有规定的，适用海事诉讼特别程序法及相关司法解释的规定。</w:t>
      </w:r>
    </w:p>
    <w:p w14:paraId="3444221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第二十九条</w:t>
      </w:r>
      <w:r>
        <w:rPr>
          <w:rFonts w:hint="eastAsia" w:ascii="Times New Roman" w:hAnsi="Times New Roman" w:eastAsia="仿宋" w:cs="仿宋"/>
          <w:sz w:val="32"/>
          <w:szCs w:val="32"/>
          <w:lang w:val="en-US" w:eastAsia="zh-CN"/>
        </w:rPr>
        <w:t>　在油污损害赔偿责任限制基金分配以前，船舶所有人、船舶油污损害责任保险人或者财务保证人，已先行赔付油污损害的，可以书面申请从基金中代位受偿。代位受偿应限于赔付的范围，并不超过接受赔付的人依法可获得的赔偿数额。</w:t>
      </w:r>
    </w:p>
    <w:p w14:paraId="5A02E5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海事法院受理代位受偿申请后，应书面通知所有对油污损害赔偿责任限制基金提出主张的利害关系人。利害关系人对申请人主张代位受偿的权利有异议的，应在收到通知之日起十五日内书面提出。</w:t>
      </w:r>
    </w:p>
    <w:p w14:paraId="60B419A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海事法院经审查认定申请人代位受偿权利成立，应裁定予以确认；申请人主张代位受偿的权利缺乏事实或者法律依据的，裁定驳回其申请。当事人对裁定不服的，可以在收到裁定书之日起十日内提起上诉。</w:t>
      </w:r>
    </w:p>
    <w:p w14:paraId="2A0CEB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第三十条</w:t>
      </w:r>
      <w:r>
        <w:rPr>
          <w:rFonts w:hint="eastAsia" w:ascii="Times New Roman" w:hAnsi="Times New Roman" w:eastAsia="仿宋" w:cs="仿宋"/>
          <w:sz w:val="32"/>
          <w:szCs w:val="32"/>
          <w:lang w:val="en-US" w:eastAsia="zh-CN"/>
        </w:rPr>
        <w:t>　船舶所有人为主动防止、减轻油污损害而支出的合理费用或者所作的合理牺牲，请求参与油污损害赔偿责任限制基金分配的，人民法院应予支持，比照本规定第二十九条第二款、第三款的规定处理。</w:t>
      </w:r>
    </w:p>
    <w:p w14:paraId="4C5143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第三十一条</w:t>
      </w:r>
      <w:r>
        <w:rPr>
          <w:rFonts w:hint="eastAsia" w:ascii="Times New Roman" w:hAnsi="Times New Roman" w:eastAsia="仿宋" w:cs="仿宋"/>
          <w:sz w:val="32"/>
          <w:szCs w:val="32"/>
          <w:lang w:val="en-US" w:eastAsia="zh-CN"/>
        </w:rPr>
        <w:t>　本规定中下列用语的含义是：</w:t>
      </w:r>
    </w:p>
    <w:p w14:paraId="6B95C3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船舶，是指非用于军事或者政府公务的海船和其他海上移动式装置，包括航行于国际航线和国内航线的油轮和非油轮。其中，油轮是指为运输散装持久性货油而建造或者改建的船舶，以及实际装载散装持久性货油的其他船舶。</w:t>
      </w:r>
    </w:p>
    <w:p w14:paraId="6380B4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（二）油类，是指烃类矿物油及其残余物，限于装载于船上作为货物运输的持久性货油、装载用于本船运行的持久性和非持久性燃油，不包括装载于船上作为货物运输的非持久性货油。</w:t>
      </w:r>
    </w:p>
    <w:p w14:paraId="30B7D7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（三）船舶油污事故，是指船舶泄漏油类造成油污损害，或者虽未泄漏油类但形成严重和紧迫油污损害威胁的一个或者一系列事件。一系列事件因同一原因而发生的，视为同一事故。</w:t>
      </w:r>
    </w:p>
    <w:p w14:paraId="2D7758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（四）船舶油污损害责任保险人或者财务保证人，是指海事事故中泄漏油类或者直接形成油污损害威胁的船舶一方的油污责任保险人或者财务保证人。</w:t>
      </w:r>
    </w:p>
    <w:p w14:paraId="4F4B098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（五）油污损害赔偿责任限制基金，是指船舶所有人、船舶油污损害责任保险人或者财务保证人，对油轮装载持久性油类造成的油污损害申请设立的赔偿责任限制基金。</w:t>
      </w:r>
    </w:p>
    <w:p w14:paraId="57A9B4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第三十二条</w:t>
      </w:r>
      <w:r>
        <w:rPr>
          <w:rFonts w:hint="eastAsia" w:ascii="Times New Roman" w:hAnsi="Times New Roman" w:eastAsia="仿宋" w:cs="仿宋"/>
          <w:sz w:val="32"/>
          <w:szCs w:val="32"/>
          <w:lang w:val="en-US" w:eastAsia="zh-CN"/>
        </w:rPr>
        <w:t>　本规定实施前本院发布的司法解释与本规定不一致的，以本规定为准。</w:t>
      </w:r>
    </w:p>
    <w:p w14:paraId="596C23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本规定施行前已经终审的案件，人民法院进行再审时，不适用本规定。</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8736E6B-6066-4302-B6B6-79E5C197B35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embedRegular r:id="rId2" w:fontKey="{125793B5-855C-4688-B131-78B1DE7D685B}"/>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embedRegular r:id="rId3" w:fontKey="{21551049-A14F-4A4A-AEC8-91A6AF54E982}"/>
  </w:font>
  <w:font w:name="方正小标宋简体">
    <w:panose1 w:val="02000000000000000000"/>
    <w:charset w:val="86"/>
    <w:family w:val="auto"/>
    <w:pitch w:val="default"/>
    <w:sig w:usb0="00000001" w:usb1="08000000" w:usb2="00000000" w:usb3="00000000" w:csb0="00040000" w:csb1="00000000"/>
    <w:embedRegular r:id="rId4" w:fontKey="{1C26A97E-DAC8-4160-8525-21F6A7AA0681}"/>
  </w:font>
  <w:font w:name="楷体_GB2312">
    <w:altName w:val="楷体"/>
    <w:panose1 w:val="02010609030101010101"/>
    <w:charset w:val="86"/>
    <w:family w:val="auto"/>
    <w:pitch w:val="default"/>
    <w:sig w:usb0="00000000" w:usb1="00000000" w:usb2="00000000" w:usb3="00000000" w:csb0="00040000" w:csb1="00000000"/>
    <w:embedRegular r:id="rId5" w:fontKey="{71A1AE9F-D35E-42F0-98BF-071C6D5EF3AC}"/>
  </w:font>
  <w:font w:name="楷体">
    <w:panose1 w:val="02010609060101010101"/>
    <w:charset w:val="86"/>
    <w:family w:val="auto"/>
    <w:pitch w:val="default"/>
    <w:sig w:usb0="800002BF" w:usb1="38CF7CFA" w:usb2="00000016" w:usb3="00000000" w:csb0="00040001" w:csb1="00000000"/>
    <w:embedRegular r:id="rId6" w:fontKey="{38AB355D-13A6-46B7-8E74-C036EB6FCBFE}"/>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8533969"/>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4500</Words>
  <Characters>4532</Characters>
  <Lines>87</Lines>
  <Paragraphs>24</Paragraphs>
  <TotalTime>131</TotalTime>
  <ScaleCrop>false</ScaleCrop>
  <LinksUpToDate>false</LinksUpToDate>
  <CharactersWithSpaces>4567</CharactersWithSpaces>
  <Application>WPS Office_12.1.0.28599_F1E327BC-269C-435d-A152-05C5408002CA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威威一笑很倾城</cp:lastModifiedBy>
  <cp:lastPrinted>2024-07-19T01:09:00Z</cp:lastPrinted>
  <dcterms:modified xsi:type="dcterms:W3CDTF">2026-09-24T02:37:50Z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2052-12.1.0.28599</vt:lpwstr>
  </property>
  <property fmtid="{D5CDD505-2E9C-101B-9397-08002B2CF9AE}" pid="4" name="KSOTemplateDocerSaveRecord">
    <vt:lpwstr>eyJoZGlkIjoiMTVhNjBiYzVjOTFlM2I2NmUwMzZmOGYxNzRiZmMwY2IiLCJ1c2VySWQiOiI0OTI2MzM0NjEifQ==</vt:lpwstr>
  </property>
</Properties>
</file>