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Ask Policy Assistant</w:t>
      </w:r>
    </w:p>
    <w:p>
      <w:pPr>
        <w:pStyle w:val="Subtitle"/>
      </w:pPr>
      <w:r>
        <w:t>End of Course Project | Kang Xingyao | Section C | Updated 23 September 2026</w:t>
      </w:r>
    </w:p>
    <w:p>
      <w:pPr>
        <w:pStyle w:val="Heading1"/>
      </w:pPr>
      <w:r>
        <w:t>1 Problem and project outcome</w:t>
      </w:r>
    </w:p>
    <w:p>
      <w:r>
        <w:t>HR-Ask is a working educational prototype for HR policy questions and service-ticket drafts. It supports leave, attendance and social-insurance enquiries using fictional company policies and synthetic employee inputs. It retrieves evidence, distinguishes consultation from drafting, and produces five-field drafts for human checking. It cannot submit requests, approve leave, calculate statutory entitlements or access personal employee records.</w:t>
      </w:r>
    </w:p>
    <w:p>
      <w:r>
        <w:t>Live OpenRouter evaluation obtained 25 model responses across 30 development cases. Outcome metrics are deliberately separated: ticket structural pass rate is 8/8 (valid JSON, exactly five fields and correct request type); first-turn complete tickets are 5/8 (62.5%), below the &gt;85% target; and retrospective AI-assisted answer-quality review passes 22/25 eligible answers (88%). The answer-quality result is not a completed human spot check. Revised automated engineering checks pass 30/30, but are not a policy-correctness score. New informal offline diagnostics pass 7/12. Review timing and the revised proposal alignment are explained in section 8. [1]</w:t>
      </w:r>
    </w:p>
    <w:p>
      <w:pPr>
        <w:pStyle w:val="Heading2"/>
      </w:pPr>
      <w:r>
        <w:t>The employee and HR problem</w:t>
      </w:r>
    </w:p>
    <w:p>
      <w:r>
        <w:t>The target user is a manufacturing team leader who needs policy guidance outside HR office hours. The desired journey is to find a relevant rule and prepare a usable request within three minutes. HR staff need consistent intake fields so that less time is spent repeating explanations and returning incomplete forms.</w:t>
      </w:r>
    </w:p>
    <w:p>
      <w:r>
        <w:t>The original and revised proposals estimated 8–10 HR hours per week spent answering recurring enquiries and 8–10 minutes per manually completed form. These are planning assumptions, not measurements from a real employer. The enquiry-hours estimate concerns the answer-quality half of the workflow; ticket JSON validity is not a proxy for those answered enquiries. Neither the time savings nor the three-minute journey has been validated in a user study. [2]</w:t>
      </w:r>
    </w:p>
    <w:p>
      <w:pPr>
        <w:pStyle w:val="Heading2"/>
      </w:pPr>
      <w:r>
        <w:t>Original target and current outcome</w:t>
      </w:r>
    </w:p>
    <w:p>
      <w:r>
        <w:t>The revised proposal separates policy-answer and ticket performance. The ticket structural pass rate is 8/8: every ticket-intent result is valid JSON with exactly five fields and the correct request type. This narrow result is expected to benefit from structured output and Python validation. Separately, only five of eight ticket-intent cases produce a complete five-field draft on the first turn: 5/8 = 62.5%. The original &gt;85% completion target is therefore not achieved. All five fully specified inputs produce correct complete drafts; three incomplete inputs preserve unknown values and ask for details. Those three are safe responses, but not complete tickets.</w:t>
      </w:r>
    </w:p>
    <w:p>
      <w:r>
        <w:t>A valid schema can contain null values. Schema validity, safe handling of missing information, complete ticket generation and answer quality must therefore be reported separately. The saved answer-quality result is 22/25 in an AI-assisted retrospective review; it is not a completed human spot check. A guided follow-up form is a proposed improvement; multi-turn field collection is not implemented.</w:t>
      </w:r>
    </w:p>
    <w:p>
      <w:r>
        <w:br w:type="page"/>
      </w:r>
    </w:p>
    <w:p>
      <w:pPr>
        <w:pStyle w:val="Heading1"/>
      </w:pPr>
      <w:r>
        <w:t>2 Architecture and implementation</w:t>
      </w:r>
    </w:p>
    <w:p>
      <w:r>
        <w:t>The workflow combines a conservative local intent gate, active-policy retrieval and optional model generation. OpenRouter calls use openai/gpt-4o-mini in the saved runs. The model returns answer text, citation IDs and intent; Python extracts the ticket fields. The model does not receive a personnel-action tool.</w:t>
      </w:r>
    </w:p>
    <w:tbl>
      <w:tblPr>
        <w:tblW w:type="auto" w:w="0"/>
        <w:tblLayout w:type="fixed"/>
        <w:tblLook w:firstColumn="1" w:firstRow="1" w:lastColumn="0" w:lastRow="0" w:noHBand="0" w:noVBand="1" w:val="04A0"/>
      </w:tblPr>
      <w:tblGrid>
        <w:gridCol w:w="1944"/>
        <w:gridCol w:w="7272"/>
      </w:tblGrid>
      <w:tr>
        <w:trPr>
          <w:tblHeader/>
        </w:trPr>
        <w:tc>
          <w:tcPr>
            <w:tcW w:type="dxa" w:w="19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Component</w:t>
            </w:r>
          </w:p>
        </w:tc>
        <w:tc>
          <w:tcPr>
            <w:tcW w:type="dxa" w:w="727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Implemented behavior</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Policy knowledge</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Five Markdown policy files with 20 sections. Effective-date and version checks select usable policies; equal-date conflicts stop loading.</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Retrieval</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Chinese bigrams, English tokens, aliases, TF-IDF and cosine similarity. Retrieve up to three relevant sections with source IDs.</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Routing</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Consult, draft, clarify or escalate. A local gate restricts drafting; the model can retain drafting or route more conservatively.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Generation</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Local mode returns excerpts. OpenRouter mode uses retrieved evidence and a structured response schema. Actual execution mode and API errors remain visible.</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Draft validation</w:t>
            </w:r>
          </w:p>
        </w:tc>
        <w:tc>
          <w:tcPr>
            <w:tcW w:type="dxa" w:w="72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employee_id, request_type, requested_date, reason, contact_channel. Missing values stay null; dates and field formats are validated. Drafts remain unsubmitted.</w:t>
            </w:r>
          </w:p>
        </w:tc>
      </w:tr>
    </w:tbl>
    <w:p/>
    <w:p>
      <w:pPr>
        <w:pStyle w:val="Heading2"/>
      </w:pPr>
      <w:r>
        <w:t>Changes from the submitted proposal</w:t>
      </w:r>
    </w:p>
    <w:p>
      <w:r>
        <w:t>Chroma and embedding retrieval were replaced with a standard-library TF-IDF baseline. This reduces installation and model-download requirements but sacrifices semantic recall. The proposed 30–50-page corpus became five concise policy documents; it supports an inspectable demonstration, not a realistic scale test. A local browser interface supplements the notebook. Rules bound the model’s routing decisions rather than leaving all intent classification to the LLM. [2]</w:t>
      </w:r>
    </w:p>
    <w:p>
      <w:r>
        <w:t>The intake schema omits leave duration, end date, attachments and approval records. Evaluation fixes the reference date to 21 September 2026; normal use resolves relative dates from the local calendar. Session timezone selection, authentication, multi-turn memory and production HR integration are outside the current implementation.</w:t>
      </w:r>
    </w:p>
    <w:p>
      <w:pPr>
        <w:pStyle w:val="Heading2"/>
      </w:pPr>
      <w:r>
        <w:t>Build and buy decision</w:t>
      </w:r>
    </w:p>
    <w:p>
      <w:r>
        <w:t>The project implements policy handling, retrieval, routing constraints, field extraction and evaluation locally, and rents language generation through an API. Training a model is not justified by five synthetic documents. Buying an HR platform could provide mature workflows, but licensing and integration have not been benchmarked. The prototype is intended to test the workflow before such an investment.</w:t>
      </w:r>
    </w:p>
    <w:p>
      <w:pPr/>
      <w:r>
        <w:t>Course coverage</w:t>
        <w:br/>
        <w:t>This project applies Class 1 to frame a bounded, repeatable HR enquiry problem; Class 2 to assemble retrieval, generation and evaluation; Class 3 to steer model behaviour and measure it; Class 5 to price per-query inference, fallback and maintenance; and Class 6 to bound risk, privacy and human oversight.</w:t>
      </w:r>
    </w:p>
    <w:p>
      <w:r>
        <w:br w:type="page"/>
      </w:r>
    </w:p>
    <w:p>
      <w:pPr>
        <w:pStyle w:val="Heading1"/>
      </w:pPr>
      <w:r>
        <w:t>3 Evaluation and measured results</w:t>
      </w:r>
    </w:p>
    <w:p>
      <w:r>
        <w:t>The development set contains 30 labelled synthetic questions spanning leave, attendance, social insurance and workflow boundaries. The 12-case challenge set adds ambiguity, negation, invalid dates and unfamiliar wording. Both sets were authored and inspected during development; neither is an independent holdout. The challenge figures below are from the saved offline run, not a live model run. [1, 3]</w:t>
      </w:r>
    </w:p>
    <w:tbl>
      <w:tblPr>
        <w:tblW w:type="auto" w:w="0"/>
        <w:tblLayout w:type="fixed"/>
        <w:tblLook w:firstColumn="1" w:firstRow="1" w:lastColumn="0" w:lastRow="0" w:noHBand="0" w:noVBand="1" w:val="04A0"/>
      </w:tblPr>
      <w:tblGrid>
        <w:gridCol w:w="4032"/>
        <w:gridCol w:w="1656"/>
        <w:gridCol w:w="1656"/>
        <w:gridCol w:w="1872"/>
      </w:tblGrid>
      <w:tr>
        <w:trPr>
          <w:tblHeader/>
        </w:trPr>
        <w:tc>
          <w:tcPr>
            <w:tcW w:type="dxa" w:w="403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Metric</w:t>
            </w:r>
          </w:p>
        </w:tc>
        <w:tc>
          <w:tcPr>
            <w:tcW w:type="dxa" w:w="165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Live before</w:t>
            </w:r>
          </w:p>
        </w:tc>
        <w:tc>
          <w:tcPr>
            <w:tcW w:type="dxa" w:w="165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Live revised</w:t>
            </w:r>
          </w:p>
        </w:tc>
        <w:tc>
          <w:tcPr>
            <w:tcW w:type="dxa" w:w="187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Offline challenge</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Actual model responses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Intent accuracy</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22/30</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10/12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Gold section in top three</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8/10</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Citation IDs from retrieved sections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25/25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9/9</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Ticket structural pass rate (JSON, five fields, type)</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Exact five-field match</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Not labelled</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fully specified tickets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0/5</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5/5</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eligible cases</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Safe incomplete drafts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0/3</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3/3</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across all ticket inputs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0/8</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5/8</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0/2</w:t>
            </w:r>
          </w:p>
        </w:tc>
      </w:tr>
      <w:tr>
        <w:tc>
          <w:tcPr>
            <w:tcW w:type="dxa" w:w="40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All applicable task checks pass</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22/30</w:t>
            </w:r>
          </w:p>
        </w:tc>
        <w:tc>
          <w:tcPr>
            <w:tcW w:type="dxa" w:w="16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10/12</w:t>
            </w:r>
          </w:p>
        </w:tc>
      </w:tr>
    </w:tbl>
    <w:p/>
    <w:p>
      <w:r>
        <w:t>Each denominator includes eligible cases only. Ticket structural pass rate measures valid JSON, five fields and correct request type; it does not establish response quality. Task success combines routing, retrieval, field and safety assertions; it is not a human policy-correctness score. Retrieval and citation checks verify section IDs, not whether every generated statement is supported. Complete-ticket success also differs from successful handling of a request with missing information.</w:t>
      </w:r>
    </w:p>
    <w:p>
      <w:pPr>
        <w:pStyle w:val="Heading2"/>
      </w:pPr>
      <w:r>
        <w:t>What the live run establishes</w:t>
      </w:r>
    </w:p>
    <w:p>
      <w:r>
        <w:t>The revised run was recorded on 21 September 2026 at 15:49 Singapore time, with prompt version draft-intent-v2 and Python 3.13.15. Its source hash matches the evaluated source. Five cases were handled locally: T11 and T19 requested clarification; T28, T29 and T30 escalated. No case records an API error. The result supports functional integration with OpenRouter on these inputs, not general provider reliability.</w:t>
      </w:r>
    </w:p>
    <w:p>
      <w:r>
        <w:t>The median recorded processing time is 1,807.49 ms across all 30 cases, including the five local responses. Among the 25 model responses only, the median is 2,134.454 ms. This is one sequential run, not a controlled latency benchmark, and excludes the full user journey and browser interaction.</w:t>
      </w:r>
    </w:p>
    <w:p>
      <w:r>
        <w:br w:type="page"/>
      </w:r>
    </w:p>
    <w:p>
      <w:pPr>
        <w:pStyle w:val="Heading1"/>
      </w:pPr>
      <w:r>
        <w:t>4 Failure analysis and answer review</w:t>
      </w:r>
    </w:p>
    <w:p>
      <w:pPr>
        <w:pStyle w:val="Heading2"/>
      </w:pPr>
      <w:r>
        <w:t>Prompt repair and observed improvement</w:t>
      </w:r>
    </w:p>
    <w:p>
      <w:r>
        <w:t>Before repair, the model treated explicit drafting requests as requests to submit or execute HR transactions. All eight ticket cases became consultation, so no draft was produced. The revised prompt explicitly permits preparation of an unsubmitted draft while continuing to prohibit submission and approval. It also states that missing personal fields do not change drafting intent.</w:t>
      </w:r>
    </w:p>
    <w:p>
      <w:r>
        <w:t>The same development questions and policies were rerun, preserving the earlier result file. Automated task success increased from 22/30 to 30/30 and ticket schema validity from 0/8 to 8/8. This before-and-after observation supports the diagnosis, but one run per prompt is not a repeated controlled experiment. The repair did not replace model outputs with expected labels; the model can still clarify or escalate.</w:t>
      </w:r>
    </w:p>
    <w:p>
      <w:pPr>
        <w:pStyle w:val="Heading2"/>
      </w:pPr>
      <w:r>
        <w:t>Content issues not caught by automated checks</w:t>
      </w:r>
    </w:p>
    <w:tbl>
      <w:tblPr>
        <w:tblW w:type="auto" w:w="0"/>
        <w:tblLayout w:type="fixed"/>
        <w:tblLook w:firstColumn="1" w:firstRow="1" w:lastColumn="0" w:lastRow="0" w:noHBand="0" w:noVBand="1" w:val="04A0"/>
      </w:tblPr>
      <w:tblGrid>
        <w:gridCol w:w="936"/>
        <w:gridCol w:w="4536"/>
        <w:gridCol w:w="3744"/>
      </w:tblGrid>
      <w:tr>
        <w:trPr>
          <w:tblHeader/>
        </w:trPr>
        <w:tc>
          <w:tcPr>
            <w:tcW w:type="dxa" w:w="93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Case</w:t>
            </w:r>
          </w:p>
        </w:tc>
        <w:tc>
          <w:tcPr>
            <w:tcW w:type="dxa" w:w="453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Observed issue</w:t>
            </w:r>
          </w:p>
        </w:tc>
        <w:tc>
          <w:tcPr>
            <w:tcW w:type="dxa" w:w="37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Implication</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T07 and complete-draft demo</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requests a name and other personal details even though all five draft fields are present.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Text and draft status disagree; extra information is unnecessary.</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T08</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asks whether a draft is wanted even though the request is explicit and a draft is already present.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 redundant confirmation reduces clarity.</w:t>
            </w:r>
          </w:p>
        </w:tc>
      </w:tr>
      <w:t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T10</w:t>
            </w:r>
          </w:p>
        </w:tc>
        <w:tc>
          <w:tcPr>
            <w:tcW w:type="dxa" w:w="45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The answer says tomorrow’s leave cannot be requested, omitting the policy’s emergency route via the supervisor.</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An overly absolute conclusion is not justified by the evidence.</w:t>
            </w:r>
          </w:p>
        </w:tc>
      </w:tr>
    </w:tbl>
    <w:p/>
    <w:p>
      <w:r>
        <w:t>These issues were identified through AI-assisted review of saved outputs and student-provided screenshots, not independent HR assessment. A further review found that T23 generalizes the absence of a rate in the simulated documents into a claim that no uniform standard exists. Section 8 documents the separate content scoring and its retrospective nature. These issues remain known limitations in the evaluated code; no fix or new live run is claimed.</w:t>
      </w:r>
    </w:p>
    <w:p>
      <w:pPr>
        <w:pStyle w:val="Heading2"/>
      </w:pPr>
      <w:r>
        <w:t>Local baselines and regression coverage</w:t>
      </w:r>
    </w:p>
    <w:p>
      <w:r>
        <w:t>The local baseline passes 30/30 development tasks and 10/12 challenge tasks. Unfamiliar wording in C11 and C12 is rejected by the domain gate and misses the intended policy section. A fixed keyword FAQ finds 18/25 labelled sections; TF-IDF finds 25/25 in its top three. Because their retrieval budgets differ, this is a workflow comparison, not a controlled superiority claim. [3]</w:t>
      </w:r>
    </w:p>
    <w:p>
      <w:r>
        <w:t>Fifteen software regression tests cover policy boundaries, dates, intent, missing data, evidence and version checks, and mocked API behavior. Added tests verify complete drafts, null preservation and model escalation. They test program behavior and do not replace live generation or human content review.</w:t>
      </w:r>
    </w:p>
    <w:p>
      <w:r>
        <w:br w:type="page"/>
      </w:r>
    </w:p>
    <w:p>
      <w:pPr>
        <w:pStyle w:val="Heading1"/>
      </w:pPr>
      <w:r>
        <w:t>5 Business and technical trade offs</w:t>
      </w:r>
    </w:p>
    <w:p>
      <w:pPr>
        <w:pStyle w:val="Heading2"/>
      </w:pPr>
      <w:r>
        <w:t>Retrieval threshold and operational choices</w:t>
      </w:r>
    </w:p>
    <w:p>
      <w:r>
        <w:t>Cosine similarity is not a calibrated confidence probability. In the saved offline sweep, thresholds 0.00, 0.08, 0.20, 0.40 and 0.65 produce 30, 30, 26, 14 and 5 successful tasks out of 30. The original proposal’s threshold of 0.65 causes 28 escalations with this representation. The selected 0.08 is provisional; its equality with zero on this set does not demonstrate a safety benefit. The revised proposal calls for validating the threshold, which this sensitivity analysis supports. Broader negative cases are still required. [3]</w:t>
      </w:r>
    </w:p>
    <w:p>
      <w:r>
        <w:t>Local retrieval has no generation API charge and is easy to reproduce, but returns excerpts and misses unfamiliar language. Rented generation provides synthesized text at the cost of network dependence and additional correctness checks. The live examples show why readable answers and valid JSON are insufficient grounds for removing HR oversight.</w:t>
      </w:r>
    </w:p>
    <w:p>
      <w:pPr>
        <w:pStyle w:val="Heading2"/>
      </w:pPr>
      <w:r>
        <w:t>Observed API usage</w:t>
      </w:r>
    </w:p>
    <w:p>
      <w:pPr/>
      <w:r>
        <w:t>The revised run records 16,658 prompt tokens and 1,842 completion tokens across 25 openai/gpt-4o-mini responses. Per query, that is 666.32 prompt tokens plus 73.68 completion tokens and USD 0.000144156 in provider-reported inference cost. At 400 comparable queries per month, variable model inference would be about USD 0.0577. This is a per-query input cost, not cost per successfully resolved enquiry. The two saved live evaluation runs together report USD 0.00618615. This is an aggregation of saved response metadata, not a reconciled account bill; later browser demonstrations and other account usage are excluded. [1, 4]</w:t>
      </w:r>
    </w:p>
    <w:p>
      <w:pPr>
        <w:pStyle w:val="Heading2"/>
      </w:pPr>
      <w:r>
        <w:t>Illustrative service cost and sensitivity</w:t>
      </w:r>
    </w:p>
    <w:p>
      <w:r>
        <w:t>The Class 5 cost-to-serve material motivates separating API usage, useful resolution, human handling and fixed costs, and varying uncertain success assumptions. Instructor feedback identifies a recurring operational workload: 15–20 regex rules require rewriting each quarter. The calculation uses the midpoint of 17.5 rules. The existing A2 insurance figures are not reused as HR-Ask evidence. The following arithmetic is an illustrative HR scenario, not execution of the original course notebook or a measured business result. [4]</w:t>
      </w:r>
    </w:p>
    <w:p>
      <w:r>
        <w:t>For rule maintenance, assume 20 minutes per rewritten rule for revision, regression testing and release checking, and USD 25 per hour. At 17.5 rules per quarter, this equals 5.83 labour hours and USD 145.83 per quarter, or USD 48.61 per month. The rule count comes from instructor feedback; the minutes per rule and labour rate are transparent assumptions. Assume 400 eligible enquiries per month, five net HR minutes saved per usefully resolved enquiry, USD 2,000 initial setup, and one model call per enquiry at the observed mean, giving about USD 0.0577 monthly API cost. Net value = 400 × useful-resolution rate × 5/60 × 25 − 48.61 − API cost.</w:t>
      </w:r>
    </w:p>
    <w:tbl>
      <w:tblPr>
        <w:tblW w:type="auto" w:w="0"/>
        <w:tblLayout w:type="fixed"/>
        <w:tblLook w:firstColumn="1" w:firstRow="1" w:lastColumn="0" w:lastRow="0" w:noHBand="0" w:noVBand="1" w:val="04A0"/>
      </w:tblPr>
      <w:tblGrid>
        <w:gridCol w:w="3168"/>
        <w:gridCol w:w="3024"/>
        <w:gridCol w:w="3024"/>
      </w:tblGrid>
      <w:tr>
        <w:trPr>
          <w:tblHeader/>
        </w:trPr>
        <w:tc>
          <w:tcPr>
            <w:tcW w:type="dxa" w:w="3168"/>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Useful resolution assumption</w:t>
            </w:r>
          </w:p>
        </w:tc>
        <w:tc>
          <w:tcPr>
            <w:tcW w:type="dxa" w:w="302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Gross time value per month</w:t>
            </w:r>
          </w:p>
        </w:tc>
        <w:tc>
          <w:tcPr>
            <w:tcW w:type="dxa" w:w="302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Net value per month</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USD 166.67</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118.00</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50%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USD 416.67</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368.00</w:t>
            </w:r>
          </w:p>
        </w:tc>
      </w:tr>
      <w:t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80%</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USD 666.67</w:t>
            </w:r>
          </w:p>
        </w:tc>
        <w:tc>
          <w:tcPr>
            <w:tcW w:type="dxa" w:w="30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USD 618.00</w:t>
            </w:r>
          </w:p>
        </w:tc>
      </w:tr>
    </w:tbl>
    <w:p/>
    <w:p>
      <w:r>
        <w:t>At 20%, 50% and 80% useful resolution, net monthly value is USD 118.00, USD 368.00 and USD 618.00 respectively; setup payback at 50% is about 5.4 months. Useful resolution covers the estimated 8–10 weekly answer hours and must use human spot checks, not the 8/8 ticket structural pass rate, 30/30 task score or 5/8 completion rate. Other costs could eliminate the benefit.</w:t>
      </w:r>
    </w:p>
    <w:p>
      <w:pPr>
        <w:pStyle w:val="Heading1"/>
      </w:pPr>
      <w:r>
        <w:t>6 Responsible use and remaining limits</w:t>
      </w:r>
    </w:p>
    <w:tbl>
      <w:tblPr>
        <w:tblW w:type="auto" w:w="0"/>
        <w:tblLayout w:type="fixed"/>
        <w:tblLook w:firstColumn="1" w:firstRow="1" w:lastColumn="0" w:lastRow="0" w:noHBand="0" w:noVBand="1" w:val="04A0"/>
      </w:tblPr>
      <w:tblGrid>
        <w:gridCol w:w="1944"/>
        <w:gridCol w:w="3312"/>
        <w:gridCol w:w="3960"/>
      </w:tblGrid>
      <w:tr>
        <w:trPr>
          <w:tblHeader/>
        </w:trPr>
        <w:tc>
          <w:tcPr>
            <w:tcW w:type="dxa" w:w="194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Risk</w:t>
            </w:r>
          </w:p>
        </w:tc>
        <w:tc>
          <w:tcPr>
            <w:tcW w:type="dxa" w:w="331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Current control</w:t>
            </w:r>
          </w:p>
        </w:tc>
        <w:tc>
          <w:tcPr>
            <w:tcW w:type="dxa" w:w="396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Remaining limit</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Policy errors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Version checks, retrieved evidence and source IDs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independent HR approval; cited answers can still be misleading.</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Unwanted action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Conservative routing and unsubmitted drafts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authenticated production confirmation or HR connector.</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Invented personal fields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Explicit extraction, nulls and format checks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Narrow input patterns; no guided collection of missing fields.</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Prompt injection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Instruction boundary and blocked patterns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Not exhaustive; no penetration test or hostile-document study.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Sensitive information</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Fictional data and visible input warning</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Questions and excerpts are sent to the selected API provider; no comprehensive redaction.</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Provider failure</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Visible API errors and local fallback</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No outage, concurrency or sustained-load study.</w:t>
            </w:r>
          </w:p>
        </w:tc>
      </w:tr>
      <w:tr>
        <w:tc>
          <w:tcPr>
            <w:tcW w:type="dxa" w:w="19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Automation bias</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Draft notices and explicit limits</w:t>
            </w:r>
          </w:p>
        </w:tc>
        <w:tc>
          <w:tcPr>
            <w:tcW w:type="dxa" w:w="39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Complete structured fields may coexist with misleading answer text.</w:t>
            </w:r>
          </w:p>
        </w:tc>
      </w:tr>
    </w:tbl>
    <w:p/>
    <w:p>
      <w:pPr>
        <w:pStyle w:val="Heading2"/>
      </w:pPr>
      <w:r>
        <w:t>Verification boundaries</w:t>
      </w:r>
    </w:p>
    <w:p>
      <w:r>
        <w:t>The prototype has not been tested with real employees or connected to a production HR system. No security penetration test, independent policy-correctness study, usability trial or controlled cost-saving experiment has been performed. The saved challenge set was run locally, so it does not measure live-model robustness. A valid citation ID establishes provenance, not factual entailment.</w:t>
      </w:r>
    </w:p>
    <w:p>
      <w:r>
        <w:t>The revised live run and the screenshots establish that the three demonstrated paths can execute. They do not demonstrate multi-turn completion or resolve the text-quality issues described in section 4. The revised ticket target remains unmet under the strict first-turn definition.</w:t>
      </w:r>
    </w:p>
    <w:p>
      <w:pPr>
        <w:pStyle w:val="Heading2"/>
      </w:pPr>
      <w:r>
        <w:t>Priorities before a pilot</w:t>
      </w:r>
    </w:p>
    <w:p>
      <w:r>
        <w:t>First, align generated wording with validated ticket status and prevent unnecessary personal-data requests. Second, add a form or stateful flow to collect missing fields, then measure completion across the whole interaction. Third, have HR independently approve a versioned policy snapshot and label a locked test set containing contradictions, outdated terms and unfamiliar phrasing.</w:t>
      </w:r>
    </w:p>
    <w:p>
      <w:r>
        <w:t>The server binds to loopback for local demonstration. A future deployment would require authentication, access controls, retention rules, monitoring and explicit confirmation before any new submission connector. Policy interpretation and employment decisions remain with HR. Embedding retrieval should be compared against the same frozen questions before replacing the lexical baseline.</w:t>
      </w:r>
    </w:p>
    <w:p>
      <w:r>
        <w:br w:type="page"/>
      </w:r>
    </w:p>
    <w:p>
      <w:pPr>
        <w:pStyle w:val="Heading1"/>
      </w:pPr>
      <w:r>
        <w:t>7 Reproduction and evidence</w:t>
      </w:r>
    </w:p>
    <w:p>
      <w:pPr>
        <w:pStyle w:val="Heading2"/>
      </w:pPr>
      <w:r>
        <w:t>Run the application and checks</w:t>
      </w:r>
    </w:p>
    <w:p>
      <w:r>
        <w:t>From the project root with Python 3.10 or newer, run python3 -m unittest discover -v. Run python3 evaluate.py for the local development set, and python3 evaluate.py --cases tests/challenge.json --output results/challenge.json for the local challenge set. Run python3 compare.py for keyword and threshold comparisons. Local application code uses the Python standard library.</w:t>
      </w:r>
    </w:p>
    <w:p>
      <w:r>
        <w:t>For the real-model browser demo, run python3 run_openrouter.py, enter the key at its hidden prompt, and open http://127.0.0.1:8765. Select OpenRouter in the interface. Run python3 run_openrouter.py --evaluate to save another model evaluation; archive existing results first because the command overwrites results/openrouter.json. Never include keys in the repository, report or video.</w:t>
      </w:r>
    </w:p>
    <w:p>
      <w:r>
        <w:t>The saved revised run uses prompt version draft-intent-v2. Dataset, policy and source SHA-256 values are recorded in results/openrouter.json. Provider errors visibly fall back to local output; fallback results must not be reported as model responses. No new API calls were needed to update this report. Run python3 scripts/summarize_evidence.py to aggregate separate answer-quality, ticket-structure, workflow-completion, escalation and cost measures without model calls. The human answer spot-check protocol is tests/MANUAL_ANSWER_SPOT_CHECK.md.</w:t>
      </w:r>
    </w:p>
    <w:p>
      <w:pPr>
        <w:pStyle w:val="Heading2"/>
      </w:pPr>
      <w:r>
        <w:t>Deliverable and evidence map</w:t>
      </w:r>
    </w:p>
    <w:tbl>
      <w:tblPr>
        <w:tblW w:type="auto" w:w="0"/>
        <w:tblLayout w:type="fixed"/>
        <w:tblLook w:firstColumn="1" w:firstRow="1" w:lastColumn="0" w:lastRow="0" w:noHBand="0" w:noVBand="1" w:val="04A0"/>
      </w:tblPr>
      <w:tblGrid>
        <w:gridCol w:w="2376"/>
        <w:gridCol w:w="6840"/>
      </w:tblGrid>
      <w:tr>
        <w:trPr>
          <w:tblHeader/>
        </w:trPr>
        <w:tc>
          <w:tcPr>
            <w:tcW w:type="dxa" w:w="2376"/>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Item</w:t>
            </w:r>
          </w:p>
        </w:tc>
        <w:tc>
          <w:tcPr>
            <w:tcW w:type="dxa" w:w="684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Location or status</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Current report</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docs/Final_Report.docx; the single current report in this package.</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Live results</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results/openrouter.json and openrouter_before_prompt_v2.json</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Baseline and cost evidence</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results/comparison.json, challenge.json and report_cost_summary.json</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Code and tests</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src/hrask.py, evaluate.py, server.py, policies/ and tests/; GitHub publication not verified.</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English demonstration</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docs/HR_Ask_English_Demo.mp4; actual application screenshots with synthetic English narration and subtitles; updated assessment segment.</w:t>
            </w:r>
          </w:p>
        </w:tc>
      </w:tr>
      <w:tr>
        <w:tc>
          <w:tcPr>
            <w:tcW w:type="dxa" w:w="23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Self appraisal</w:t>
            </w:r>
          </w:p>
        </w:tc>
        <w:tc>
          <w:tcPr>
            <w:tcW w:type="dxa" w:w="68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sz w:val="18"/>
              </w:rPr>
              <w:t>docs/Self_Appraisal.docx; evidence-based cover updated for this package; personal review and confirmation still required.</w:t>
            </w:r>
          </w:p>
        </w:tc>
      </w:tr>
    </w:tbl>
    <w:p/>
    <w:p>
      <w:pPr>
        <w:pStyle w:val="Heading2"/>
      </w:pPr>
      <w:r>
        <w:t>Sources and attribution</w:t>
      </w:r>
    </w:p>
    <w:p>
      <w:r>
        <w:rPr>
          <w:sz w:val="18"/>
        </w:rPr>
        <w:t>[1] HR-Ask saved live evaluation outputs, 21 September 2026: results/openrouter_before_prompt_v2.json and results/openrouter.json. [2] Kang Xingyao, original Project Problem Statement dated 22 August 2026, and supplied Revised After Feedback version received on 23 September 2026; revised document included as docs/Problem_Statement_Revised.docx. [3] HR-Ask local evaluation records: results/offline_after_prompt_v2.json, challenge.json and comparison.json; tests/cases.json and tests/challenge.json.</w:t>
      </w:r>
    </w:p>
    <w:p>
      <w:pPr/>
      <w:r>
        <w:t>[4] PE6201 Class 5 Capsule 2, What does it actually cost, supplied course material. Used for the cost-to-serve method: per-task variable cost, expected human fallback and fixed maintenance. [5] OpenRouter Structured Outputs documentation: https://openrouter.ai/docs/guides/features/structured-outputs. [6] Supplied course assessment screenshot, End-of-Course Project deliverables.</w:t>
      </w:r>
    </w:p>
    <w:p>
      <w:r>
        <w:rPr>
          <w:sz w:val="18"/>
        </w:rPr>
        <w:t>AI assistance was used for code, synthetic data, analysis, report writing and video materials. The video uses synthetic narration and actual application screenshots, not the student’s voice or a continuous recording. The student remains responsible for reviewing the work, explaining the design and declaring assistance under the course requirements.</w:t>
      </w:r>
    </w:p>
    <w:p>
      <w:pPr>
        <w:pStyle w:val="Heading1"/>
      </w:pPr>
      <w:r>
        <w:t>8 Alignment with the revised proposal</w:t>
      </w:r>
    </w:p>
    <w:p>
      <w:r>
        <w:t>The revised proposal asks for separate policy-answer and ticket scores, informal questions, expected answers defined before testing, and observed model cost. The existing core is preserved so the saved live evidence remains attributable to the same code. This section distinguishes completed checks from methodological gaps rather than treating the proposal as a claim that every feature has been delivered.</w:t>
      </w:r>
    </w:p>
    <w:tbl>
      <w:tblPr>
        <w:tblW w:type="auto" w:w="0"/>
        <w:tblLayout w:type="fixed"/>
        <w:tblLook w:firstColumn="1" w:firstRow="1" w:lastColumn="0" w:lastRow="0" w:noHBand="0" w:noVBand="1" w:val="04A0"/>
      </w:tblPr>
      <w:tblGrid>
        <w:gridCol w:w="2952"/>
        <w:gridCol w:w="1584"/>
        <w:gridCol w:w="4680"/>
      </w:tblGrid>
      <w:tr>
        <w:trPr>
          <w:tblHeader/>
        </w:trPr>
        <w:tc>
          <w:tcPr>
            <w:tcW w:type="dxa" w:w="2952"/>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Separate measure</w:t>
            </w:r>
          </w:p>
        </w:tc>
        <w:tc>
          <w:tcPr>
            <w:tcW w:type="dxa" w:w="1584"/>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Result</w:t>
            </w:r>
          </w:p>
        </w:tc>
        <w:tc>
          <w:tcPr>
            <w:tcW w:type="dxa" w:w="4680"/>
            <w:vAlign w:val="center"/>
            <w:tcBorders>
              <w:top w:val="single" w:sz="4" w:color="D9D9D9"/>
              <w:left w:val="single" w:sz="4" w:color="D9D9D9"/>
              <w:bottom w:val="single" w:sz="4" w:color="D9D9D9"/>
              <w:right w:val="single" w:sz="4" w:color="D9D9D9"/>
            </w:tcBorders>
            <w:shd w:fill="E4EBF0"/>
            <w:tcMar>
              <w:top w:w="90" w:type="dxa"/>
              <w:left w:w="90" w:type="dxa"/>
              <w:bottom w:w="90" w:type="dxa"/>
              <w:right w:w="90" w:type="dxa"/>
            </w:tcMar>
          </w:tcPr>
          <w:p>
            <w:pPr>
              <w:spacing w:after="60" w:line="252" w:lineRule="auto"/>
            </w:pPr>
            <w:r>
              <w:rPr>
                <w:b/>
                <w:sz w:val="18"/>
              </w:rPr>
              <w:t>Scope</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Answer-quality review</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22/25 (88%)</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AI-assisted retrospective review; human spot check pending</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Ticket structural pass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8/8 (100%)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r>
              <w:t>Valid JSON, five fields and correct request type; first-turn completion is separately 5/8</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Intent accuracy</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30/30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Known development cases; model and local gate combined</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Escalation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3/30 (10%)</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T28, T29, T30; no API errors</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Clarification rate</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2/30 (6.67%)</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T11, T19; separate from escalation</w:t>
            </w:r>
          </w:p>
        </w:tc>
      </w:tr>
      <w:tr>
        <w:tc>
          <w:tcPr>
            <w:tcW w:type="dxa" w:w="295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Informal diagnostics</w:t>
            </w:r>
          </w:p>
        </w:tc>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7/12</w:t>
            </w:r>
          </w:p>
        </w:tc>
        <w:tc>
          <w:tcPr>
            <w:tcW w:type="dxa" w:w="468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60" w:line="252" w:lineRule="auto"/>
            </w:pPr>
            <w:r>
              <w:rPr>
                <w:b w:val="0"/>
                <w:sz w:val="18"/>
              </w:rPr>
              <w:t>Offline only; 23 September developer-authored supplementary set</w:t>
            </w:r>
          </w:p>
        </w:tc>
      </w:tr>
    </w:tbl>
    <w:p/>
    <w:p>
      <w:pPr>
        <w:pStyle w:val="Heading2"/>
      </w:pPr>
      <w:r>
        <w:t>Policy review criteria and timing</w:t>
      </w:r>
    </w:p>
    <w:p>
      <w:r>
        <w:t>The 25 cases with a gold policy passage are eligible; five workflow-only clarification or escalation cases are excluded. A policy answer passes when the relevant source is retrieved, its core conclusion is supported, and it introduces no material unsupported requirement or policy claim. The review uses both the stored answer and the policy text. T07 adds an unsupported name requirement; T10 omits the emergency route and categorically rejects tomorrow’s leave; T23 makes an unsupported generalization about contribution standards. T08 has a redundant drafting confirmation, recorded as a usability issue rather than a policy failure.</w:t>
      </w:r>
    </w:p>
    <w:p>
      <w:r>
        <w:t>Expected conclusions and judgments were written on 23 September after observing the 21 September model outputs. They are explicitly retrospective, not pre-registered labels or independent human validation. Files tests/policy_answer_rubric.json and results/policy_answer_review.json provide every case, expected conclusion, answer and rationale. The latter is bound to the reviewed result by a SHA-256 hash. Student and independent HR verification remain pending.</w:t>
      </w:r>
    </w:p>
    <w:p>
      <w:pPr>
        <w:pStyle w:val="Heading2"/>
      </w:pPr>
      <w:r>
        <w:t>Informal language and proposal gaps</w:t>
      </w:r>
    </w:p>
    <w:p>
      <w:r>
        <w:t>Twelve additional inputs were written before their diagnostic execution, but by an assistant already familiar with the implementation. They include short Chinese requests, misspellings, English abbreviations, omitted policy terms and positive controls. At the frozen core revision, 7/12 engineering cases pass and gold retrieval is 7/11. The proposal example “need leave tmr, family thing” escalates instead of creating a draft, exposing the lexical gate limitation. No live API was called for this supplementary set.</w:t>
      </w:r>
    </w:p>
    <w:p>
      <w:r>
        <w:t>The stronger goal of defining all expected answers before the original live test remains unmet. Chroma, a 30–50-page corpus and robust informal-language handling also remain proposal-to-implementation gaps. A future evaluation should freeze a separate rubric and test set, then obtain independent HR review.</w:t>
      </w:r>
    </w:p>
    <w:p>
      <w:pPr>
        <w:pStyle w:val="Heading1"/>
        <w:pageBreakBefore/>
        <w:spacing w:after="180"/>
      </w:pPr>
      <w:r>
        <w:rPr>
          <w:rFonts w:ascii="Arial" w:hAnsi="Arial"/>
          <w:color w:val="000000"/>
          <w:sz w:val="34"/>
        </w:rPr>
        <w:t>Appendix Positive and Negative Examples</w:t>
      </w:r>
    </w:p>
    <w:p>
      <w:pPr>
        <w:pageBreakBefore w:val="0"/>
        <w:spacing w:after="140" w:line="276" w:lineRule="auto"/>
      </w:pPr>
      <w:r>
        <w:rPr>
          <w:rFonts w:ascii="Arial" w:hAnsi="Arial"/>
          <w:b w:val="0"/>
          <w:color w:val="000000"/>
          <w:sz w:val="21"/>
        </w:rPr>
        <w:t>This appendix uses preserved inputs and outputs to show where HR Ask performed correctly and where it remained limited. Positive and negative observations assess policy content, ticket fields and intent recognition separately. Passing automated checks alone does not establish that every sentence is correct.</w:t>
      </w:r>
    </w:p>
    <w:p>
      <w:pPr>
        <w:pageBreakBefore w:val="0"/>
        <w:spacing w:after="140" w:line="276" w:lineRule="auto"/>
      </w:pPr>
      <w:r>
        <w:rPr>
          <w:rFonts w:ascii="Arial" w:hAnsi="Arial"/>
          <w:b w:val="0"/>
          <w:color w:val="000000"/>
          <w:sz w:val="18"/>
        </w:rPr>
        <w:t>Live-model examples are from the historical OpenRouter evaluation on 21 September 2026. Offline examples are from the informal-language diagnostic on 23 September 2026. This appendix made no new API calls. All policies and employee examples are fictional educational material.</w:t>
      </w:r>
    </w:p>
    <w:p>
      <w:pPr>
        <w:pStyle w:val="Heading2"/>
        <w:pageBreakBefore w:val="0"/>
        <w:spacing w:after="180"/>
      </w:pPr>
      <w:r>
        <w:rPr>
          <w:rFonts w:ascii="Arial" w:hAnsi="Arial"/>
          <w:color w:val="000000"/>
          <w:sz w:val="24"/>
        </w:rPr>
        <w:t>Positive example one Accurate policy answer without an unwanted ticket</w:t>
      </w:r>
    </w:p>
    <w:p>
      <w:pPr>
        <w:pageBreakBefore w:val="0"/>
        <w:spacing w:after="140" w:line="276" w:lineRule="auto"/>
      </w:pPr>
      <w:r>
        <w:rPr>
          <w:rFonts w:ascii="Arial" w:hAnsi="Arial"/>
          <w:b w:val="0"/>
          <w:color w:val="000000"/>
          <w:sz w:val="21"/>
        </w:rPr>
        <w:t>User input (English translation): How many annual-leave days are available each year?</w:t>
      </w:r>
    </w:p>
    <w:p>
      <w:pPr>
        <w:pageBreakBefore w:val="0"/>
        <w:spacing w:after="140" w:line="276" w:lineRule="auto"/>
      </w:pPr>
      <w:r>
        <w:rPr>
          <w:rFonts w:ascii="Arial" w:hAnsi="Arial"/>
          <w:b w:val="0"/>
          <w:color w:val="000000"/>
          <w:sz w:val="21"/>
        </w:rPr>
        <w:t>Observed output translation: Full-time employees in this simulated company receive 12 days of annual leave each year.</w:t>
      </w:r>
    </w:p>
    <w:p>
      <w:pPr>
        <w:pageBreakBefore w:val="0"/>
        <w:spacing w:after="140" w:line="276" w:lineRule="auto"/>
      </w:pPr>
      <w:r>
        <w:rPr>
          <w:rFonts w:ascii="Arial" w:hAnsi="Arial"/>
          <w:b w:val="0"/>
          <w:color w:val="000000"/>
          <w:sz w:val="21"/>
        </w:rPr>
        <w:t>Observed status: intent consult; mode openrouter; no ticket created.</w:t>
      </w:r>
    </w:p>
    <w:p>
      <w:pPr>
        <w:pageBreakBefore w:val="0"/>
        <w:spacing w:after="140" w:line="276" w:lineRule="auto"/>
      </w:pPr>
      <w:r>
        <w:rPr>
          <w:rFonts w:ascii="Arial" w:hAnsi="Arial"/>
          <w:b w:val="0"/>
          <w:color w:val="000000"/>
          <w:sz w:val="21"/>
        </w:rPr>
        <w:t>Explanation: The answer matches the simulated 12-day annual-leave allowance in HR-HB-01/annual. The user requested information rather than a draft, so the system did not create a ticket. The allowance is a fictional company rule, not an employment-law claim.</w:t>
      </w:r>
    </w:p>
    <w:p>
      <w:pPr>
        <w:pageBreakBefore w:val="0"/>
        <w:spacing w:after="140" w:line="276" w:lineRule="auto"/>
      </w:pPr>
      <w:r>
        <w:rPr>
          <w:rFonts w:ascii="Arial" w:hAnsi="Arial"/>
          <w:b w:val="0"/>
          <w:color w:val="000000"/>
          <w:sz w:val="18"/>
        </w:rPr>
        <w:t>Evidence: results/openrouter.json, case T01.</w:t>
      </w:r>
    </w:p>
    <w:p>
      <w:pPr>
        <w:pStyle w:val="Heading2"/>
        <w:pageBreakBefore w:val="0"/>
        <w:spacing w:after="180"/>
      </w:pPr>
      <w:r>
        <w:rPr>
          <w:rFonts w:ascii="Arial" w:hAnsi="Arial"/>
          <w:color w:val="000000"/>
          <w:sz w:val="24"/>
        </w:rPr>
        <w:t>Positive example two Complete personal-leave draft</w:t>
      </w:r>
    </w:p>
    <w:p>
      <w:pPr>
        <w:pageBreakBefore w:val="0"/>
        <w:spacing w:after="140" w:line="276" w:lineRule="auto"/>
      </w:pPr>
      <w:r>
        <w:rPr>
          <w:rFonts w:ascii="Arial" w:hAnsi="Arial"/>
          <w:b w:val="0"/>
          <w:color w:val="000000"/>
          <w:sz w:val="21"/>
        </w:rPr>
        <w:t>User input (English translation): I want to apply for personal leave. E1003, 2026-09-24, reason: personal matter; contact: phone.</w:t>
      </w:r>
    </w:p>
    <w:p>
      <w:pPr>
        <w:pageBreakBefore w:val="0"/>
        <w:spacing w:after="140" w:line="276" w:lineRule="auto"/>
      </w:pPr>
      <w:r>
        <w:rPr>
          <w:rFonts w:ascii="Arial" w:hAnsi="Arial"/>
          <w:b w:val="0"/>
          <w:color w:val="000000"/>
          <w:sz w:val="21"/>
        </w:rPr>
        <w:t>Observed output translation: Under company policy, a personal-leave request needs a date and reason and is subject to supervisor approval. Your date is 24 September 2026 and your reason is a personal matter. I can prepare an unsubmitted draft. Draft only; not submitted or approved.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The system recognized an explicit drafting request, extracted all five required fields and stated that the draft was neither submitted nor approved. The structured draft matches the supplied information.</w:t>
      </w:r>
    </w:p>
    <w:p>
      <w:pPr>
        <w:pageBreakBefore w:val="0"/>
        <w:spacing w:after="140" w:line="276" w:lineRule="auto"/>
      </w:pPr>
      <w:r>
        <w:rPr>
          <w:rFonts w:ascii="Arial" w:hAnsi="Arial"/>
          <w:b w:val="0"/>
          <w:color w:val="000000"/>
          <w:sz w:val="18"/>
        </w:rPr>
        <w:t>Evidence: results/openrouter.json, case T09.</w:t>
      </w:r>
    </w:p>
    <w:p>
      <w:pPr>
        <w:pageBreakBefore w:val="0"/>
        <w:spacing w:after="140" w:line="276" w:lineRule="auto"/>
      </w:pPr>
      <w:r>
        <w:rPr>
          <w:rFonts w:ascii="Arial" w:hAnsi="Arial"/>
          <w:b w:val="0"/>
          <w:color w:val="000000"/>
          <w:sz w:val="19"/>
        </w:rPr>
        <w:t>Observed draft fields: employee_id = E1003; request_type = personal_leave; requested_date = 2026-09-24; reason = private matter; contact_channel = phone.</w:t>
      </w:r>
    </w:p>
    <w:p>
      <w:pPr>
        <w:pStyle w:val="Heading1"/>
        <w:pageBreakBefore/>
        <w:spacing w:after="180"/>
      </w:pPr>
      <w:r>
        <w:rPr>
          <w:rFonts w:ascii="Arial" w:hAnsi="Arial"/>
          <w:color w:val="000000"/>
          <w:sz w:val="34"/>
        </w:rPr>
        <w:t>Negative examples in live model answers</w:t>
      </w:r>
    </w:p>
    <w:p>
      <w:pPr>
        <w:pStyle w:val="Heading2"/>
        <w:pageBreakBefore w:val="0"/>
        <w:spacing w:after="180"/>
      </w:pPr>
      <w:r>
        <w:rPr>
          <w:rFonts w:ascii="Arial" w:hAnsi="Arial"/>
          <w:color w:val="000000"/>
          <w:sz w:val="24"/>
        </w:rPr>
        <w:t>Negative example one Extra personal information requested after all fields were present</w:t>
      </w:r>
    </w:p>
    <w:p>
      <w:pPr>
        <w:pageBreakBefore w:val="0"/>
        <w:spacing w:after="140" w:line="276" w:lineRule="auto"/>
      </w:pPr>
      <w:r>
        <w:rPr>
          <w:rFonts w:ascii="Arial" w:hAnsi="Arial"/>
          <w:b w:val="0"/>
          <w:color w:val="000000"/>
          <w:sz w:val="21"/>
        </w:rPr>
        <w:t>User input (English translation): Please apply for annual leave. E1001, 2026-09-25, reason: family arrangement; contact: email.</w:t>
      </w:r>
    </w:p>
    <w:p>
      <w:pPr>
        <w:pageBreakBefore w:val="0"/>
        <w:spacing w:after="140" w:line="276" w:lineRule="auto"/>
      </w:pPr>
      <w:r>
        <w:rPr>
          <w:rFonts w:ascii="Arial" w:hAnsi="Arial"/>
          <w:b w:val="0"/>
          <w:color w:val="000000"/>
          <w:sz w:val="21"/>
        </w:rPr>
        <w:t>Observed output translation excerpt: Please provide your name and other necessary personal information so that the draft can be completed.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All five required fields were already present, complete was true, and the automated engineering checks passed. However, the answer asked for a name and other personal information, which conflicts with the existing five-field rule and the completed-draft status. This shows that correct structured fields do not guarantee that the entire answer is correct.</w:t>
      </w:r>
    </w:p>
    <w:p>
      <w:pPr>
        <w:pageBreakBefore w:val="0"/>
        <w:spacing w:after="140" w:line="276" w:lineRule="auto"/>
      </w:pPr>
      <w:r>
        <w:rPr>
          <w:rFonts w:ascii="Arial" w:hAnsi="Arial"/>
          <w:b w:val="0"/>
          <w:color w:val="000000"/>
          <w:sz w:val="21"/>
        </w:rPr>
        <w:t>Suggested improvement: Use validated missing fields to control information requests. When missing_fields is empty, ask the user only to review the draft. This is a proposed improvement, not an implemented change.</w:t>
      </w:r>
    </w:p>
    <w:p>
      <w:pPr>
        <w:pageBreakBefore w:val="0"/>
        <w:spacing w:after="140" w:line="276" w:lineRule="auto"/>
      </w:pPr>
      <w:r>
        <w:rPr>
          <w:rFonts w:ascii="Arial" w:hAnsi="Arial"/>
          <w:b w:val="0"/>
          <w:color w:val="000000"/>
          <w:sz w:val="18"/>
        </w:rPr>
        <w:t>Evidence: results/openrouter.json, case T07.</w:t>
      </w:r>
    </w:p>
    <w:p>
      <w:pPr>
        <w:pageBreakBefore w:val="0"/>
        <w:spacing w:after="140" w:line="276" w:lineRule="auto"/>
      </w:pPr>
      <w:r>
        <w:rPr>
          <w:rFonts w:ascii="Arial" w:hAnsi="Arial"/>
          <w:b w:val="0"/>
          <w:color w:val="000000"/>
          <w:sz w:val="19"/>
        </w:rPr>
        <w:t>Observed draft fields: employee_id = E1001; request_type = annual_leave; requested_date = 2026-09-25; reason = family arrangement; contact_channel = email.</w:t>
      </w:r>
    </w:p>
    <w:p>
      <w:pPr>
        <w:pStyle w:val="Heading2"/>
        <w:pageBreakBefore w:val="0"/>
        <w:spacing w:after="180"/>
      </w:pPr>
      <w:r>
        <w:rPr>
          <w:rFonts w:ascii="Arial" w:hAnsi="Arial"/>
          <w:color w:val="000000"/>
          <w:sz w:val="24"/>
        </w:rPr>
        <w:t>Negative example two An overly absolute conclusion about leave requested for tomorrow</w:t>
      </w:r>
    </w:p>
    <w:p>
      <w:pPr>
        <w:pageBreakBefore w:val="0"/>
        <w:spacing w:after="140" w:line="276" w:lineRule="auto"/>
      </w:pPr>
      <w:r>
        <w:rPr>
          <w:rFonts w:ascii="Arial" w:hAnsi="Arial"/>
          <w:b w:val="0"/>
          <w:color w:val="000000"/>
          <w:sz w:val="21"/>
        </w:rPr>
        <w:t>User input (English translation): Please apply for annual leave tomorrow.</w:t>
      </w:r>
    </w:p>
    <w:p>
      <w:pPr>
        <w:pageBreakBefore w:val="0"/>
        <w:spacing w:after="140" w:line="276" w:lineRule="auto"/>
      </w:pPr>
      <w:r>
        <w:rPr>
          <w:rFonts w:ascii="Arial" w:hAnsi="Arial"/>
          <w:b w:val="0"/>
          <w:color w:val="000000"/>
          <w:sz w:val="21"/>
        </w:rPr>
        <w:t>Observed output translation excerpt: The annual-leave process requires requests at least two working days in advance. Therefore, you cannot apply for leave tomorrow.</w:t>
      </w:r>
    </w:p>
    <w:p>
      <w:pPr>
        <w:pageBreakBefore w:val="0"/>
        <w:spacing w:after="140" w:line="276" w:lineRule="auto"/>
      </w:pPr>
      <w:r>
        <w:rPr>
          <w:rFonts w:ascii="Arial" w:hAnsi="Arial"/>
          <w:b w:val="0"/>
          <w:color w:val="000000"/>
          <w:sz w:val="21"/>
        </w:rPr>
        <w:t>Observed status: intent draft; mode openrouter; incomplete unsubmitted draft.</w:t>
      </w:r>
    </w:p>
    <w:p>
      <w:pPr>
        <w:pageBreakBefore w:val="0"/>
        <w:spacing w:after="140" w:line="276" w:lineRule="auto"/>
      </w:pPr>
      <w:r>
        <w:rPr>
          <w:rFonts w:ascii="Arial" w:hAnsi="Arial"/>
          <w:b w:val="0"/>
          <w:color w:val="000000"/>
          <w:sz w:val="21"/>
        </w:rPr>
        <w:t>Explanation: HR-LV-01/annual requires two working days of notice but also directs employees with urgent situations to contact their supervisor first. The answer said that leave for tomorrow could not be requested and omitted the emergency route. Preserving missing fields was correct, but the policy conclusion was incomplete.</w:t>
      </w:r>
    </w:p>
    <w:p>
      <w:pPr>
        <w:pageBreakBefore w:val="0"/>
        <w:spacing w:after="140" w:line="276" w:lineRule="auto"/>
      </w:pPr>
      <w:r>
        <w:rPr>
          <w:rFonts w:ascii="Arial" w:hAnsi="Arial"/>
          <w:b w:val="0"/>
          <w:color w:val="000000"/>
          <w:sz w:val="21"/>
        </w:rPr>
        <w:t>Suggested improvement: State that the normal process requires two working days of notice, advise the employee to contact the supervisor first if urgent, and clarify that approval remains the supervisor’s decision. This is not the original output and is not an implemented fix.</w:t>
      </w:r>
    </w:p>
    <w:p>
      <w:pPr>
        <w:pageBreakBefore w:val="0"/>
        <w:spacing w:after="140" w:line="276" w:lineRule="auto"/>
      </w:pPr>
      <w:r>
        <w:rPr>
          <w:rFonts w:ascii="Arial" w:hAnsi="Arial"/>
          <w:b w:val="0"/>
          <w:color w:val="000000"/>
          <w:sz w:val="18"/>
        </w:rPr>
        <w:t>Evidence: results/openrouter.json, case T10.</w:t>
      </w:r>
    </w:p>
    <w:p>
      <w:pPr>
        <w:pageBreakBefore w:val="0"/>
        <w:spacing w:after="140" w:line="276" w:lineRule="auto"/>
      </w:pPr>
      <w:r>
        <w:rPr>
          <w:rFonts w:ascii="Arial" w:hAnsi="Arial"/>
          <w:b w:val="0"/>
          <w:color w:val="000000"/>
          <w:sz w:val="18"/>
        </w:rPr>
        <w:t>Date note: the historical evaluation fixed its reference date at 2026-09-21, so “tomorrow” was parsed as 2026-09-22.</w:t>
      </w:r>
    </w:p>
    <w:p>
      <w:pPr>
        <w:pStyle w:val="Heading1"/>
        <w:pageBreakBefore/>
        <w:spacing w:after="180"/>
      </w:pPr>
      <w:r>
        <w:rPr>
          <w:rFonts w:ascii="Arial" w:hAnsi="Arial"/>
          <w:color w:val="000000"/>
          <w:sz w:val="34"/>
        </w:rPr>
        <w:t>Negative examples in offline informal-language handling</w:t>
      </w:r>
    </w:p>
    <w:p>
      <w:pPr>
        <w:pStyle w:val="Heading2"/>
        <w:pageBreakBefore w:val="0"/>
        <w:spacing w:after="180"/>
      </w:pPr>
      <w:r>
        <w:rPr>
          <w:rFonts w:ascii="Arial" w:hAnsi="Arial"/>
          <w:color w:val="000000"/>
          <w:sz w:val="24"/>
        </w:rPr>
        <w:t>Negative example three English abbreviation was not recognized</w:t>
      </w:r>
    </w:p>
    <w:p>
      <w:pPr>
        <w:pageBreakBefore w:val="0"/>
        <w:spacing w:after="140" w:line="276" w:lineRule="auto"/>
      </w:pPr>
      <w:r>
        <w:rPr>
          <w:rFonts w:ascii="Arial" w:hAnsi="Arial"/>
          <w:b w:val="0"/>
          <w:color w:val="000000"/>
          <w:sz w:val="21"/>
        </w:rPr>
        <w:t>User input (English translation): need leave tmr, family thing</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test labels this expression as a personal-leave draft request, but the offline gate did not recognize terms such as leave and tmr. It escalated without creating an incomplete draft. This case did not call a model, so it does not show that the live model also failed.</w:t>
      </w:r>
    </w:p>
    <w:p>
      <w:pPr>
        <w:pageBreakBefore w:val="0"/>
        <w:spacing w:after="140" w:line="276" w:lineRule="auto"/>
      </w:pPr>
      <w:r>
        <w:rPr>
          <w:rFonts w:ascii="Arial" w:hAnsi="Arial"/>
          <w:b w:val="0"/>
          <w:color w:val="000000"/>
          <w:sz w:val="21"/>
        </w:rPr>
        <w:t>Suggested improvement: Add informal-language and abbreviation handling. For an uncertain leave type, ask a clarification question and collect missing fields. The personal-leave interpretation is a developer-authored label, not the only possible interpretation.</w:t>
      </w:r>
    </w:p>
    <w:p>
      <w:pPr>
        <w:pageBreakBefore w:val="0"/>
        <w:spacing w:after="140" w:line="276" w:lineRule="auto"/>
      </w:pPr>
      <w:r>
        <w:rPr>
          <w:rFonts w:ascii="Arial" w:hAnsi="Arial"/>
          <w:b w:val="0"/>
          <w:color w:val="000000"/>
          <w:sz w:val="18"/>
        </w:rPr>
        <w:t>Evidence: results/informal_offline.json, case I01.</w:t>
      </w:r>
    </w:p>
    <w:p>
      <w:pPr>
        <w:pStyle w:val="Heading2"/>
        <w:pageBreakBefore w:val="0"/>
        <w:spacing w:after="180"/>
      </w:pPr>
      <w:r>
        <w:rPr>
          <w:rFonts w:ascii="Arial" w:hAnsi="Arial"/>
          <w:color w:val="000000"/>
          <w:sz w:val="24"/>
        </w:rPr>
        <w:t>Negative example four Informal attendance wording did not match the correction process</w:t>
      </w:r>
    </w:p>
    <w:p>
      <w:pPr>
        <w:pageBreakBefore w:val="0"/>
        <w:spacing w:after="140" w:line="276" w:lineRule="auto"/>
      </w:pPr>
      <w:r>
        <w:rPr>
          <w:rFonts w:ascii="Arial" w:hAnsi="Arial"/>
          <w:b w:val="0"/>
          <w:color w:val="000000"/>
          <w:sz w:val="21"/>
        </w:rPr>
        <w:t>User input (English translation): I forgot to scan my badge yesterday. How can I correct the record?</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user described an attendance problem using “badge scan” and “repair the record”. The expected behavior was to explain the correction process, but the offline gate did not cover these expressions and did not retrieve the expected policy section.</w:t>
      </w:r>
    </w:p>
    <w:p>
      <w:pPr>
        <w:pageBreakBefore w:val="0"/>
        <w:spacing w:after="140" w:line="276" w:lineRule="auto"/>
      </w:pPr>
      <w:r>
        <w:rPr>
          <w:rFonts w:ascii="Arial" w:hAnsi="Arial"/>
          <w:b w:val="0"/>
          <w:color w:val="000000"/>
          <w:sz w:val="21"/>
        </w:rPr>
        <w:t>Suggested improvement: Add attendance synonyms and validate them with a new pre-labelled test set. The answer should be grounded in HR-AT-01/correction, including the three-working-day deadline and the required work record.</w:t>
      </w:r>
    </w:p>
    <w:p>
      <w:pPr>
        <w:pageBreakBefore w:val="0"/>
        <w:spacing w:after="140" w:line="276" w:lineRule="auto"/>
      </w:pPr>
      <w:r>
        <w:rPr>
          <w:rFonts w:ascii="Arial" w:hAnsi="Arial"/>
          <w:b w:val="0"/>
          <w:color w:val="000000"/>
          <w:sz w:val="18"/>
        </w:rPr>
        <w:t>Evidence: results/informal_offline.json, case I04.</w:t>
      </w:r>
    </w:p>
    <w:p>
      <w:pPr>
        <w:pStyle w:val="Heading2"/>
        <w:pageBreakBefore w:val="0"/>
        <w:spacing w:after="180"/>
      </w:pPr>
      <w:r>
        <w:rPr>
          <w:rFonts w:ascii="Arial" w:hAnsi="Arial"/>
          <w:color w:val="000000"/>
          <w:sz w:val="24"/>
        </w:rPr>
        <w:t>How to interpret these results</w:t>
      </w:r>
    </w:p>
    <w:p>
      <w:pPr>
        <w:pageBreakBefore w:val="0"/>
        <w:spacing w:after="140" w:line="276" w:lineRule="auto"/>
      </w:pPr>
      <w:r>
        <w:t>Ticket structural pass rate is 8/8 for valid JSON, five fields and correct request type. First-turn complete tickets are 5/8. Policy answer quality is 22/25 in an AI-assisted retrospective review, with human spot checking still pending. Automated engineering checks are 30/30. The informal offline diagnostic is 7/12. These measures assess different capabilities and must not be combined into one accuracy rate.</w:t>
      </w:r>
    </w:p>
    <w:p>
      <w:pPr>
        <w:pageBreakBefore w:val="0"/>
        <w:spacing w:after="140" w:line="276" w:lineRule="auto"/>
      </w:pPr>
      <w:r>
        <w:rPr>
          <w:rFonts w:ascii="Arial" w:hAnsi="Arial"/>
          <w:b w:val="0"/>
          <w:color w:val="000000"/>
          <w:sz w:val="21"/>
        </w:rPr>
        <w:t>Preserving null values avoids inventing information but does not complete a ticket. A correct retrieval or citation identifier also does not guarantee that the answer’s policy conclusion is correct. The negative examples are observed limitations; suggested improvements are not presented as implemented features.</w:t>
      </w:r>
    </w:p>
    <w:p>
      <w:pPr>
        <w:pStyle w:val="Heading1"/>
        <w:pageBreakBefore/>
        <w:spacing w:after="180"/>
      </w:pPr>
      <w:r>
        <w:rPr>
          <w:rFonts w:ascii="Arial" w:hAnsi="Arial"/>
          <w:color w:val="000000"/>
          <w:sz w:val="34"/>
        </w:rPr>
        <w:t>Test set labels</w:t>
      </w:r>
    </w:p>
    <w:p>
      <w:pPr>
        <w:pageBreakBefore w:val="0"/>
        <w:spacing w:after="140" w:line="276" w:lineRule="auto"/>
      </w:pPr>
      <w:r>
        <w:rPr>
          <w:rFonts w:ascii="Arial" w:hAnsi="Arial"/>
          <w:b w:val="0"/>
          <w:color w:val="000000"/>
          <w:sz w:val="21"/>
        </w:rPr>
        <w:t>The three test sets contain 54 cases. Every case has intent, gold_section and complete labels. Labels describe expected behavior; observed system behavior is recorded in the results folder. Expected labels must not be changed simply because the current program produces an incorrect response.</w:t>
      </w:r>
    </w:p>
    <w:p>
      <w:pPr>
        <w:pageBreakBefore w:val="0"/>
        <w:spacing w:after="140" w:line="276" w:lineRule="auto"/>
      </w:pPr>
      <w:r>
        <w:rPr>
          <w:rFonts w:ascii="Arial" w:hAnsi="Arial"/>
          <w:b w:val="0"/>
          <w:color w:val="000000"/>
          <w:sz w:val="21"/>
        </w:rPr>
        <w:t>intent: expected intent. consult is a policy question, draft requests a draft, clarify requires clarification, and escalate is outside the supported scope or requires human handling.</w:t>
      </w:r>
    </w:p>
    <w:p>
      <w:pPr>
        <w:pageBreakBefore w:val="0"/>
        <w:spacing w:after="140" w:line="276" w:lineRule="auto"/>
      </w:pPr>
      <w:r>
        <w:rPr>
          <w:rFonts w:ascii="Arial" w:hAnsi="Arial"/>
          <w:b w:val="0"/>
          <w:color w:val="000000"/>
          <w:sz w:val="21"/>
        </w:rPr>
        <w:t>gold_section: expected policy section, for example HR-HB-01/annual. Cases with no applicable policy section may use null.</w:t>
      </w:r>
    </w:p>
    <w:p>
      <w:pPr>
        <w:pageBreakBefore w:val="0"/>
        <w:spacing w:after="140" w:line="276" w:lineRule="auto"/>
      </w:pPr>
      <w:r>
        <w:rPr>
          <w:rFonts w:ascii="Arial" w:hAnsi="Arial"/>
          <w:b w:val="0"/>
          <w:color w:val="000000"/>
          <w:sz w:val="21"/>
        </w:rPr>
        <w:t>complete: whether the case is expected to produce a complete five-field ticket. False does not mean a non-draft case failed; it means a complete ticket was not required.</w:t>
      </w:r>
    </w:p>
    <w:p>
      <w:pPr>
        <w:pageBreakBefore w:val="0"/>
        <w:spacing w:after="140" w:line="276" w:lineRule="auto"/>
      </w:pPr>
      <w:r>
        <w:rPr>
          <w:rFonts w:ascii="Arial" w:hAnsi="Arial"/>
          <w:b w:val="0"/>
          <w:color w:val="000000"/>
          <w:sz w:val="21"/>
        </w:rPr>
        <w:t>request_type: expected request type, present for some draft cases. expected_ticket: five-field expected values, where missing fields may be null.</w:t>
      </w:r>
    </w:p>
    <w:p>
      <w:pPr>
        <w:pStyle w:val="Heading2"/>
        <w:pageBreakBefore w:val="0"/>
        <w:spacing w:after="180"/>
      </w:pPr>
      <w:r>
        <w:rPr>
          <w:rFonts w:ascii="Arial" w:hAnsi="Arial"/>
          <w:color w:val="000000"/>
          <w:sz w:val="24"/>
        </w:rPr>
        <w:t>Label coverage</w:t>
      </w:r>
    </w:p>
    <w:p>
      <w:pPr>
        <w:pageBreakBefore w:val="0"/>
        <w:spacing w:after="140" w:line="276" w:lineRule="auto"/>
      </w:pPr>
      <w:r>
        <w:rPr>
          <w:rFonts w:ascii="Arial" w:hAnsi="Arial"/>
          <w:b w:val="0"/>
          <w:color w:val="000000"/>
          <w:sz w:val="21"/>
        </w:rPr>
        <w:t>Main set, tests/cases.json: 30 cases: 17 consultation, 8 draft, 2 clarification and 3 escalation cases. All eight draft cases have a request type and five-field expected ticket.</w:t>
      </w:r>
    </w:p>
    <w:p>
      <w:pPr>
        <w:pageBreakBefore w:val="0"/>
        <w:spacing w:after="140" w:line="276" w:lineRule="auto"/>
      </w:pPr>
      <w:r>
        <w:rPr>
          <w:rFonts w:ascii="Arial" w:hAnsi="Arial"/>
          <w:b w:val="0"/>
          <w:color w:val="000000"/>
          <w:sz w:val="21"/>
        </w:rPr>
        <w:t>Challenge set, tests/challenge.json: 12 cases: 9 consultation, 2 draft and 1 escalation case. It has the basic labels but no per-field expected tickets, so it does not support claims of exact field-match testing.</w:t>
      </w:r>
    </w:p>
    <w:p>
      <w:pPr>
        <w:pageBreakBefore w:val="0"/>
        <w:spacing w:after="140" w:line="276" w:lineRule="auto"/>
      </w:pPr>
      <w:r>
        <w:rPr>
          <w:rFonts w:ascii="Arial" w:hAnsi="Arial"/>
          <w:b w:val="0"/>
          <w:color w:val="000000"/>
          <w:sz w:val="21"/>
        </w:rPr>
        <w:t>Informal set, tests/informal_cases.json: 12 cases: 8 consultation, 3 draft and 1 clarification case. The three draft cases have request-type labels; one has a five-field expected ticket.</w:t>
      </w:r>
    </w:p>
    <w:p>
      <w:pPr>
        <w:pageBreakBefore w:val="0"/>
        <w:spacing w:after="140" w:line="276" w:lineRule="auto"/>
      </w:pPr>
      <w:r>
        <w:rPr>
          <w:rFonts w:ascii="Arial" w:hAnsi="Arial"/>
          <w:b w:val="0"/>
          <w:color w:val="000000"/>
          <w:sz w:val="21"/>
        </w:rPr>
        <w:t>Policy-content criteria are in tests/policy_answer_rubric.json and provide expected conclusions for 25 cases. The criteria were added after historical outputs had been observed; they are retrospective rather than pre-registered before the original model run.</w:t>
      </w:r>
    </w:p>
    <w:p>
      <w:pPr>
        <w:pageBreakBefore w:val="0"/>
        <w:spacing w:after="140" w:line="276" w:lineRule="auto"/>
      </w:pPr>
      <w:r>
        <w:rPr>
          <w:rFonts w:ascii="Arial" w:hAnsi="Arial"/>
          <w:b w:val="0"/>
          <w:color w:val="000000"/>
          <w:sz w:val="21"/>
        </w:rPr>
        <w:t>Positive and negative labels in this appendix describe the observed result, not whether the input itself is good or bad. Case type and system correctness are separate dimensions; a correct escalation can be a positive outcome.</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PE6201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Hei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Heiti S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Hei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eastAsia="Heiti SC"/>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eastAsia="Heiti SC"/>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