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End of Course Project | Kang Xingyao | 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w:t>
      </w:r>
      <w:bookmarkStart w:id="0" w:name="_GoBack"/>
      <w:bookmarkEnd w:id="0"/>
      <w:r>
        <w:rPr>
          <w:rFonts w:hint="default" w:ascii="Times New Roman Regular" w:hAnsi="Times New Roman Regular" w:cs="Times New Roman Regular"/>
          <w:sz w:val="24"/>
          <w:szCs w:val="24"/>
        </w:rPr>
        <w:t>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sz w:val="24"/>
          <w:szCs w:val="24"/>
        </w:rPr>
      </w:pPr>
      <w:r>
        <w:t>The GitHub repository provides the policy corpus, labelled test cases, frozen evidence files, source code, BPMN workflow and English demo video. Its README explains how to run the local application and regression tests. These materials make the reported metrics traceable: a reviewer can inspect the inputs, outputs, test labels, review protocol and known limitations. OpenRouter mode is optional and uses a locally supplied key; no key is stored in the repository.</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Times New Roman Bold Italic">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E6ACB0"/>
    <w:rsid w:val="9E7748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2013-12-24T14:15:00Z</dcterms:created>
  <dc:creator>python-docx</dc:creator>
  <dc:description>generated by python-docx</dc:description>
  <cp:lastModifiedBy>苏黎世的雨樱花</cp:lastModifiedBy>
  <dcterms:modified xsi:type="dcterms:W3CDTF">2026-10-02T01:55:49Z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