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3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w:t>
      </w:r>
      <w:r>
        <w:rPr>
          <w:rFonts w:hint="default" w:ascii="Times New Roman Regular" w:hAnsi="Times New Roman Regular" w:cs="Times New Roman Regular"/>
          <w:sz w:val="24"/>
          <w:szCs w:val="24"/>
        </w:rPr>
        <w:t>relevant rule and prepare a usable draft within three minutes. HR staff benefit when recurring questions are answered consistently and incomplete requests are identified before manual handling.</w:t>
      </w:r>
    </w:p>
    <w:p w14:paraId="0118908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35BDC83">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deliberately kept the first version narrow: one employee-facing question, a traceable policy answer, and an unsubmitted draft. This avoids presenting a chatbot as an HR decision-maker. The practical value I test is whether the system can make a later HR review easier by identifying relevant evidence and missing information, rather than replacing that review.</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w:t>
      </w:r>
      <w:r>
        <w:rPr>
          <w:rFonts w:hint="default" w:ascii="Times New Roman Regular" w:hAnsi="Times New Roman Regular" w:cs="Times New Roman Regular"/>
          <w:sz w:val="24"/>
          <w:szCs w:val="24"/>
        </w:rPr>
        <w:t>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5E78BC24">
      <w:pPr>
        <w:spacing w:after="0"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did not build an autonomous agent because the task needs no multi-step tool loop. Retrieval, intent routing and validation remain deterministic Python steps; the optional model only generates grounded language.</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1946275</wp:posOffset>
            </wp:positionV>
            <wp:extent cx="7089140" cy="4266565"/>
            <wp:effectExtent l="0" t="0" r="22860" b="63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4266565"/>
                    </a:xfrm>
                    <a:prstGeom prst="rect">
                      <a:avLst/>
                    </a:prstGeom>
                  </pic:spPr>
                </pic:pic>
              </a:graphicData>
            </a:graphic>
          </wp:anchor>
        </w:drawing>
      </w:r>
      <w:r>
        <w:rPr>
          <w:rFonts w:hint="default" w:ascii="Times New Roman Regular" w:hAnsi="Times New Roman Regular" w:cs="Times New Roman Regular"/>
          <w:sz w:val="24"/>
          <w:szCs w:val="24"/>
        </w:rPr>
        <w:t>Course integration is explicit. Class 1 frames a bounded HR-service problem and user journey. Class 2 informs the retrieval, gener</w:t>
      </w:r>
      <w:r>
        <w:rPr>
          <w:rFonts w:hint="default" w:ascii="Times New Roman Regular" w:hAnsi="Times New Roman Regular" w:cs="Times New Roman Regular"/>
          <w:sz w:val="24"/>
          <w:szCs w:val="24"/>
        </w:rPr>
        <w:t>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after="0" w:line="240" w:lineRule="auto"/>
        <w:jc w:val="both"/>
        <w:rPr>
          <w:rFonts w:hint="default" w:ascii="Times New Roman Regular" w:hAnsi="Times New Roman Regular" w:cs="Times New Roman Regular"/>
          <w:sz w:val="24"/>
          <w:szCs w:val="24"/>
        </w:rPr>
      </w:pP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Answer quality is therefore scored separately. A retrospective AI-assisted review assessed 25 eligible saved policy answers, while a documented student manual spot check assessed a stratified random sample of 10. The manual review is evidence of a student check, not independent HR validation. The saved live run used the revised prompt draft-intent-v2; five workflow cases were handled locally and 25 used the model without recorded API errors.</w:t>
      </w:r>
    </w:p>
    <w:p w14:paraId="426F7822">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 retained prompts, the policy snapshot, labelled cases and frozen results so a reviewer can trace each reported outcome. Because the cases were designed during development, they may still favour known vocabulary and structure.</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02FEC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Manual student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w:t>
      </w:r>
      <w:bookmarkStart w:id="0" w:name="_GoBack"/>
      <w:bookmarkEnd w:id="0"/>
      <w:r>
        <w:rPr>
          <w:rFonts w:hint="default" w:ascii="Times New Roman Regular" w:hAnsi="Times New Roman Regular" w:cs="Times New Roman Regular"/>
          <w:sz w:val="24"/>
          <w:szCs w:val="24"/>
        </w:rPr>
        <w:t>an overall success claim.</w:t>
      </w:r>
    </w:p>
    <w:p w14:paraId="429B66A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w:t>
      </w:r>
      <w:r>
        <w:rPr>
          <w:rFonts w:hint="default" w:ascii="Times New Roman Regular" w:hAnsi="Times New Roman Regular" w:cs="Times New Roman Regular"/>
          <w:sz w:val="24"/>
          <w:szCs w:val="24"/>
        </w:rPr>
        <w:t>missed expressions such as “tmr” and attendance wording outside the keyword gate. Correct section IDs or valid JSON do not guarantee a correct conclusion.</w:t>
      </w:r>
    </w:p>
    <w:p w14:paraId="36B9B41C">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 superficially complete answer can still mislead an employee by missing an exception, using an overconfident tone, or routing a sensitive situation incorrectly. These results support a bounded prototype, not real-organisation policy accuracy.</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2FD9D95F">
      <w:pPr>
        <w:spacing w:line="360" w:lineRule="auto"/>
        <w:ind w:firstLine="240" w:firstLineChars="10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cost comparison also explains why quality and escalation matter commercially. A low model-call cost does not justify deployment if an incorrect answer creates rework or sends an employee down the wrong process. A future evaluation should measure useful resolution, time saved by HR reviewers and the proportion of cases correctly escalated, using an independently reviewed policy set.</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z w:val="24"/>
          <w:szCs w:val="24"/>
        </w:rPr>
        <w:t xml:space="preserve">The repository contains the policy corpus, labelled test cases, frozen evidence, source code, BPMN workflow and English demo video. The README defines the intended user, inputs, outputs, safety boundary and local setup. Repository: </w:t>
      </w:r>
      <w:r>
        <w:rPr>
          <w:rFonts w:hint="default" w:ascii="Times New Roman Bold" w:hAnsi="Times New Roman Bold" w:cs="Times New Roman Bold"/>
          <w:b/>
          <w:bCs w:val="0"/>
          <w:color w:val="auto"/>
          <w:sz w:val="24"/>
          <w:szCs w:val="24"/>
        </w:rPr>
        <w:fldChar w:fldCharType="begin"/>
      </w:r>
      <w:r>
        <w:rPr>
          <w:rFonts w:hint="default" w:ascii="Times New Roman Bold" w:hAnsi="Times New Roman Bold" w:cs="Times New Roman Bold"/>
          <w:b/>
          <w:bCs w:val="0"/>
          <w:color w:val="auto"/>
          <w:sz w:val="24"/>
          <w:szCs w:val="24"/>
        </w:rPr>
        <w:instrText xml:space="preserve"> HYPERLINK "https://github.com/kxy-creator/PE6201-End-of-project" \h </w:instrText>
      </w:r>
      <w:r>
        <w:rPr>
          <w:rFonts w:hint="default" w:ascii="Times New Roman Bold" w:hAnsi="Times New Roman Bold" w:cs="Times New Roman Bold"/>
          <w:b/>
          <w:bCs w:val="0"/>
          <w:color w:val="auto"/>
          <w:sz w:val="24"/>
          <w:szCs w:val="24"/>
        </w:rPr>
        <w:fldChar w:fldCharType="separate"/>
      </w:r>
      <w:r>
        <w:rPr>
          <w:rFonts w:hint="default" w:ascii="Times New Roman Bold" w:hAnsi="Times New Roman Bold" w:cs="Times New Roman Bold"/>
          <w:b/>
          <w:bCs w:val="0"/>
          <w:color w:val="auto"/>
          <w:sz w:val="24"/>
          <w:szCs w:val="24"/>
          <w:u w:val="single"/>
        </w:rPr>
        <w:t>https://github.com/kxy-creator/PE6201-End-of-project</w:t>
      </w:r>
      <w:r>
        <w:rPr>
          <w:rFonts w:hint="default" w:ascii="Times New Roman Bold" w:hAnsi="Times New Roman Bold" w:cs="Times New Roman Bold"/>
          <w:b/>
          <w:bCs w:val="0"/>
          <w:color w:val="auto"/>
          <w:sz w:val="24"/>
          <w:szCs w:val="24"/>
          <w:u w:val="single"/>
        </w:rPr>
        <w:fldChar w:fldCharType="end"/>
      </w:r>
      <w:r>
        <w:rPr>
          <w:rFonts w:hint="default" w:ascii="Times New Roman Bold" w:hAnsi="Times New Roman Bold" w:cs="Times New Roman Bold"/>
          <w:b/>
          <w:bCs w:val="0"/>
          <w:color w:val="auto"/>
          <w:sz w:val="24"/>
          <w:szCs w:val="24"/>
        </w:rPr>
        <w:br w:type="textWrapping"/>
      </w:r>
      <w:r>
        <w:rPr>
          <w:rFonts w:hint="default" w:ascii="Times New Roman Regular" w:hAnsi="Times New Roman Regular" w:cs="Times New Roman Regular"/>
          <w:b w:val="0"/>
          <w:sz w:val="24"/>
          <w:szCs w:val="24"/>
        </w:rPr>
        <w:t>Run python3 server.py and open http://127.0.0.1:8765. Run python3 -m unittest discover -s tests -v for regression checks. evaluate.py, compare.py and scripts/summarize_evidence.py reproduce the evidence summaries. Optional OpenRouter mode uses a local API key that is not stored in the repository.</w:t>
      </w:r>
    </w:p>
    <w:p w14:paraId="53CD18CF">
      <w:pPr>
        <w:spacing w:after="0" w:line="360" w:lineRule="auto"/>
        <w:ind w:firstLine="240" w:firstLineChars="100"/>
        <w:jc w:val="both"/>
        <w:rPr>
          <w:rFonts w:hint="default" w:ascii="Times New Roman Regular" w:hAnsi="Times New Roman Regular" w:cs="Times New Roman Regular"/>
          <w:b w:val="0"/>
          <w:sz w:val="24"/>
          <w:szCs w:val="24"/>
        </w:rPr>
      </w:pP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冬青黑体简体中文 W3">
    <w:panose1 w:val="020B0300000000000000"/>
    <w:charset w:val="86"/>
    <w:family w:val="auto"/>
    <w:pitch w:val="default"/>
    <w:sig w:usb0="A00002BF" w:usb1="1ACF7CFA" w:usb2="00000016" w:usb3="00000000" w:csb0="00060007"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3DFFF358"/>
    <w:rsid w:val="6A71CBB5"/>
    <w:rsid w:val="6B6E6347"/>
    <w:rsid w:val="6FD7E406"/>
    <w:rsid w:val="6FFB5BBF"/>
    <w:rsid w:val="76BEBB28"/>
    <w:rsid w:val="77FB77B2"/>
    <w:rsid w:val="7BBF3C6A"/>
    <w:rsid w:val="7DFFD292"/>
    <w:rsid w:val="7FC1E8B3"/>
    <w:rsid w:val="7FE6ACB0"/>
    <w:rsid w:val="9E774864"/>
    <w:rsid w:val="CEF60AA8"/>
    <w:rsid w:val="D6F71574"/>
    <w:rsid w:val="DFDF6E23"/>
    <w:rsid w:val="DFF737ED"/>
    <w:rsid w:val="DFFF5953"/>
    <w:rsid w:val="EBF8F1E0"/>
    <w:rsid w:val="F197E0FC"/>
    <w:rsid w:val="F6F5C6E9"/>
    <w:rsid w:val="FEF31436"/>
    <w:rsid w:val="FF27A434"/>
    <w:rsid w:val="FF7C12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冬青黑体简体中文 W3" w:hAnsi="冬青黑体简体中文 W3"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冬青黑体简体中文 W3" w:hAnsi="冬青黑体简体中文 W3"/>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9</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2013-12-25T12:45:00Z</dcterms:created>
  <dc:creator>python-docx</dc:creator>
  <dc:description>generated by python-docx</dc:description>
  <cp:lastModifiedBy>苏黎世的雨樱花</cp:lastModifiedBy>
  <dcterms:modified xsi:type="dcterms:W3CDTF">2026-10-03T12:08:55Z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