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B8667F">
      <w:pPr>
        <w:pStyle w:val="31"/>
        <w:spacing w:line="360" w:lineRule="auto"/>
        <w:jc w:val="both"/>
        <w:rPr>
          <w:sz w:val="60"/>
          <w:szCs w:val="60"/>
        </w:rPr>
      </w:pPr>
      <w:r>
        <w:rPr>
          <w:sz w:val="60"/>
          <w:szCs w:val="60"/>
        </w:rPr>
        <w:t>HR Ask Policy Assistant</w:t>
      </w:r>
    </w:p>
    <w:p w14:paraId="4CF755F3">
      <w:pPr>
        <w:pStyle w:val="26"/>
        <w:spacing w:line="360" w:lineRule="auto"/>
        <w:jc w:val="both"/>
        <w:rPr>
          <w:sz w:val="28"/>
          <w:szCs w:val="32"/>
        </w:rPr>
      </w:pPr>
      <w:r>
        <w:rPr>
          <w:sz w:val="28"/>
          <w:szCs w:val="32"/>
        </w:rPr>
        <w:t xml:space="preserve">End of Course Project | Kang Xingyao | Section C | </w:t>
      </w:r>
      <w:r>
        <w:rPr>
          <w:rFonts w:hint="eastAsia"/>
          <w:sz w:val="28"/>
          <w:szCs w:val="32"/>
          <w:lang w:val="en-US" w:eastAsia="zh-CN"/>
        </w:rPr>
        <w:t xml:space="preserve">2 </w:t>
      </w:r>
      <w:r>
        <w:rPr>
          <w:rFonts w:hint="default"/>
          <w:sz w:val="28"/>
          <w:szCs w:val="32"/>
          <w:lang w:val="en-US" w:eastAsia="zh-CN"/>
        </w:rPr>
        <w:t>October</w:t>
      </w:r>
      <w:r>
        <w:rPr>
          <w:sz w:val="28"/>
          <w:szCs w:val="32"/>
        </w:rPr>
        <w:t xml:space="preserve"> 2026</w:t>
      </w:r>
    </w:p>
    <w:p w14:paraId="7B9C9A99">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project outcome</w:t>
      </w:r>
    </w:p>
    <w:p w14:paraId="2207E2EA">
      <w:pPr>
        <w:bidi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 working educational prototype for HR policy questions and service-ticket drafts. It supports leave, attendance and social-insurance enquiries using fictional company policies and synthetic employee inputs. It retrieves evidence, distinguishes consultation from drafting, and produces five-field drafts for human checking. It cannot submit requests, approve leave, calculate statutory entitlements or access personal employee records.</w:t>
      </w:r>
    </w:p>
    <w:p w14:paraId="58BE5E3F">
      <w:pPr>
        <w:bidi w:val="0"/>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Live OpenRouter evaluation obtained 25 model responses across 30 development cases. Outcome metrics are deliberately separated: ticket structural pass rate is 8/8 (valid JSON, exactly five fields and correct request type); first-turn complete tickets are 5/8 (62.5%), below the &gt;85% target; and retrospective AI-assisted answer-quality review passes 22/25 eligible answers (88%). A completed manual student spot check passes 8/10 answers (80%) from a stratified random sample, using seed 20260925. The manual sample is not an independent HR review. Revised automated engineering checks pass 30/30, but are not a policy-correctness score. New informal offline diagnostics pass 7/12. Review timing and the revised proposal alignment are explained in section 8.</w:t>
      </w:r>
    </w:p>
    <w:p w14:paraId="43380B9F">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eastAsia="zh-CN"/>
        </w:rPr>
        <w:t xml:space="preserve">1.1 </w:t>
      </w:r>
      <w:r>
        <w:rPr>
          <w:rFonts w:hint="default" w:ascii="Times New Roman Bold" w:hAnsi="Times New Roman Bold" w:cs="Times New Roman Bold"/>
          <w:b/>
          <w:bCs/>
          <w:sz w:val="28"/>
          <w:szCs w:val="28"/>
        </w:rPr>
        <w:t>The employee and HR problem</w:t>
      </w:r>
    </w:p>
    <w:p w14:paraId="6FEB10A3">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target user is a manufacturing team leader who needs policy guidance outside HR office hours. The desired journey is to find a relevant rule and prepare a usable request within three minutes. HR staff need consistent intake fields so that less time is spent repeating explanations and returning incomplete forms.</w:t>
      </w:r>
    </w:p>
    <w:p w14:paraId="2C9090FD">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original and revised proposals estimated 8–10 HR hours per week spent answering recurring enquiries and 8–10 minutes per manually completed form. These are planning assumptions, not measurements from a real employer. The enquiry-hours estimate concerns the answer-quality half of the workflow; ticket JSON validity is not a proxy for those answered enquiries. Neither the time savings nor the three-minute journey has been validated in a user study.</w:t>
      </w:r>
    </w:p>
    <w:p w14:paraId="554657C8">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eastAsia="zh-CN"/>
        </w:rPr>
        <w:t xml:space="preserve">1.2 </w:t>
      </w:r>
      <w:r>
        <w:rPr>
          <w:rFonts w:hint="default" w:ascii="Times New Roman Bold" w:hAnsi="Times New Roman Bold" w:cs="Times New Roman Bold"/>
          <w:b/>
          <w:bCs/>
          <w:sz w:val="28"/>
          <w:szCs w:val="28"/>
        </w:rPr>
        <w:t>Original target and current outcome</w:t>
      </w:r>
    </w:p>
    <w:p w14:paraId="63F90958">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revised proposal separates policy-answer and ticket performance. The ticket structural pass rate is 8/8: every ticket-intent result is valid JSON with exactly five fields and the correct request type. This narrow result is expected to benefit from structured output and Python validation. Separately, only five of eight ticket-intent cases produce a complete five-field draft on the first turn: 5/8 = 62.5%. The original &gt;85% completion target is therefore not achieved. All five fully specified inputs produce correct complete drafts; three incomplete inputs preserve unknown values and ask for details. Those three are safe responses, but not complete tickets.</w:t>
      </w:r>
    </w:p>
    <w:p w14:paraId="579AA58C">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A valid schema can contain null values. Schema validity, safe handling of missing information, complete ticket generation and answer quality must therefore be reported separately. The saved answer-quality result is 22/25 in an AI-assisted retrospective review. A separate manual student spot check passes 8/10 randomly sampled eligible answers; it is recorded with its reviewer role, policy snapshot and sample method, but is not an independent HR review. A guided follow-up form is a proposed improvement; multi-turn field collection is not implemented.</w:t>
      </w:r>
    </w:p>
    <w:p w14:paraId="574494BC">
      <w:pPr>
        <w:pStyle w:val="3"/>
        <w:bidi w:val="0"/>
        <w:spacing w:line="360" w:lineRule="auto"/>
        <w:rPr>
          <w:rFonts w:hint="default" w:ascii="Times New Roman Bold" w:hAnsi="Times New Roman Bold" w:cs="Times New Roman Bold"/>
          <w:b/>
          <w:bCs w:val="0"/>
          <w:sz w:val="32"/>
          <w:szCs w:val="32"/>
        </w:rPr>
      </w:pPr>
      <w:r>
        <w:rPr>
          <w:rFonts w:hint="default" w:ascii="Times New Roman Bold" w:hAnsi="Times New Roman Bold" w:cs="Times New Roman Bold"/>
          <w:b/>
          <w:bCs w:val="0"/>
          <w:sz w:val="32"/>
          <w:szCs w:val="32"/>
        </w:rPr>
        <w:t>2 Architecture and implementation</w:t>
      </w:r>
    </w:p>
    <w:p w14:paraId="593E25B7">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workflow combines a conservative local intent gate, active-policy retrieval and optional model generation. OpenRouter calls use openai/gpt-4o-mini in the saved runs. The model returns answer text, citation IDs and intent; Python extracts the ticket fields. The model does not receive a personnel-action tool. Figure 1 summarises this BPMN workflow and its safety gates before a draft can be returned.</w:t>
      </w:r>
    </w:p>
    <w:tbl>
      <w:tblPr>
        <w:tblStyle w:val="32"/>
        <w:tblW w:w="0" w:type="auto"/>
        <w:tblInd w:w="0" w:type="dxa"/>
        <w:tblLayout w:type="fixed"/>
        <w:tblCellMar>
          <w:top w:w="0" w:type="dxa"/>
          <w:left w:w="108" w:type="dxa"/>
          <w:bottom w:w="0" w:type="dxa"/>
          <w:right w:w="108" w:type="dxa"/>
        </w:tblCellMar>
      </w:tblPr>
      <w:tblGrid>
        <w:gridCol w:w="1944"/>
        <w:gridCol w:w="8052"/>
      </w:tblGrid>
      <w:tr w14:paraId="4F503300">
        <w:trPr>
          <w:tblHeader/>
        </w:trPr>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AC6B1B9">
            <w:pPr>
              <w:spacing w:after="60" w:line="360" w:lineRule="auto"/>
              <w:jc w:val="both"/>
              <w:rPr>
                <w:rFonts w:hint="default" w:ascii="Times New Roman Regular" w:hAnsi="Times New Roman Regular" w:cs="Times New Roman Regular"/>
                <w:b/>
                <w:bCs w:val="0"/>
                <w:sz w:val="24"/>
                <w:szCs w:val="24"/>
              </w:rPr>
            </w:pPr>
            <w:r>
              <w:rPr>
                <w:rFonts w:hint="default" w:ascii="Times New Roman Regular" w:hAnsi="Times New Roman Regular" w:cs="Times New Roman Regular"/>
                <w:b/>
                <w:bCs w:val="0"/>
                <w:color w:val="000000"/>
                <w:sz w:val="24"/>
                <w:szCs w:val="24"/>
              </w:rPr>
              <w:t>Component</w:t>
            </w:r>
          </w:p>
        </w:tc>
        <w:tc>
          <w:tcPr>
            <w:tcW w:w="80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C398019">
            <w:pPr>
              <w:spacing w:after="60" w:line="360" w:lineRule="auto"/>
              <w:jc w:val="both"/>
              <w:rPr>
                <w:rFonts w:hint="default" w:ascii="Times New Roman Regular" w:hAnsi="Times New Roman Regular" w:cs="Times New Roman Regular"/>
                <w:b/>
                <w:bCs w:val="0"/>
                <w:sz w:val="24"/>
                <w:szCs w:val="24"/>
              </w:rPr>
            </w:pPr>
            <w:r>
              <w:rPr>
                <w:rFonts w:hint="default" w:ascii="Times New Roman Regular" w:hAnsi="Times New Roman Regular" w:cs="Times New Roman Regular"/>
                <w:b/>
                <w:bCs w:val="0"/>
                <w:color w:val="000000"/>
                <w:sz w:val="24"/>
                <w:szCs w:val="24"/>
              </w:rPr>
              <w:t>Implemented behavior</w:t>
            </w:r>
          </w:p>
        </w:tc>
      </w:tr>
      <w:tr w14:paraId="32289214">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6891A6C">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Policy knowledge</w:t>
            </w:r>
          </w:p>
        </w:tc>
        <w:tc>
          <w:tcPr>
            <w:tcW w:w="80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AF7D92C">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Five Markdown policy files with 20 sections. Effective-date and version checks select usable policies; equal-date conflicts stop loading.</w:t>
            </w:r>
          </w:p>
        </w:tc>
      </w:tr>
      <w:tr w14:paraId="2EA769C2">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9A6E1DA">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Retrieval</w:t>
            </w:r>
          </w:p>
        </w:tc>
        <w:tc>
          <w:tcPr>
            <w:tcW w:w="80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BA14110">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Chinese bigrams, English tokens, aliases, TF-IDF and cosine similarity. Retrieve up to three relevant sections with source IDs.</w:t>
            </w:r>
          </w:p>
        </w:tc>
      </w:tr>
      <w:tr w14:paraId="407F2E31">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8F0F13F">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Routing</w:t>
            </w:r>
          </w:p>
        </w:tc>
        <w:tc>
          <w:tcPr>
            <w:tcW w:w="80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29465F8">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Consult, draft, clarify or escalate. A local gate restricts drafting; the model can retain drafting or route more conservatively.</w:t>
            </w:r>
          </w:p>
        </w:tc>
      </w:tr>
      <w:tr w14:paraId="2B7B24A4">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9BA7FAC">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Generation</w:t>
            </w:r>
          </w:p>
        </w:tc>
        <w:tc>
          <w:tcPr>
            <w:tcW w:w="80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B84FA68">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Local mode returns excerpts. OpenRouter mode uses retrieved evidence and a structured response schema. Actual execution mode and API errors remain visible.</w:t>
            </w:r>
          </w:p>
        </w:tc>
      </w:tr>
      <w:tr w14:paraId="590D4148">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3D5098C">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Draft validation</w:t>
            </w:r>
          </w:p>
        </w:tc>
        <w:tc>
          <w:tcPr>
            <w:tcW w:w="80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4833C75">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employee_id, request_type, requested_date, reason, contact_channel. Missing values stay null; dates and field formats are validated. Drafts remain unsubmitted.</w:t>
            </w:r>
          </w:p>
        </w:tc>
      </w:tr>
    </w:tbl>
    <w:p w14:paraId="0CB16371">
      <w:pPr>
        <w:spacing w:line="360" w:lineRule="auto"/>
        <w:jc w:val="both"/>
        <w:rPr>
          <w:rFonts w:hint="default" w:ascii="Times New Roman Regular" w:hAnsi="Times New Roman Regular" w:cs="Times New Roman Regular"/>
          <w:sz w:val="24"/>
          <w:szCs w:val="28"/>
        </w:rPr>
      </w:pPr>
    </w:p>
    <w:p w14:paraId="16B2318A">
      <w:pPr>
        <w:pStyle w:val="4"/>
        <w:spacing w:line="360" w:lineRule="auto"/>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2.1 </w:t>
      </w:r>
      <w:r>
        <w:rPr>
          <w:rFonts w:hint="default" w:ascii="Times New Roman Regular" w:hAnsi="Times New Roman Regular" w:cs="Times New Roman Regular"/>
          <w:sz w:val="28"/>
          <w:szCs w:val="28"/>
        </w:rPr>
        <w:t>Changes from the submitted proposal</w:t>
      </w:r>
    </w:p>
    <w:p w14:paraId="614D77DA">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Chroma and embedding retrieval were replaced with a standard-library TF-IDF baseline. This reduces installation and model-download requirements but sacrifices semantic recall. The proposed 30–50-page corpus became five concise policy documents; it supports an inspectable demonstration, not a realistic scale test. A local browser interface supplements the notebook. Rules bound the model’s routing decisions rather than leaving all intent classification to the LLM.</w:t>
      </w:r>
    </w:p>
    <w:p w14:paraId="27D29F02">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intake schema omits leave duration, end date, attachments and approval records. Evaluation fixes the reference date to 21 September 2026; normal use resolves relative dates from the local calendar. Session timezone selection, authentication, multi-turn memory and production HR integration are outside the current implementation.</w:t>
      </w:r>
    </w:p>
    <w:p w14:paraId="49C5CE9B">
      <w:pPr>
        <w:pStyle w:val="4"/>
        <w:spacing w:line="360" w:lineRule="auto"/>
        <w:jc w:val="both"/>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lang w:val="en-US"/>
        </w:rPr>
        <w:t xml:space="preserve">2.2 </w:t>
      </w:r>
      <w:r>
        <w:rPr>
          <w:rFonts w:hint="default" w:ascii="Times New Roman Regular" w:hAnsi="Times New Roman Regular" w:cs="Times New Roman Regular"/>
          <w:sz w:val="32"/>
          <w:szCs w:val="32"/>
        </w:rPr>
        <w:t>Build and buy decision</w:t>
      </w:r>
    </w:p>
    <w:p w14:paraId="63A1A729">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project implements policy handling, retrieval, routing constraints, field extraction and evaluation locally, and rents language generation through an API. Training a model is not justified by five synthetic documents. Buying an HR platform could provide mature workflows, but licensing and integration have not been benchmarked. The prototype is intended to test the workflow before such an investment.</w:t>
      </w:r>
    </w:p>
    <w:p w14:paraId="2DD2A849">
      <w:pPr>
        <w:spacing w:line="360" w:lineRule="auto"/>
        <w:jc w:val="both"/>
        <w:rPr>
          <w:rFonts w:hint="default" w:ascii="Times New Roman Regular" w:hAnsi="Times New Roman Regular" w:cs="Times New Roman Regular"/>
          <w:b/>
          <w:sz w:val="22"/>
          <w:szCs w:val="28"/>
        </w:rPr>
      </w:pPr>
      <w:r>
        <w:rPr>
          <w:rFonts w:hint="default" w:ascii="Times New Roman Regular" w:hAnsi="Times New Roman Regular" w:cs="Times New Roman Regular"/>
          <w:sz w:val="24"/>
          <w:szCs w:val="28"/>
        </w:rPr>
        <w:t>This project applies Class 1 to frame a bounded, repeatable HR enquiry problem; Class 2 to assemble retrieval, generation and evaluation; Class 3 to steer model behaviour and measure it; Class 5 to price per-query inference, fallback and maintenance; and Class 6 to bound risk, privacy and human oversight</w:t>
      </w:r>
      <w:r>
        <w:rPr>
          <w:rFonts w:hint="default" w:ascii="Times New Roman Regular" w:hAnsi="Times New Roman Regular" w:cs="Times New Roman Regular"/>
          <w:sz w:val="24"/>
          <w:szCs w:val="28"/>
          <w:lang w:val="en-US"/>
        </w:rPr>
        <w:t>.</w:t>
      </w:r>
    </w:p>
    <w:p w14:paraId="456D37DF">
      <w:pPr>
        <w:bidi w:val="0"/>
        <w:spacing w:line="360" w:lineRule="auto"/>
        <w:jc w:val="center"/>
        <w:rPr>
          <w:rFonts w:hint="default" w:ascii="Times New Roman Regular" w:hAnsi="Times New Roman Regular" w:cs="Times New Roman Regular"/>
          <w:b w:val="0"/>
        </w:rPr>
      </w:pPr>
      <w:r>
        <w:rPr>
          <w:rFonts w:hint="default" w:ascii="Times New Roman Regular" w:hAnsi="Times New Roman Regular" w:cs="Times New Roman Regular"/>
        </w:rPr>
        <w:drawing>
          <wp:anchor distT="0" distB="0" distL="114300" distR="114300" simplePos="0" relativeHeight="251659264" behindDoc="0" locked="0" layoutInCell="1" allowOverlap="1">
            <wp:simplePos x="0" y="0"/>
            <wp:positionH relativeFrom="column">
              <wp:posOffset>73660</wp:posOffset>
            </wp:positionH>
            <wp:positionV relativeFrom="paragraph">
              <wp:posOffset>44450</wp:posOffset>
            </wp:positionV>
            <wp:extent cx="5989320" cy="3260725"/>
            <wp:effectExtent l="0" t="0" r="5080" b="158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989320" cy="3260852"/>
                    </a:xfrm>
                    <a:prstGeom prst="rect">
                      <a:avLst/>
                    </a:prstGeom>
                  </pic:spPr>
                </pic:pic>
              </a:graphicData>
            </a:graphic>
          </wp:anchor>
        </w:drawing>
      </w:r>
      <w:r>
        <w:rPr>
          <w:rFonts w:hint="default" w:ascii="Times New Roman Regular" w:hAnsi="Times New Roman Regular" w:cs="Times New Roman Regular"/>
        </w:rPr>
        <w:t>Figure 1. BPMN workflow for HR-Ask policy consultation and unsubmitted ticket drafting</w:t>
      </w:r>
    </w:p>
    <w:p w14:paraId="765F9FE2">
      <w:pPr>
        <w:pStyle w:val="3"/>
        <w:bidi w:val="0"/>
        <w:spacing w:line="360" w:lineRule="auto"/>
        <w:rPr>
          <w:rFonts w:hint="default" w:ascii="Times New Roman Bold" w:hAnsi="Times New Roman Bold" w:cs="Times New Roman Bold"/>
          <w:b/>
          <w:bCs w:val="0"/>
        </w:rPr>
      </w:pPr>
      <w:r>
        <w:rPr>
          <w:rFonts w:hint="default" w:ascii="Times New Roman Bold" w:hAnsi="Times New Roman Bold" w:cs="Times New Roman Bold"/>
          <w:b/>
          <w:bCs w:val="0"/>
        </w:rPr>
        <w:t>3 Evaluation and measured results</w:t>
      </w:r>
    </w:p>
    <w:p w14:paraId="35C771CE">
      <w:pPr>
        <w:spacing w:line="360" w:lineRule="auto"/>
        <w:jc w:val="both"/>
        <w:rPr>
          <w:rFonts w:hint="default" w:ascii="Times New Roman Bold" w:hAnsi="Times New Roman Bold" w:cs="Times New Roman Bold"/>
          <w:b/>
          <w:bCs/>
          <w:sz w:val="24"/>
          <w:szCs w:val="28"/>
        </w:rPr>
      </w:pPr>
      <w:r>
        <w:rPr>
          <w:rFonts w:hint="default" w:ascii="Times New Roman Regular" w:hAnsi="Times New Roman Regular" w:cs="Times New Roman Regular"/>
          <w:sz w:val="24"/>
          <w:szCs w:val="28"/>
        </w:rPr>
        <w:t>The development set contains 30 labelled synthetic questions spanning leave, attendance, social insurance and workflow boundaries. The 12-case challenge set adds ambiguity, negation, invalid dates and unfamiliar wording. Both sets were authored and inspected during development; neither is an independent holdout. The challenge figures below are from the saved offline run, not a live model run.</w:t>
      </w:r>
    </w:p>
    <w:tbl>
      <w:tblPr>
        <w:tblStyle w:val="32"/>
        <w:tblW w:w="0" w:type="auto"/>
        <w:tblInd w:w="0" w:type="dxa"/>
        <w:tblLayout w:type="fixed"/>
        <w:tblCellMar>
          <w:top w:w="0" w:type="dxa"/>
          <w:left w:w="108" w:type="dxa"/>
          <w:bottom w:w="0" w:type="dxa"/>
          <w:right w:w="108" w:type="dxa"/>
        </w:tblCellMar>
      </w:tblPr>
      <w:tblGrid>
        <w:gridCol w:w="4032"/>
        <w:gridCol w:w="1656"/>
        <w:gridCol w:w="1656"/>
        <w:gridCol w:w="2652"/>
      </w:tblGrid>
      <w:tr w14:paraId="2A77E7C4">
        <w:trPr>
          <w:tblHeader/>
        </w:trPr>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F8A1EEC">
            <w:pPr>
              <w:spacing w:after="60" w:line="360" w:lineRule="auto"/>
              <w:jc w:val="center"/>
              <w:rPr>
                <w:rFonts w:hint="default" w:ascii="Times New Roman Regular" w:hAnsi="Times New Roman Regular" w:cs="Times New Roman Regular"/>
                <w:b/>
                <w:bCs/>
                <w:sz w:val="24"/>
                <w:szCs w:val="24"/>
              </w:rPr>
            </w:pPr>
            <w:r>
              <w:rPr>
                <w:rFonts w:hint="default" w:ascii="Times New Roman Regular" w:hAnsi="Times New Roman Regular" w:cs="Times New Roman Regular"/>
                <w:b/>
                <w:bCs/>
                <w:color w:val="000000"/>
                <w:sz w:val="24"/>
                <w:szCs w:val="24"/>
              </w:rPr>
              <w:t>Metric</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DA68A55">
            <w:pPr>
              <w:spacing w:after="60" w:line="360" w:lineRule="auto"/>
              <w:jc w:val="center"/>
              <w:rPr>
                <w:rFonts w:hint="default" w:ascii="Times New Roman Regular" w:hAnsi="Times New Roman Regular" w:cs="Times New Roman Regular"/>
                <w:b/>
                <w:bCs/>
                <w:sz w:val="24"/>
                <w:szCs w:val="24"/>
              </w:rPr>
            </w:pPr>
            <w:r>
              <w:rPr>
                <w:rFonts w:hint="default" w:ascii="Times New Roman Regular" w:hAnsi="Times New Roman Regular" w:cs="Times New Roman Regular"/>
                <w:b/>
                <w:bCs/>
                <w:color w:val="000000"/>
                <w:sz w:val="24"/>
                <w:szCs w:val="24"/>
              </w:rPr>
              <w:t>Live before</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69F8FF8">
            <w:pPr>
              <w:spacing w:after="60" w:line="360" w:lineRule="auto"/>
              <w:jc w:val="center"/>
              <w:rPr>
                <w:rFonts w:hint="default" w:ascii="Times New Roman Regular" w:hAnsi="Times New Roman Regular" w:cs="Times New Roman Regular"/>
                <w:b/>
                <w:bCs/>
                <w:sz w:val="24"/>
                <w:szCs w:val="24"/>
              </w:rPr>
            </w:pPr>
            <w:r>
              <w:rPr>
                <w:rFonts w:hint="default" w:ascii="Times New Roman Regular" w:hAnsi="Times New Roman Regular" w:cs="Times New Roman Regular"/>
                <w:b/>
                <w:bCs/>
                <w:color w:val="000000"/>
                <w:sz w:val="24"/>
                <w:szCs w:val="24"/>
              </w:rPr>
              <w:t>Live revised</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968AF49">
            <w:pPr>
              <w:spacing w:after="60" w:line="360" w:lineRule="auto"/>
              <w:jc w:val="center"/>
              <w:rPr>
                <w:rFonts w:hint="default" w:ascii="Times New Roman Regular" w:hAnsi="Times New Roman Regular" w:cs="Times New Roman Regular"/>
                <w:b/>
                <w:bCs/>
                <w:sz w:val="24"/>
                <w:szCs w:val="24"/>
              </w:rPr>
            </w:pPr>
            <w:r>
              <w:rPr>
                <w:rFonts w:hint="default" w:ascii="Times New Roman Regular" w:hAnsi="Times New Roman Regular" w:cs="Times New Roman Regular"/>
                <w:b/>
                <w:bCs/>
                <w:color w:val="000000"/>
                <w:sz w:val="24"/>
                <w:szCs w:val="24"/>
              </w:rPr>
              <w:t>Offline challenge</w:t>
            </w:r>
          </w:p>
        </w:tc>
      </w:tr>
      <w:tr w14:paraId="25F43086">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5135352">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Actual model responses</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149720F">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25</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26D8DFC">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25</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412B1A9">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0</w:t>
            </w:r>
          </w:p>
        </w:tc>
      </w:tr>
      <w:tr w14:paraId="02B5A811">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EEC634E">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Intent accuracy</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9099F39">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22/30</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499A8EC">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30/30</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FB1E344">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10/12</w:t>
            </w:r>
          </w:p>
        </w:tc>
      </w:tr>
      <w:tr w14:paraId="719284FD">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9CB1BF2">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Gold section in top three</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D71C60D">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25/25</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2500A6E">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25/25</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837804B">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8/10</w:t>
            </w:r>
          </w:p>
        </w:tc>
      </w:tr>
      <w:tr w14:paraId="44166500">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F904305">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Citation IDs from retrieved sections</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AD41591">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25/25</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F5597B5">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25/25</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30C7EF3">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9/9</w:t>
            </w:r>
          </w:p>
        </w:tc>
      </w:tr>
      <w:tr w14:paraId="45CB75CC">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ADD8DD0">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Ticket structural pass rate (JSON, five fields, type)</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15E427D">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0/8</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A3317BF">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8/8</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1FBA709">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2/2</w:t>
            </w:r>
          </w:p>
        </w:tc>
      </w:tr>
      <w:tr w14:paraId="46EEA9F1">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74F5A32">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Exact five-field match</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C664E12">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0/8</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4A69086">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8/8</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08D93FF">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Not labelled</w:t>
            </w:r>
          </w:p>
        </w:tc>
      </w:tr>
      <w:tr w14:paraId="75C7E383">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7CAED04">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Complete fully specified tickets</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0D4F98B">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0/5</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230ACD3">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5/5</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1073CB5">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No eligible cases</w:t>
            </w:r>
          </w:p>
        </w:tc>
      </w:tr>
      <w:tr w14:paraId="0CB517EC">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5E80551">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Safe incomplete drafts</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2A76C9E">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0/3</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0B3E017">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3/3</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F295CAE">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2/2</w:t>
            </w:r>
          </w:p>
        </w:tc>
      </w:tr>
      <w:tr w14:paraId="668EF231">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6F9FB91">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Complete across all ticket inputs</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5A3989C">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0/8</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AC2247D">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5/8</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6DAEE4A">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0/2</w:t>
            </w:r>
          </w:p>
        </w:tc>
      </w:tr>
      <w:tr w14:paraId="62D1010F">
        <w:tc>
          <w:tcPr>
            <w:tcW w:w="403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19440B6">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All applicable task checks pass</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24E63A4">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22/30</w:t>
            </w:r>
          </w:p>
        </w:tc>
        <w:tc>
          <w:tcPr>
            <w:tcW w:w="165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DADE650">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30/30</w:t>
            </w:r>
          </w:p>
        </w:tc>
        <w:tc>
          <w:tcPr>
            <w:tcW w:w="26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5A45C5B">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10/12</w:t>
            </w:r>
          </w:p>
        </w:tc>
      </w:tr>
    </w:tbl>
    <w:p w14:paraId="472BB29E">
      <w:pPr>
        <w:spacing w:line="360" w:lineRule="auto"/>
        <w:jc w:val="both"/>
        <w:rPr>
          <w:rFonts w:hint="default" w:ascii="Times New Roman Regular" w:hAnsi="Times New Roman Regular" w:cs="Times New Roman Regular"/>
          <w:sz w:val="24"/>
          <w:szCs w:val="28"/>
        </w:rPr>
      </w:pPr>
    </w:p>
    <w:p w14:paraId="0E091AA1">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Each denominator includes eligible cases only. Ticket structural pass rate measures valid JSON, five fields and correct request type; it does not establish response quality. Task success combines routing, retrieval, field and safety assertions; it is not a human policy-correctness score. Retrieval and citation checks verify section IDs, not whether every generated statement is supported. Complete-ticket success also differs from successful handling of a request with missing information.</w:t>
      </w:r>
    </w:p>
    <w:p w14:paraId="4448DA5D">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 xml:space="preserve">3.1 </w:t>
      </w:r>
      <w:r>
        <w:rPr>
          <w:rFonts w:hint="default" w:ascii="Times New Roman Bold" w:hAnsi="Times New Roman Bold" w:cs="Times New Roman Bold"/>
          <w:b/>
          <w:bCs/>
          <w:sz w:val="28"/>
          <w:szCs w:val="28"/>
        </w:rPr>
        <w:t>What the live run establishes</w:t>
      </w:r>
    </w:p>
    <w:p w14:paraId="3A86FB90">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revised run was recorded on 21 September 2026 at 15:49 Singapore time, with prompt version draft-intent-v2 and Python 3.13.15. Its source hash matches the evaluated source. Five cases were handled locally: T11 and T19 requested clarification; T28, T29 and T30 escalated. No case records an API error. The result supports functional integration with OpenRouter on these inputs, not general provider reliability.</w:t>
      </w:r>
    </w:p>
    <w:p w14:paraId="5388D664">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median recorded processing time is 1,807.49 ms across all 30 cases, including the five local responses. Among the 25 model responses only, the median is 2,134.454 ms. This is one sequential run, not a controlled latency benchmark, and excludes the full user journey and browser interaction.</w:t>
      </w:r>
    </w:p>
    <w:p w14:paraId="4B48C4F1">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br w:type="page"/>
      </w:r>
    </w:p>
    <w:p w14:paraId="78F3D1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Failure analysis and answer review</w:t>
      </w:r>
    </w:p>
    <w:p w14:paraId="53373685">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 xml:space="preserve">4.1 </w:t>
      </w:r>
      <w:r>
        <w:rPr>
          <w:rFonts w:hint="default" w:ascii="Times New Roman Bold" w:hAnsi="Times New Roman Bold" w:cs="Times New Roman Bold"/>
          <w:b/>
          <w:bCs/>
          <w:sz w:val="28"/>
          <w:szCs w:val="28"/>
        </w:rPr>
        <w:t>Prompt repair and observed improvement</w:t>
      </w:r>
    </w:p>
    <w:p w14:paraId="6432FDF0">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Before repair, the model treated explicit drafting requests as requests to submit or execute HR transactions. All eight ticket cases became consultation, so no draft was produced. The revised prompt explicitly permits preparation of an unsubmitted draft while continuing to prohibit submission and approval. It also states that missing personal fields do not change drafting intent.</w:t>
      </w:r>
    </w:p>
    <w:p w14:paraId="4718295E">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same development questions and policies were rerun, preserving the earlier result file. Automated task success increased from 22/30 to 30/30 and ticket schema validity from 0/8 to 8/8. This before-and-after observation supports the diagnosis, but one run per prompt is not a repeated controlled experiment. The repair did not replace model outputs with expected labels; the model can still clarify or escalate.</w:t>
      </w:r>
    </w:p>
    <w:p w14:paraId="5CF8DC8C">
      <w:pPr>
        <w:pStyle w:val="4"/>
        <w:spacing w:line="360" w:lineRule="auto"/>
        <w:jc w:val="both"/>
        <w:rPr>
          <w:rFonts w:hint="default" w:ascii="Times New Roman Bold" w:hAnsi="Times New Roman Bold" w:cs="Times New Roman Bold"/>
          <w:b/>
          <w:bCs/>
          <w:sz w:val="28"/>
          <w:szCs w:val="28"/>
        </w:rPr>
      </w:pPr>
      <w:r>
        <w:rPr>
          <w:rFonts w:hint="eastAsia" w:ascii="Times New Roman Bold" w:hAnsi="Times New Roman Bold" w:cs="Times New Roman Bold"/>
          <w:b/>
          <w:bCs/>
          <w:sz w:val="28"/>
          <w:szCs w:val="28"/>
          <w:lang w:val="en-US" w:eastAsia="zh-CN"/>
        </w:rPr>
        <w:t xml:space="preserve">4.2 </w:t>
      </w:r>
      <w:r>
        <w:rPr>
          <w:rFonts w:hint="default" w:ascii="Times New Roman Bold" w:hAnsi="Times New Roman Bold" w:cs="Times New Roman Bold"/>
          <w:b/>
          <w:bCs/>
          <w:sz w:val="28"/>
          <w:szCs w:val="28"/>
        </w:rPr>
        <w:t>Content issues not caught by automated checks</w:t>
      </w:r>
    </w:p>
    <w:tbl>
      <w:tblPr>
        <w:tblStyle w:val="32"/>
        <w:tblW w:w="0" w:type="auto"/>
        <w:tblInd w:w="0" w:type="dxa"/>
        <w:tblLayout w:type="fixed"/>
        <w:tblCellMar>
          <w:top w:w="0" w:type="dxa"/>
          <w:left w:w="108" w:type="dxa"/>
          <w:bottom w:w="0" w:type="dxa"/>
          <w:right w:w="108" w:type="dxa"/>
        </w:tblCellMar>
      </w:tblPr>
      <w:tblGrid>
        <w:gridCol w:w="1707"/>
        <w:gridCol w:w="4400"/>
        <w:gridCol w:w="3889"/>
      </w:tblGrid>
      <w:tr w14:paraId="02E20C6D">
        <w:trPr>
          <w:tblHeader/>
        </w:trPr>
        <w:tc>
          <w:tcPr>
            <w:tcW w:w="1707"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5B61878">
            <w:pPr>
              <w:spacing w:after="60" w:line="360" w:lineRule="auto"/>
              <w:jc w:val="both"/>
              <w:rPr>
                <w:rFonts w:hint="default" w:ascii="Times New Roman Bold" w:hAnsi="Times New Roman Bold" w:cs="Times New Roman Bold"/>
                <w:b/>
                <w:bCs/>
                <w:sz w:val="24"/>
                <w:szCs w:val="24"/>
              </w:rPr>
            </w:pPr>
            <w:r>
              <w:rPr>
                <w:rFonts w:hint="default" w:ascii="Times New Roman Bold" w:hAnsi="Times New Roman Bold" w:cs="Times New Roman Bold"/>
                <w:b/>
                <w:bCs/>
                <w:color w:val="000000"/>
                <w:sz w:val="24"/>
                <w:szCs w:val="24"/>
              </w:rPr>
              <w:t>Case</w:t>
            </w:r>
          </w:p>
        </w:tc>
        <w:tc>
          <w:tcPr>
            <w:tcW w:w="44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FC4AE6C">
            <w:pPr>
              <w:spacing w:after="60" w:line="360" w:lineRule="auto"/>
              <w:jc w:val="both"/>
              <w:rPr>
                <w:rFonts w:hint="default" w:ascii="Times New Roman Bold" w:hAnsi="Times New Roman Bold" w:cs="Times New Roman Bold"/>
                <w:b/>
                <w:bCs/>
                <w:sz w:val="24"/>
                <w:szCs w:val="24"/>
              </w:rPr>
            </w:pPr>
            <w:r>
              <w:rPr>
                <w:rFonts w:hint="default" w:ascii="Times New Roman Bold" w:hAnsi="Times New Roman Bold" w:cs="Times New Roman Bold"/>
                <w:b/>
                <w:bCs/>
                <w:color w:val="000000"/>
                <w:sz w:val="24"/>
                <w:szCs w:val="24"/>
              </w:rPr>
              <w:t>Observed issue</w:t>
            </w:r>
          </w:p>
        </w:tc>
        <w:tc>
          <w:tcPr>
            <w:tcW w:w="38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8B4A018">
            <w:pPr>
              <w:spacing w:after="60" w:line="360" w:lineRule="auto"/>
              <w:jc w:val="both"/>
              <w:rPr>
                <w:rFonts w:hint="default" w:ascii="Times New Roman Bold" w:hAnsi="Times New Roman Bold" w:cs="Times New Roman Bold"/>
                <w:b/>
                <w:bCs/>
                <w:sz w:val="24"/>
                <w:szCs w:val="24"/>
              </w:rPr>
            </w:pPr>
            <w:r>
              <w:rPr>
                <w:rFonts w:hint="default" w:ascii="Times New Roman Bold" w:hAnsi="Times New Roman Bold" w:cs="Times New Roman Bold"/>
                <w:b/>
                <w:bCs/>
                <w:color w:val="000000"/>
                <w:sz w:val="24"/>
                <w:szCs w:val="24"/>
              </w:rPr>
              <w:t>Implication</w:t>
            </w:r>
          </w:p>
        </w:tc>
      </w:tr>
      <w:tr w14:paraId="54675D49">
        <w:trPr>
          <w:trHeight w:val="1299" w:hRule="atLeast"/>
        </w:trPr>
        <w:tc>
          <w:tcPr>
            <w:tcW w:w="1707"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EFFCC61">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T07</w:t>
            </w:r>
            <w:r>
              <w:rPr>
                <w:rFonts w:hint="default" w:ascii="Times New Roman Regular" w:hAnsi="Times New Roman Regular" w:cs="Times New Roman Regular"/>
                <w:b w:val="0"/>
                <w:color w:val="000000"/>
                <w:sz w:val="24"/>
                <w:szCs w:val="24"/>
                <w:lang w:val="en-US"/>
              </w:rPr>
              <w:t xml:space="preserve"> </w:t>
            </w:r>
            <w:r>
              <w:rPr>
                <w:rFonts w:hint="default" w:ascii="Times New Roman Regular" w:hAnsi="Times New Roman Regular" w:cs="Times New Roman Regular"/>
                <w:b w:val="0"/>
                <w:color w:val="000000"/>
                <w:sz w:val="24"/>
                <w:szCs w:val="24"/>
              </w:rPr>
              <w:t>and complete-draft demo</w:t>
            </w:r>
          </w:p>
        </w:tc>
        <w:tc>
          <w:tcPr>
            <w:tcW w:w="44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8353D2F">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The answer requests a name and other personal details even though all five draft fields are present.</w:t>
            </w:r>
          </w:p>
        </w:tc>
        <w:tc>
          <w:tcPr>
            <w:tcW w:w="38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5FB9DC0">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Text and draft status disagree; extra information is unnecessary.</w:t>
            </w:r>
          </w:p>
        </w:tc>
      </w:tr>
      <w:tr w14:paraId="41DE909E">
        <w:tc>
          <w:tcPr>
            <w:tcW w:w="1707"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DD7FA7E">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T08</w:t>
            </w:r>
          </w:p>
        </w:tc>
        <w:tc>
          <w:tcPr>
            <w:tcW w:w="44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C34D0F1">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The answer asks whether a draft is wanted even though the request is explicit and a draft is already present.</w:t>
            </w:r>
          </w:p>
        </w:tc>
        <w:tc>
          <w:tcPr>
            <w:tcW w:w="38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F564EE2">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A redundant confirmation reduces clarity.</w:t>
            </w:r>
          </w:p>
        </w:tc>
      </w:tr>
      <w:tr w14:paraId="40066901">
        <w:tc>
          <w:tcPr>
            <w:tcW w:w="1707"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DD16D7B">
            <w:pPr>
              <w:spacing w:after="60"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T10</w:t>
            </w:r>
          </w:p>
        </w:tc>
        <w:tc>
          <w:tcPr>
            <w:tcW w:w="44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6A372CF">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The answer says tomorrow’s leave cannot be requested, omitting the policy’s emergency route via the supervisor.</w:t>
            </w:r>
          </w:p>
        </w:tc>
        <w:tc>
          <w:tcPr>
            <w:tcW w:w="38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6BF329B">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An overly absolute conclusion is not justified by the evidence.</w:t>
            </w:r>
          </w:p>
        </w:tc>
      </w:tr>
    </w:tbl>
    <w:p w14:paraId="1BCB6AD4">
      <w:pPr>
        <w:spacing w:line="360" w:lineRule="auto"/>
        <w:jc w:val="both"/>
        <w:rPr>
          <w:rFonts w:hint="default" w:ascii="Times New Roman Regular" w:hAnsi="Times New Roman Regular" w:cs="Times New Roman Regular"/>
          <w:sz w:val="24"/>
          <w:szCs w:val="28"/>
        </w:rPr>
      </w:pPr>
    </w:p>
    <w:p w14:paraId="577A379D">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These issues were identified through AI-assisted review of saved outputs and student-provided screenshots, not independent HR assessment. A further review found that T23 generalizes the absence of a rate in the simulated documents into a claim that no uniform standard exists. Section 8 documents the separate content scoring and its retrospective nature. These issues remain known limitations in the evaluated code; no fix or new live run is claimed.</w:t>
      </w:r>
    </w:p>
    <w:p w14:paraId="2D8C27A3">
      <w:pPr>
        <w:pStyle w:val="4"/>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rPr>
        <w:t>4.</w:t>
      </w:r>
      <w:r>
        <w:rPr>
          <w:rFonts w:hint="eastAsia" w:ascii="Times New Roman Bold" w:hAnsi="Times New Roman Bold" w:cs="Times New Roman Bold"/>
          <w:b/>
          <w:bCs/>
          <w:sz w:val="32"/>
          <w:szCs w:val="32"/>
          <w:lang w:val="en-US" w:eastAsia="zh-CN"/>
        </w:rPr>
        <w:t>3</w:t>
      </w:r>
      <w:r>
        <w:rPr>
          <w:rFonts w:hint="default" w:ascii="Times New Roman Bold" w:hAnsi="Times New Roman Bold" w:cs="Times New Roman Bold"/>
          <w:b/>
          <w:bCs/>
          <w:sz w:val="32"/>
          <w:szCs w:val="32"/>
          <w:lang w:val="en-US"/>
        </w:rPr>
        <w:t xml:space="preserve"> </w:t>
      </w:r>
      <w:r>
        <w:rPr>
          <w:rFonts w:hint="default" w:ascii="Times New Roman Bold" w:hAnsi="Times New Roman Bold" w:cs="Times New Roman Bold"/>
          <w:b/>
          <w:bCs/>
          <w:sz w:val="32"/>
          <w:szCs w:val="32"/>
        </w:rPr>
        <w:t>Local baselines and regression coverage</w:t>
      </w:r>
    </w:p>
    <w:p w14:paraId="3740A6EB">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local baseline passes 30/30 development tasks and 10/12 challenge tasks. Unfamiliar wording in C11 and C12 is rejected by the domain gate and misses the intended policy section. A fixed keyword FAQ finds 18/25 labelled sections; TF-IDF finds 25/25 in its top three. Because their retrieval budgets differ, this is a workflow comparison, not a controlled superiority claim.</w:t>
      </w:r>
    </w:p>
    <w:p w14:paraId="05C8D2F2">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Fifteen software regression tests cover policy boundaries, dates, intent, missing data, evidence and version checks, and mocked API behavior. Added tests verify complete drafts, null preservation and model escalation. They test program behavior and do not replace live generation or human content review.</w:t>
      </w:r>
    </w:p>
    <w:p w14:paraId="019F81BC">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Business and technical trade offs</w:t>
      </w:r>
    </w:p>
    <w:p w14:paraId="41475113">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 xml:space="preserve">5.1 </w:t>
      </w:r>
      <w:r>
        <w:rPr>
          <w:rFonts w:hint="default" w:ascii="Times New Roman Bold" w:hAnsi="Times New Roman Bold" w:cs="Times New Roman Bold"/>
          <w:b/>
          <w:bCs/>
          <w:sz w:val="28"/>
          <w:szCs w:val="28"/>
        </w:rPr>
        <w:t>Retrieval threshold and operational choices</w:t>
      </w:r>
    </w:p>
    <w:p w14:paraId="1725DDEF">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Cosine similarity is not a calibrated confidence probability. In the saved offline sweep, thresholds 0.00, 0.08, 0.20, 0.40 and 0.65 produce 30, 30, 26, 14 and 5 successful tasks out of 30. The original proposal’s threshold of 0.65 causes 28 escalations with this representation. The selected 0.08 is provisional; its equality with zero on this set does not demonstrate a safety benefit. The revised proposal calls for validating the threshold, which this sensitivity analysis supports. Broader negative cases are still required.</w:t>
      </w:r>
    </w:p>
    <w:p w14:paraId="38B7F9B4">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Local retrieval has no generation API charge and is easy to reproduce, but returns excerpts and misses unfamiliar language. Rented generation provides synthesized text at the cost of network dependence and additional correctness checks. The live examples show why readable answers and valid JSON are insufficient grounds for removing HR oversight.</w:t>
      </w:r>
    </w:p>
    <w:p w14:paraId="23B6D767">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 xml:space="preserve">5.2 </w:t>
      </w:r>
      <w:r>
        <w:rPr>
          <w:rFonts w:hint="default" w:ascii="Times New Roman Bold" w:hAnsi="Times New Roman Bold" w:cs="Times New Roman Bold"/>
          <w:b/>
          <w:bCs/>
          <w:sz w:val="28"/>
          <w:szCs w:val="28"/>
        </w:rPr>
        <w:t>Observed API usage</w:t>
      </w:r>
    </w:p>
    <w:p w14:paraId="0D260771">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revised run records 16,658 prompt tokens and 1,842 completion tokens across 25 openai/gpt-4o-mini responses. Per query, that is 666.32 prompt tokens plus 73.68 completion tokens and USD 0.000144156 in provider-reported inference cost. At 400 comparable queries per month, variable model inference would be about USD 0.0577. This is a per-query input cost, not cost per successfully resolved enquiry. The two saved live evaluation runs together report USD 0.00618615. This is an aggregation of saved response metadata, not a reconciled account bill; later browser demonstrations and other account usage are excluded.</w:t>
      </w:r>
    </w:p>
    <w:p w14:paraId="125FDDDC">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5.3 Ill</w:t>
      </w:r>
      <w:r>
        <w:rPr>
          <w:rFonts w:hint="default" w:ascii="Times New Roman Bold" w:hAnsi="Times New Roman Bold" w:cs="Times New Roman Bold"/>
          <w:b/>
          <w:bCs/>
          <w:sz w:val="28"/>
          <w:szCs w:val="28"/>
        </w:rPr>
        <w:t>ustrative service cost and sensitivity</w:t>
      </w:r>
    </w:p>
    <w:p w14:paraId="44574721">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Class 5 cost-to-serve material motivates separating API usage, useful resolution, human handling and fixed costs, and varying uncertain success assumptions. Instructor feedback identifies a recurring operational workload: 15–20 regex rules require rewriting each quarter. The calculation uses the midpoint of 17.5 rules. The existing A2 insurance figures are not reused as HR-Ask evidence. The following arithmetic is an illustrative HR scenario, not execution of the original course notebook or a measured business result.</w:t>
      </w:r>
    </w:p>
    <w:p w14:paraId="6FDD9ACB">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For rule maintenance, assume 20 minutes per rewritten rule for revision, regression testing and release checking, and USD 25 per hour. At 17.5 rules per quarter, this equals 5.83 labour hours and USD 145.83 per quarter, or USD 48.61 per month. The rule count comes from instructor feedback; the minutes per rule and labour rate are transparent assumptions. For the fallback scenario, each unsuccessfully resolved enquiry is assumed to require five HR minutes at USD 25 per hour, or USD 2.0833. This is an illustrative fallback assumption, not a measured handling time, and is distinct from the five net minutes saved by a useful resolution. Assume 400 eligible enquiries per month, USD 2,000 initial setup, and one model call per enquiry at the observed mean, giving about USD 0.0577 monthly API cost. Monthly operating cost = API cost + maintenance cost + 400 × (1 − useful-resolution rate) × USD 2.0833. Cost per useful resolution = monthly operating cost ÷ (400 × useful-resolution rate).</w:t>
      </w:r>
    </w:p>
    <w:tbl>
      <w:tblPr>
        <w:tblStyle w:val="32"/>
        <w:tblW w:w="0" w:type="auto"/>
        <w:tblInd w:w="0" w:type="dxa"/>
        <w:tblLayout w:type="fixed"/>
        <w:tblCellMar>
          <w:top w:w="0" w:type="dxa"/>
          <w:left w:w="108" w:type="dxa"/>
          <w:bottom w:w="0" w:type="dxa"/>
          <w:right w:w="108" w:type="dxa"/>
        </w:tblCellMar>
      </w:tblPr>
      <w:tblGrid>
        <w:gridCol w:w="3168"/>
        <w:gridCol w:w="3024"/>
        <w:gridCol w:w="3024"/>
      </w:tblGrid>
      <w:tr w14:paraId="100BD036">
        <w:trPr>
          <w:tblHeader/>
        </w:trPr>
        <w:tc>
          <w:tcPr>
            <w:tcW w:w="316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33EB36D">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Useful resolution assumption</w:t>
            </w:r>
          </w:p>
        </w:tc>
        <w:tc>
          <w:tcPr>
            <w:tcW w:w="302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64A546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Cost per useful resolution</w:t>
            </w:r>
          </w:p>
        </w:tc>
        <w:tc>
          <w:tcPr>
            <w:tcW w:w="302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55EA04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Net value per month</w:t>
            </w:r>
          </w:p>
        </w:tc>
      </w:tr>
      <w:tr w14:paraId="6BEF1364">
        <w:tc>
          <w:tcPr>
            <w:tcW w:w="316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3B70BB5">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20%</w:t>
            </w:r>
          </w:p>
        </w:tc>
        <w:tc>
          <w:tcPr>
            <w:tcW w:w="302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C7626E0">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USD 8.94</w:t>
            </w:r>
          </w:p>
        </w:tc>
        <w:tc>
          <w:tcPr>
            <w:tcW w:w="302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DD181D7">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negative USD 548.67</w:t>
            </w:r>
          </w:p>
        </w:tc>
      </w:tr>
      <w:tr w14:paraId="36745D81">
        <w:tc>
          <w:tcPr>
            <w:tcW w:w="316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E165C14">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50%</w:t>
            </w:r>
          </w:p>
        </w:tc>
        <w:tc>
          <w:tcPr>
            <w:tcW w:w="302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8E056BD">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USD 2.33</w:t>
            </w:r>
          </w:p>
        </w:tc>
        <w:tc>
          <w:tcPr>
            <w:tcW w:w="302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C2EF2B3">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negative USD 48.67</w:t>
            </w:r>
          </w:p>
        </w:tc>
      </w:tr>
      <w:tr w14:paraId="47BF019A">
        <w:tc>
          <w:tcPr>
            <w:tcW w:w="316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CC7C87C">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80%</w:t>
            </w:r>
          </w:p>
        </w:tc>
        <w:tc>
          <w:tcPr>
            <w:tcW w:w="302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668116E">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USD 0.67</w:t>
            </w:r>
          </w:p>
        </w:tc>
        <w:tc>
          <w:tcPr>
            <w:tcW w:w="302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955BAAC">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USD 451.33</w:t>
            </w:r>
          </w:p>
        </w:tc>
      </w:tr>
    </w:tbl>
    <w:p w14:paraId="44DADD06">
      <w:pPr>
        <w:spacing w:line="360" w:lineRule="auto"/>
        <w:jc w:val="both"/>
        <w:rPr>
          <w:rFonts w:hint="default" w:ascii="Times New Roman Regular" w:hAnsi="Times New Roman Regular" w:cs="Times New Roman Regular"/>
          <w:sz w:val="24"/>
          <w:szCs w:val="28"/>
        </w:rPr>
      </w:pPr>
    </w:p>
    <w:p w14:paraId="1BB85D44">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At 20%, 50% and 80% useful resolution, operating cost per useful resolution is USD 8.94, USD 2.33 and USD 0.67 respectively. Net monthly value is negative USD 548.67, negative USD 48.67 and USD 451.33; only the 80% scenario repays USD 2,000 setup, in about 4.4 months. The completed manual student spot check passes 8/10 answers (80%) and supplies the 80% illustrative useful-resolution input. It is distinct from the 8/8 ticket structural pass rate, 30/30 task score and 5/8 completion rate, and it is not an independent HR review. Other costs could eliminate the benefit.</w:t>
      </w:r>
    </w:p>
    <w:p w14:paraId="632CFDEF">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remaining limits</w:t>
      </w:r>
    </w:p>
    <w:tbl>
      <w:tblPr>
        <w:tblStyle w:val="32"/>
        <w:tblW w:w="0" w:type="auto"/>
        <w:tblInd w:w="0" w:type="dxa"/>
        <w:tblLayout w:type="fixed"/>
        <w:tblCellMar>
          <w:top w:w="0" w:type="dxa"/>
          <w:left w:w="108" w:type="dxa"/>
          <w:bottom w:w="0" w:type="dxa"/>
          <w:right w:w="108" w:type="dxa"/>
        </w:tblCellMar>
      </w:tblPr>
      <w:tblGrid>
        <w:gridCol w:w="1944"/>
        <w:gridCol w:w="2954"/>
        <w:gridCol w:w="5089"/>
      </w:tblGrid>
      <w:tr w14:paraId="43BB6CD0">
        <w:trPr>
          <w:tblHeader/>
        </w:trPr>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050D969">
            <w:pPr>
              <w:spacing w:after="60"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color w:val="000000"/>
                <w:sz w:val="24"/>
                <w:szCs w:val="24"/>
              </w:rPr>
              <w:t>Risk</w:t>
            </w:r>
          </w:p>
        </w:tc>
        <w:tc>
          <w:tcPr>
            <w:tcW w:w="29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95A7833">
            <w:pPr>
              <w:spacing w:after="60"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color w:val="000000"/>
                <w:sz w:val="24"/>
                <w:szCs w:val="24"/>
              </w:rPr>
              <w:t>Current control</w:t>
            </w:r>
          </w:p>
        </w:tc>
        <w:tc>
          <w:tcPr>
            <w:tcW w:w="50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3FDA8FA">
            <w:pPr>
              <w:spacing w:after="60"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color w:val="000000"/>
                <w:sz w:val="24"/>
                <w:szCs w:val="24"/>
              </w:rPr>
              <w:t>Remaining limit</w:t>
            </w:r>
          </w:p>
        </w:tc>
      </w:tr>
      <w:tr w14:paraId="547CAAAF">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B7F494D">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Policy errors</w:t>
            </w:r>
          </w:p>
        </w:tc>
        <w:tc>
          <w:tcPr>
            <w:tcW w:w="29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68629A9">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Version checks, retrieved evidence and source IDs</w:t>
            </w:r>
          </w:p>
        </w:tc>
        <w:tc>
          <w:tcPr>
            <w:tcW w:w="50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23FCD89">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No independent HR approval; cited answers can still be misleading.</w:t>
            </w:r>
          </w:p>
        </w:tc>
      </w:tr>
      <w:tr w14:paraId="52D380C7">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79F2651">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Unwanted action</w:t>
            </w:r>
          </w:p>
        </w:tc>
        <w:tc>
          <w:tcPr>
            <w:tcW w:w="29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DB9B597">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Conservative routing and unsubmitted drafts</w:t>
            </w:r>
          </w:p>
        </w:tc>
        <w:tc>
          <w:tcPr>
            <w:tcW w:w="50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5946636">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No authenticated production confirmation or HR connector.</w:t>
            </w:r>
          </w:p>
        </w:tc>
      </w:tr>
      <w:tr w14:paraId="412BCECD">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9C51214">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Invented personal fields</w:t>
            </w:r>
          </w:p>
        </w:tc>
        <w:tc>
          <w:tcPr>
            <w:tcW w:w="29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F40D898">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Explicit extraction, nulls and format checks</w:t>
            </w:r>
          </w:p>
        </w:tc>
        <w:tc>
          <w:tcPr>
            <w:tcW w:w="50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CD8ADF0">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Narrow input patterns; no guided collection of missing fields.</w:t>
            </w:r>
          </w:p>
        </w:tc>
      </w:tr>
      <w:tr w14:paraId="3A75795A">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3A0E4D2">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Prompt injection</w:t>
            </w:r>
          </w:p>
        </w:tc>
        <w:tc>
          <w:tcPr>
            <w:tcW w:w="29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EDDAC81">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Instruction boundary and blocked patterns</w:t>
            </w:r>
          </w:p>
        </w:tc>
        <w:tc>
          <w:tcPr>
            <w:tcW w:w="50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66F8F5F">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Not exhaustive; no penetration test or hostile-document study.</w:t>
            </w:r>
          </w:p>
        </w:tc>
      </w:tr>
      <w:tr w14:paraId="2CDED02C">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3E5D16B">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Sensitive information</w:t>
            </w:r>
          </w:p>
        </w:tc>
        <w:tc>
          <w:tcPr>
            <w:tcW w:w="29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93DB733">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Fictional data and visible input warning</w:t>
            </w:r>
          </w:p>
        </w:tc>
        <w:tc>
          <w:tcPr>
            <w:tcW w:w="50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A18D1AE">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Questions and excerpts are sent to the selected API provider; no comprehensive redaction.</w:t>
            </w:r>
          </w:p>
        </w:tc>
      </w:tr>
      <w:tr w14:paraId="28FD95E4">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16F1D83">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Provider failure</w:t>
            </w:r>
          </w:p>
        </w:tc>
        <w:tc>
          <w:tcPr>
            <w:tcW w:w="29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6B12CC4">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Visible API errors and local fallback</w:t>
            </w:r>
          </w:p>
        </w:tc>
        <w:tc>
          <w:tcPr>
            <w:tcW w:w="50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788A8D4">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No outage, concurrency or sustained-load study.</w:t>
            </w:r>
          </w:p>
        </w:tc>
      </w:tr>
      <w:tr w14:paraId="2F20C4E5">
        <w:tc>
          <w:tcPr>
            <w:tcW w:w="194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44D39F8">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Automation bias</w:t>
            </w:r>
          </w:p>
        </w:tc>
        <w:tc>
          <w:tcPr>
            <w:tcW w:w="29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44DE4DB">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Draft notices and explicit limits</w:t>
            </w:r>
          </w:p>
        </w:tc>
        <w:tc>
          <w:tcPr>
            <w:tcW w:w="5089"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3C80B43">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Complete structured fields may coexist with misleading answer text.</w:t>
            </w:r>
          </w:p>
        </w:tc>
      </w:tr>
    </w:tbl>
    <w:p w14:paraId="222D0373">
      <w:pPr>
        <w:spacing w:line="360" w:lineRule="auto"/>
        <w:jc w:val="both"/>
        <w:rPr>
          <w:rFonts w:hint="default" w:ascii="Times New Roman Regular" w:hAnsi="Times New Roman Regular" w:cs="Times New Roman Regular"/>
          <w:sz w:val="24"/>
          <w:szCs w:val="28"/>
        </w:rPr>
      </w:pPr>
    </w:p>
    <w:p w14:paraId="6414F7D5">
      <w:pPr>
        <w:pStyle w:val="4"/>
        <w:spacing w:line="360" w:lineRule="auto"/>
        <w:jc w:val="both"/>
        <w:rPr>
          <w:rFonts w:hint="default" w:ascii="Times New Roman Regular" w:hAnsi="Times New Roman Regular" w:cs="Times New Roman Regular"/>
          <w:sz w:val="32"/>
          <w:szCs w:val="32"/>
        </w:rPr>
      </w:pPr>
      <w:r>
        <w:rPr>
          <w:rFonts w:hint="default" w:ascii="Times New Roman Bold" w:hAnsi="Times New Roman Bold" w:cs="Times New Roman Bold"/>
          <w:b/>
          <w:bCs/>
          <w:sz w:val="28"/>
          <w:szCs w:val="28"/>
          <w:lang w:val="en-US"/>
        </w:rPr>
        <w:t xml:space="preserve">6.1 </w:t>
      </w:r>
      <w:r>
        <w:rPr>
          <w:rFonts w:hint="default" w:ascii="Times New Roman Bold" w:hAnsi="Times New Roman Bold" w:cs="Times New Roman Bold"/>
          <w:b/>
          <w:bCs/>
          <w:sz w:val="28"/>
          <w:szCs w:val="28"/>
        </w:rPr>
        <w:t>Verification boundaries</w:t>
      </w:r>
    </w:p>
    <w:p w14:paraId="6276E8FD">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prototype has not been tested with real employees or connected to a production HR system. No security penetration test, independent policy-correctness study, usability trial or controlled cost-saving experiment has been performed. The saved challenge set was run locally, so it does not measure live-model robustness. A valid citation ID establishes provenance, not factual entailment.</w:t>
      </w:r>
    </w:p>
    <w:p w14:paraId="0AF835D1">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revised live run and the screenshots establish that the three demonstrated paths can execute. They do not demonstrate multi-turn completion or resolve the text-quality issues described in section 4. The revised ticket target remains unmet under the strict first-turn definition.</w:t>
      </w:r>
    </w:p>
    <w:p w14:paraId="2F60B280">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 xml:space="preserve">6.2 </w:t>
      </w:r>
      <w:r>
        <w:rPr>
          <w:rFonts w:hint="default" w:ascii="Times New Roman Bold" w:hAnsi="Times New Roman Bold" w:cs="Times New Roman Bold"/>
          <w:b/>
          <w:bCs/>
          <w:sz w:val="28"/>
          <w:szCs w:val="28"/>
        </w:rPr>
        <w:t>Priorities before a pilot</w:t>
      </w:r>
    </w:p>
    <w:p w14:paraId="5600C12B">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First, align generated wording with validated ticket status and prevent unnecessary personal-data requests. Second, add a form or stateful flow to collect missing fields, then measure completion across the whole interaction. Third, have HR independently approve a versioned policy snapshot and label a locked test set containing contradictions, outdated terms and unfamiliar phrasing.</w:t>
      </w:r>
    </w:p>
    <w:p w14:paraId="1E087984">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server is loopback only. Production requires authentication, access controls, retention rules, monitoring and explicit confirmation before any submission connector. HR retains policy interpretation and employment decisions.</w:t>
      </w:r>
    </w:p>
    <w:p w14:paraId="08E3E0E4">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evidence</w:t>
      </w:r>
    </w:p>
    <w:p w14:paraId="57C680B3">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 xml:space="preserve">7.1 </w:t>
      </w:r>
      <w:r>
        <w:rPr>
          <w:rFonts w:hint="default" w:ascii="Times New Roman Bold" w:hAnsi="Times New Roman Bold" w:cs="Times New Roman Bold"/>
          <w:b/>
          <w:bCs/>
          <w:sz w:val="28"/>
          <w:szCs w:val="28"/>
        </w:rPr>
        <w:t>Run the application and checks</w:t>
      </w:r>
    </w:p>
    <w:p w14:paraId="4AB6FC08">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From the project root with Python 3.10 or newer, run python3 -m unittest discover -v. Run python3 evaluate.py for the local development set, and python3 evaluate.py --cases tests/challenge.json --output results/challenge.json for the local challenge set. Run python3 compare.py for keyword and threshold comparisons. Local application code uses the Python standard library.</w:t>
      </w:r>
    </w:p>
    <w:p w14:paraId="5B45A667">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For the real-model browser demo, run python3 run_openrouter.py, enter the key at its hidden prompt, and open http://127.0.0.1:8765. Select OpenRouter in the interface. Run python3 run_openrouter.py --evaluate to save another model evaluation; archive existing results first because the command overwrites results/openrouter.json. Never include keys in the repository, report or video.</w:t>
      </w:r>
    </w:p>
    <w:p w14:paraId="2DB5DE5C">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saved revised run uses prompt version draft-intent-v2. Dataset, policy and source SHA-256 values are recorded in results/openrouter.json. Provider errors visibly fall back to local output; fallback results must not be reported as model responses. No new API calls were needed to update this report. Run python3 scripts/summarize_evidence.py to aggregate separate answer-quality, ticket-structure, workflow-completion, escalation and cost measures without model calls. The human answer spot-check protocol is tests/MANUAL_ANSWER_SPOT_CHECK.md.</w:t>
      </w:r>
    </w:p>
    <w:p w14:paraId="59F042C1">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 xml:space="preserve">7.2 </w:t>
      </w:r>
      <w:r>
        <w:rPr>
          <w:rFonts w:hint="default" w:ascii="Times New Roman Bold" w:hAnsi="Times New Roman Bold" w:cs="Times New Roman Bold"/>
          <w:b/>
          <w:bCs/>
          <w:sz w:val="28"/>
          <w:szCs w:val="28"/>
        </w:rPr>
        <w:t>Deliverable and evidence map</w:t>
      </w:r>
    </w:p>
    <w:tbl>
      <w:tblPr>
        <w:tblStyle w:val="32"/>
        <w:tblW w:w="0" w:type="auto"/>
        <w:tblInd w:w="0" w:type="dxa"/>
        <w:tblLayout w:type="fixed"/>
        <w:tblCellMar>
          <w:top w:w="0" w:type="dxa"/>
          <w:left w:w="108" w:type="dxa"/>
          <w:bottom w:w="0" w:type="dxa"/>
          <w:right w:w="108" w:type="dxa"/>
        </w:tblCellMar>
      </w:tblPr>
      <w:tblGrid>
        <w:gridCol w:w="2376"/>
        <w:gridCol w:w="7611"/>
      </w:tblGrid>
      <w:tr w14:paraId="33A1C7F8">
        <w:trPr>
          <w:tblHeader/>
        </w:trPr>
        <w:tc>
          <w:tcPr>
            <w:tcW w:w="2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88FA03C">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color w:val="000000"/>
                <w:sz w:val="24"/>
                <w:szCs w:val="24"/>
              </w:rPr>
              <w:t>Item</w:t>
            </w:r>
          </w:p>
        </w:tc>
        <w:tc>
          <w:tcPr>
            <w:tcW w:w="761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C3E3DA2">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color w:val="000000"/>
                <w:sz w:val="24"/>
                <w:szCs w:val="24"/>
              </w:rPr>
              <w:t>Location or status</w:t>
            </w:r>
          </w:p>
        </w:tc>
      </w:tr>
      <w:tr w14:paraId="30BAF562">
        <w:tc>
          <w:tcPr>
            <w:tcW w:w="2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E53D840">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Current report</w:t>
            </w:r>
          </w:p>
        </w:tc>
        <w:tc>
          <w:tcPr>
            <w:tcW w:w="761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EEF07B7">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docs/Final_Report.docx; the single current report in this package.</w:t>
            </w:r>
          </w:p>
        </w:tc>
      </w:tr>
      <w:tr w14:paraId="5BC68999">
        <w:tc>
          <w:tcPr>
            <w:tcW w:w="2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599EB81">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Live results</w:t>
            </w:r>
          </w:p>
        </w:tc>
        <w:tc>
          <w:tcPr>
            <w:tcW w:w="761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D5977FE">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results/openrouter.json and openrouter_before_prompt_v2.json</w:t>
            </w:r>
          </w:p>
        </w:tc>
      </w:tr>
      <w:tr w14:paraId="28BC5991">
        <w:tc>
          <w:tcPr>
            <w:tcW w:w="2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0325190">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Baseline and cost evidence</w:t>
            </w:r>
          </w:p>
        </w:tc>
        <w:tc>
          <w:tcPr>
            <w:tcW w:w="761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05A182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results/comparison.json, challenge.json, report_cost_summary.json and manual_answer_spot_check.json</w:t>
            </w:r>
          </w:p>
        </w:tc>
      </w:tr>
      <w:tr w14:paraId="39E88560">
        <w:tc>
          <w:tcPr>
            <w:tcW w:w="2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61267F1">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Code and tests</w:t>
            </w:r>
          </w:p>
        </w:tc>
        <w:tc>
          <w:tcPr>
            <w:tcW w:w="761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626ECA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src/hrask.py, evaluate.py, server.py, policies/ and tests/; GitHub: github.com/kxy-creator/PE6201-End-of-project.</w:t>
            </w:r>
          </w:p>
        </w:tc>
      </w:tr>
      <w:tr w14:paraId="64B7871F">
        <w:tc>
          <w:tcPr>
            <w:tcW w:w="2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99A4FFB">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English demonstration</w:t>
            </w:r>
          </w:p>
        </w:tc>
        <w:tc>
          <w:tcPr>
            <w:tcW w:w="761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4C12CF7">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docs/HR_Ask_English_Demo_Final_With_Voice.mp4; actual application screenshots with the student’s recorded English narration and synchronized English subtitles.</w:t>
            </w:r>
          </w:p>
        </w:tc>
      </w:tr>
      <w:tr w14:paraId="28FE495C">
        <w:tc>
          <w:tcPr>
            <w:tcW w:w="2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618169D">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Self appraisal</w:t>
            </w:r>
          </w:p>
        </w:tc>
        <w:tc>
          <w:tcPr>
            <w:tcW w:w="761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855D342">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docs/Self_Appraisal.docx; evidence-based cover updated for this package; personal review and confirmation still required.</w:t>
            </w:r>
          </w:p>
        </w:tc>
      </w:tr>
    </w:tbl>
    <w:p w14:paraId="78AC9B31">
      <w:pPr>
        <w:spacing w:line="360" w:lineRule="auto"/>
        <w:jc w:val="both"/>
        <w:rPr>
          <w:rFonts w:hint="default" w:ascii="Times New Roman Regular" w:hAnsi="Times New Roman Regular" w:cs="Times New Roman Regular"/>
          <w:sz w:val="24"/>
          <w:szCs w:val="28"/>
        </w:rPr>
      </w:pPr>
    </w:p>
    <w:p w14:paraId="60BAF54A">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 xml:space="preserve">7.3 </w:t>
      </w:r>
      <w:r>
        <w:rPr>
          <w:rFonts w:hint="default" w:ascii="Times New Roman Bold" w:hAnsi="Times New Roman Bold" w:cs="Times New Roman Bold"/>
          <w:b/>
          <w:bCs/>
          <w:sz w:val="28"/>
          <w:szCs w:val="28"/>
        </w:rPr>
        <w:t>AI assistance declaration</w:t>
      </w:r>
    </w:p>
    <w:p w14:paraId="7D2571F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 assistance was used for code, synthetic data, analysis, report writing and video materials. The final demonstration video uses the student’s recorded English narration, actual application screenshots and English subtitles. The student remains responsible for reviewing the work, explaining the design and declaring assistance under the course requirements.</w:t>
      </w:r>
    </w:p>
    <w:p w14:paraId="23563DD4">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8 Alignment with the revised proposal</w:t>
      </w:r>
    </w:p>
    <w:p w14:paraId="2701AE6B">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revised proposal asks for separate policy-answer and ticket scores, informal questions, expected answers defined before testing, and observed model cost. The existing core is preserved so the saved live evidence remains attributable to the same code. This section distinguishes completed checks from methodological gaps rather than treating the proposal as a claim that every feature has been delivered.</w:t>
      </w:r>
    </w:p>
    <w:tbl>
      <w:tblPr>
        <w:tblStyle w:val="32"/>
        <w:tblW w:w="0" w:type="auto"/>
        <w:tblInd w:w="0" w:type="dxa"/>
        <w:tblLayout w:type="fixed"/>
        <w:tblCellMar>
          <w:top w:w="0" w:type="dxa"/>
          <w:left w:w="108" w:type="dxa"/>
          <w:bottom w:w="0" w:type="dxa"/>
          <w:right w:w="108" w:type="dxa"/>
        </w:tblCellMar>
      </w:tblPr>
      <w:tblGrid>
        <w:gridCol w:w="2952"/>
        <w:gridCol w:w="1584"/>
        <w:gridCol w:w="5461"/>
      </w:tblGrid>
      <w:tr w14:paraId="121E95F1">
        <w:trPr>
          <w:tblHeader/>
        </w:trPr>
        <w:tc>
          <w:tcPr>
            <w:tcW w:w="29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4CFB392">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color w:val="000000"/>
                <w:sz w:val="24"/>
                <w:szCs w:val="24"/>
              </w:rPr>
              <w:t>Separate measure</w:t>
            </w:r>
          </w:p>
        </w:tc>
        <w:tc>
          <w:tcPr>
            <w:tcW w:w="158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9AEB8F4">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color w:val="000000"/>
                <w:sz w:val="24"/>
                <w:szCs w:val="24"/>
              </w:rPr>
              <w:t>Result</w:t>
            </w:r>
          </w:p>
        </w:tc>
        <w:tc>
          <w:tcPr>
            <w:tcW w:w="546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F064A2F">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color w:val="000000"/>
                <w:sz w:val="24"/>
                <w:szCs w:val="24"/>
              </w:rPr>
              <w:t>Scope</w:t>
            </w:r>
          </w:p>
        </w:tc>
      </w:tr>
      <w:tr w14:paraId="08622510">
        <w:tc>
          <w:tcPr>
            <w:tcW w:w="29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DFD70A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Answer-quality reviews</w:t>
            </w:r>
          </w:p>
        </w:tc>
        <w:tc>
          <w:tcPr>
            <w:tcW w:w="158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5DF00C7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22/25 (88%) AI-assisted; 8/10 (80%) manual</w:t>
            </w:r>
          </w:p>
        </w:tc>
        <w:tc>
          <w:tcPr>
            <w:tcW w:w="546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A60383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Retrospective AI-assisted review; manual student sample uses seed 20260925 and is not independent HR review</w:t>
            </w:r>
          </w:p>
        </w:tc>
      </w:tr>
      <w:tr w14:paraId="1CD1D982">
        <w:tc>
          <w:tcPr>
            <w:tcW w:w="29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A5C9D7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Ticket structural pass rate</w:t>
            </w:r>
          </w:p>
        </w:tc>
        <w:tc>
          <w:tcPr>
            <w:tcW w:w="158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614D3D2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8/8 (100%)</w:t>
            </w:r>
          </w:p>
        </w:tc>
        <w:tc>
          <w:tcPr>
            <w:tcW w:w="546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331A21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color w:val="000000"/>
                <w:sz w:val="24"/>
                <w:szCs w:val="24"/>
              </w:rPr>
              <w:t>Valid JSON, five fields and correct request type; first-turn completion is separately 5/8</w:t>
            </w:r>
          </w:p>
        </w:tc>
      </w:tr>
      <w:tr w14:paraId="2F710F27">
        <w:tc>
          <w:tcPr>
            <w:tcW w:w="29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C26FFBB">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Intent accuracy</w:t>
            </w:r>
          </w:p>
        </w:tc>
        <w:tc>
          <w:tcPr>
            <w:tcW w:w="158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CE1915B">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30/30</w:t>
            </w:r>
          </w:p>
        </w:tc>
        <w:tc>
          <w:tcPr>
            <w:tcW w:w="546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B2DC8F8">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Known development cases; model and local gate combined</w:t>
            </w:r>
          </w:p>
        </w:tc>
      </w:tr>
      <w:tr w14:paraId="41445489">
        <w:tc>
          <w:tcPr>
            <w:tcW w:w="29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1735BC8C">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Escalation rate</w:t>
            </w:r>
          </w:p>
        </w:tc>
        <w:tc>
          <w:tcPr>
            <w:tcW w:w="158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3B3D2D8">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3/30 (10%)</w:t>
            </w:r>
          </w:p>
        </w:tc>
        <w:tc>
          <w:tcPr>
            <w:tcW w:w="546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57BC1B1">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T28, T29, T30; no API errors</w:t>
            </w:r>
          </w:p>
        </w:tc>
      </w:tr>
      <w:tr w14:paraId="745A820B">
        <w:tc>
          <w:tcPr>
            <w:tcW w:w="29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719DC822">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Clarification rate</w:t>
            </w:r>
          </w:p>
        </w:tc>
        <w:tc>
          <w:tcPr>
            <w:tcW w:w="158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3AF0A49D">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2/30 (6.67%)</w:t>
            </w:r>
          </w:p>
        </w:tc>
        <w:tc>
          <w:tcPr>
            <w:tcW w:w="546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2DF94ACD">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T11, T19; separate from escalation</w:t>
            </w:r>
          </w:p>
        </w:tc>
      </w:tr>
      <w:tr w14:paraId="3C4CD654">
        <w:tc>
          <w:tcPr>
            <w:tcW w:w="295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AE572FD">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Informal diagnostics</w:t>
            </w:r>
          </w:p>
        </w:tc>
        <w:tc>
          <w:tcPr>
            <w:tcW w:w="158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01262F70">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7/12</w:t>
            </w:r>
          </w:p>
        </w:tc>
        <w:tc>
          <w:tcPr>
            <w:tcW w:w="5461"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90" w:type="dxa"/>
              <w:left w:w="90" w:type="dxa"/>
              <w:bottom w:w="90" w:type="dxa"/>
              <w:right w:w="90" w:type="dxa"/>
            </w:tcMar>
            <w:vAlign w:val="center"/>
          </w:tcPr>
          <w:p w14:paraId="4E4E3757">
            <w:pPr>
              <w:spacing w:after="6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Offline only; 23 September developer-authored supplementary set</w:t>
            </w:r>
          </w:p>
        </w:tc>
      </w:tr>
    </w:tbl>
    <w:p w14:paraId="710A757F">
      <w:pPr>
        <w:spacing w:line="360" w:lineRule="auto"/>
        <w:jc w:val="both"/>
        <w:rPr>
          <w:rFonts w:hint="default" w:ascii="Times New Roman Regular" w:hAnsi="Times New Roman Regular" w:cs="Times New Roman Regular"/>
          <w:sz w:val="24"/>
          <w:szCs w:val="28"/>
        </w:rPr>
      </w:pPr>
    </w:p>
    <w:p w14:paraId="4A3D6C24">
      <w:pPr>
        <w:pStyle w:val="4"/>
        <w:spacing w:line="360" w:lineRule="auto"/>
        <w:jc w:val="both"/>
        <w:rPr>
          <w:rFonts w:hint="default" w:ascii="Times New Roman Regular" w:hAnsi="Times New Roman Regular" w:cs="Times New Roman Regular"/>
          <w:sz w:val="32"/>
          <w:szCs w:val="32"/>
        </w:rPr>
      </w:pPr>
      <w:r>
        <w:rPr>
          <w:rFonts w:hint="default" w:ascii="Times New Roman Bold" w:hAnsi="Times New Roman Bold" w:cs="Times New Roman Bold"/>
          <w:b/>
          <w:bCs/>
          <w:sz w:val="28"/>
          <w:szCs w:val="28"/>
          <w:lang w:val="en-US"/>
        </w:rPr>
        <w:t xml:space="preserve">8.1 </w:t>
      </w:r>
      <w:r>
        <w:rPr>
          <w:rFonts w:hint="default" w:ascii="Times New Roman Bold" w:hAnsi="Times New Roman Bold" w:cs="Times New Roman Bold"/>
          <w:b/>
          <w:bCs/>
          <w:sz w:val="28"/>
          <w:szCs w:val="28"/>
        </w:rPr>
        <w:t>Policy review criteria and timing</w:t>
      </w:r>
    </w:p>
    <w:p w14:paraId="19AD8D39">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25 cases with a gold policy passage are eligible; five workflow-only clarification or escalation cases are excluded. A policy answer passes when the relevant source is retrieved, its core conclusion is supported, and it introduces no material unsupported requirement or policy claim. The review uses both the stored answer and the policy text. T07 adds an unsupported name requirement; T10 omits the emergency route and categorically rejects tomorrow’s leave; T23 makes an unsupported generalization about contribution standards. T08 has a redundant drafting confirmation, recorded as a usability issue rather than a policy failure.</w:t>
      </w:r>
    </w:p>
    <w:p w14:paraId="0AB9B0F9">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Expected conclusions and judgments were written on 23 September after observing the 21 September model outputs. They are explicitly retrospective, not pre-registered labels or independent human validation. Files tests/policy_answer_rubric.json and results/policy_answer_review.json provide every case, expected conclusion, answer and rationale. The latter is bound to the reviewed result by a SHA-256 hash. Independent HR verification remains pending.</w:t>
      </w:r>
    </w:p>
    <w:p w14:paraId="28548EC4">
      <w:pPr>
        <w:pStyle w:val="4"/>
        <w:spacing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lang w:val="en-US"/>
        </w:rPr>
        <w:t xml:space="preserve">8.2 </w:t>
      </w:r>
      <w:r>
        <w:rPr>
          <w:rFonts w:hint="default" w:ascii="Times New Roman Bold" w:hAnsi="Times New Roman Bold" w:cs="Times New Roman Bold"/>
          <w:b/>
          <w:bCs/>
          <w:sz w:val="28"/>
          <w:szCs w:val="28"/>
        </w:rPr>
        <w:t>Informal language and proposal gaps</w:t>
      </w:r>
    </w:p>
    <w:p w14:paraId="4012B7B7">
      <w:pPr>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Twelve additional inputs were written before their diagnostic execution, but by an assistant already familiar with the implementation. They include short Chinese requests, misspellings, English abbreviations, omitted policy terms and positive controls. At the frozen core revision, 7/12 engineering cases pass and gold retrieval is 7/11. The proposal example “need leave tmr, family thing” escalates instead of creating a draft, exposing the lexical gate limitation. No live API was called for this supplementary set.</w:t>
      </w:r>
    </w:p>
    <w:p w14:paraId="4C90A2AD">
      <w:pPr>
        <w:spacing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The stronger goal of defining all expected answers before the original live test remains unmet. Chroma, a 30–50-page corpus and robust informal-language handling also remain proposal-to-implementation gaps. A future evaluation should freeze a separate rubric and test set, then obtain independent HR review.</w:t>
      </w:r>
    </w:p>
    <w:p w14:paraId="79339531">
      <w:pPr>
        <w:pStyle w:val="3"/>
        <w:bidi w:val="0"/>
        <w:spacing w:line="360" w:lineRule="auto"/>
        <w:rPr>
          <w:rFonts w:hint="default" w:ascii="Times New Roman Bold" w:hAnsi="Times New Roman Bold" w:cs="Times New Roman Bold"/>
          <w:b/>
          <w:bCs w:val="0"/>
          <w:sz w:val="32"/>
          <w:szCs w:val="32"/>
        </w:rPr>
      </w:pPr>
      <w:r>
        <w:rPr>
          <w:rFonts w:hint="default" w:ascii="Times New Roman Bold" w:hAnsi="Times New Roman Bold" w:cs="Times New Roman Bold"/>
          <w:b/>
          <w:bCs w:val="0"/>
          <w:sz w:val="32"/>
          <w:szCs w:val="32"/>
        </w:rPr>
        <w:t>Appendix Positive and Negative Examples</w:t>
      </w:r>
      <w:bookmarkStart w:id="0" w:name="_GoBack"/>
      <w:bookmarkEnd w:id="0"/>
    </w:p>
    <w:p w14:paraId="5CD142A5">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This appendix uses preserved inputs and outputs to show where HR Ask performed correctly and where it remained limited. Positive and negative observations assess policy content, ticket fields and intent recognition separately. Passing automated checks alone does not establish that every sentence is correct.</w:t>
      </w:r>
    </w:p>
    <w:p w14:paraId="441E6C1A">
      <w:pPr>
        <w:pageBreakBefore w:val="0"/>
        <w:spacing w:after="14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Live-model examples are from the historical OpenRouter evaluation on 21 September 2026. Offline examples are from the informal-language diagnostic on 23 September 2026. This appendix made no new API calls. All policies and employee examples are fictional educational material.</w:t>
      </w:r>
    </w:p>
    <w:p w14:paraId="501244AC">
      <w:pPr>
        <w:pStyle w:val="4"/>
        <w:pageBreakBefore w:val="0"/>
        <w:spacing w:after="180"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color w:val="000000"/>
          <w:sz w:val="28"/>
          <w:szCs w:val="28"/>
        </w:rPr>
        <w:t>Positive example one Accurate policy answer without an unwanted ticket</w:t>
      </w:r>
    </w:p>
    <w:p w14:paraId="61933FE3">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User input (English translation): How many annual-leave days are available each year?</w:t>
      </w:r>
    </w:p>
    <w:p w14:paraId="0A5AA553">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Observed output translation: Full-time employees in this simulated company receive 12 days of annual leave each year.</w:t>
      </w:r>
    </w:p>
    <w:p w14:paraId="6755A58F">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Observed status: intent consult; mode openrouter; no ticket created.</w:t>
      </w:r>
    </w:p>
    <w:p w14:paraId="639C6AB6">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Explanation: The answer matches the simulated 12-day annual-leave allowance in HR-HB-01/annual. The user requested information rather than a draft, so the system did not create a ticket. The allowance is a fictional company rule, not an employment-law claim.</w:t>
      </w:r>
    </w:p>
    <w:p w14:paraId="7EF3CFCC">
      <w:pPr>
        <w:pageBreakBefore w:val="0"/>
        <w:spacing w:after="14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Evidence: results/openrouter.json, case T01.</w:t>
      </w:r>
    </w:p>
    <w:p w14:paraId="7205A908">
      <w:pPr>
        <w:pStyle w:val="4"/>
        <w:pageBreakBefore w:val="0"/>
        <w:spacing w:after="180" w:line="360" w:lineRule="auto"/>
        <w:jc w:val="both"/>
        <w:rPr>
          <w:rFonts w:hint="default" w:ascii="Times New Roman Regular" w:hAnsi="Times New Roman Regular" w:cs="Times New Roman Regular"/>
          <w:sz w:val="32"/>
          <w:szCs w:val="32"/>
        </w:rPr>
      </w:pPr>
      <w:r>
        <w:rPr>
          <w:rFonts w:hint="default" w:ascii="Times New Roman Regular" w:hAnsi="Times New Roman Regular" w:cs="Times New Roman Regular"/>
          <w:color w:val="000000"/>
          <w:sz w:val="32"/>
          <w:szCs w:val="32"/>
        </w:rPr>
        <w:t>Positive example two Complete personal-leave draft</w:t>
      </w:r>
    </w:p>
    <w:p w14:paraId="2A7D4804">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User input (English translation): I want to apply for personal leave. E1003, 2026-09-24, reason: personal matter; contact: phone.</w:t>
      </w:r>
    </w:p>
    <w:p w14:paraId="512B323C">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Observed output translation: Under company policy, a personal-leave request needs a date and reason and is subject to supervisor approval. Your date is 24 September 2026 and your reason is a personal matter. I can prepare an unsubmitted draft. Draft only; not submitted or approved.</w:t>
      </w:r>
    </w:p>
    <w:p w14:paraId="1AC7354E">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Observed status: intent draft; mode openrouter; complete unsubmitted draft.</w:t>
      </w:r>
    </w:p>
    <w:p w14:paraId="0197C684">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Explanation: The system recognized an explicit drafting request, extracted all five required fields and stated that the draft was neither submitted nor approved. The structured draft matches the supplied information.</w:t>
      </w:r>
    </w:p>
    <w:p w14:paraId="2B6CCFC4">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Evidence: results/openrouter.json, case T09.</w:t>
      </w:r>
    </w:p>
    <w:p w14:paraId="2B43BEE8">
      <w:pPr>
        <w:pageBreakBefore w:val="0"/>
        <w:spacing w:after="140" w:line="360" w:lineRule="auto"/>
        <w:jc w:val="both"/>
        <w:rPr>
          <w:rFonts w:hint="default" w:ascii="Times New Roman Regular" w:hAnsi="Times New Roman Regular" w:cs="Times New Roman Regular"/>
          <w:b w:val="0"/>
          <w:color w:val="000000"/>
          <w:sz w:val="24"/>
          <w:szCs w:val="24"/>
        </w:rPr>
      </w:pPr>
      <w:r>
        <w:rPr>
          <w:rFonts w:hint="default" w:ascii="Times New Roman Regular" w:hAnsi="Times New Roman Regular" w:cs="Times New Roman Regular"/>
          <w:b w:val="0"/>
          <w:color w:val="000000"/>
          <w:sz w:val="24"/>
          <w:szCs w:val="24"/>
        </w:rPr>
        <w:t>Observed draft fields: employee_id = E1003; request_type = personal_leave; requested_date = 2026-09-24; reason = private matter; contact_channel = phone.</w:t>
      </w:r>
    </w:p>
    <w:p w14:paraId="4CB0F58A">
      <w:pPr>
        <w:pStyle w:val="3"/>
        <w:bidi w:val="0"/>
        <w:spacing w:line="360" w:lineRule="auto"/>
        <w:rPr>
          <w:rFonts w:hint="default" w:ascii="Times New Roman Bold" w:hAnsi="Times New Roman Bold" w:cs="Times New Roman Bold"/>
          <w:b/>
          <w:bCs w:val="0"/>
          <w:sz w:val="32"/>
          <w:szCs w:val="32"/>
        </w:rPr>
      </w:pPr>
      <w:r>
        <w:rPr>
          <w:rFonts w:hint="default" w:ascii="Times New Roman Bold" w:hAnsi="Times New Roman Bold" w:cs="Times New Roman Bold"/>
          <w:b/>
          <w:bCs w:val="0"/>
          <w:sz w:val="32"/>
          <w:szCs w:val="32"/>
        </w:rPr>
        <w:t>Negative examples in live model answers</w:t>
      </w:r>
    </w:p>
    <w:p w14:paraId="3B3A1CBC">
      <w:pPr>
        <w:pStyle w:val="4"/>
        <w:pageBreakBefore w:val="0"/>
        <w:spacing w:after="180"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color w:val="000000"/>
          <w:sz w:val="28"/>
          <w:szCs w:val="28"/>
        </w:rPr>
        <w:t>Negative example one Extra personal information requested after all fields were present</w:t>
      </w:r>
    </w:p>
    <w:p w14:paraId="51AF5D7F">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User input (English translation): Please apply for annual leave. E1001, 2026-09-25, reason: family arrangement; contact: email.</w:t>
      </w:r>
    </w:p>
    <w:p w14:paraId="38B02978">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Observed output translation excerpt: Please provide your name and other necessary personal information so that the draft can be completed.</w:t>
      </w:r>
    </w:p>
    <w:p w14:paraId="71F795B2">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Observed status: intent draft; mode openrouter; complete unsubmitted draft.</w:t>
      </w:r>
    </w:p>
    <w:p w14:paraId="6F7FD979">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Explanation: All five required fields were already present, complete was true, and the automated engineering checks passed. However, the answer asked for a name and other personal information, which conflicts with the existing five-field rule and the completed-draft status. This shows that correct structured fields do not guarantee that the entire answer is correct.</w:t>
      </w:r>
    </w:p>
    <w:p w14:paraId="239EDFAC">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Suggested improvement: Use validated missing fields to control information requests. When missing_fields is empty, ask the user only to review the draft. This is a proposed improvement, not an implemented change.</w:t>
      </w:r>
    </w:p>
    <w:p w14:paraId="5CDDFCE5">
      <w:pPr>
        <w:pageBreakBefore w:val="0"/>
        <w:spacing w:after="14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Evidence: results/openrouter.json, case T07.</w:t>
      </w:r>
    </w:p>
    <w:p w14:paraId="75B984C2">
      <w:pPr>
        <w:pageBreakBefore w:val="0"/>
        <w:spacing w:after="14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Observed draft fields: employee_id = E1001; request_type = annual_leave; requested_date = 2026-09-25; reason = family arrangement; contact_channel = email.</w:t>
      </w:r>
    </w:p>
    <w:p w14:paraId="535F5EF5">
      <w:pPr>
        <w:pStyle w:val="4"/>
        <w:pageBreakBefore w:val="0"/>
        <w:spacing w:after="180"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color w:val="000000"/>
          <w:sz w:val="28"/>
          <w:szCs w:val="28"/>
        </w:rPr>
        <w:t>Negative example two An overly absolute conclusion about leave requested for tomorrow</w:t>
      </w:r>
    </w:p>
    <w:p w14:paraId="1972BCC4">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b w:val="0"/>
          <w:color w:val="000000"/>
          <w:sz w:val="24"/>
          <w:szCs w:val="28"/>
        </w:rPr>
        <w:t>User input (English translation): Please apply for annual leave tomorrow.</w:t>
      </w:r>
    </w:p>
    <w:p w14:paraId="325C0B51">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b w:val="0"/>
          <w:color w:val="000000"/>
          <w:sz w:val="24"/>
          <w:szCs w:val="28"/>
        </w:rPr>
        <w:t>Observed output translation excerpt: The annual-leave process requires requests at least two working days in advance. Therefore, you cannot apply for leave tomorrow.</w:t>
      </w:r>
    </w:p>
    <w:p w14:paraId="07E0288D">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b w:val="0"/>
          <w:color w:val="000000"/>
          <w:sz w:val="24"/>
          <w:szCs w:val="28"/>
        </w:rPr>
        <w:t>Observed status: intent draft; mode openrouter; incomplete unsubmitted draft.</w:t>
      </w:r>
    </w:p>
    <w:p w14:paraId="02BDEFEF">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b w:val="0"/>
          <w:color w:val="000000"/>
          <w:sz w:val="24"/>
          <w:szCs w:val="28"/>
        </w:rPr>
        <w:t>Explanation: HR-LV-01/annual requires two working days of notice but also directs employees with urgent situations to contact their supervisor first. The answer said that leave for tomorrow could not be requested and omitted the emergency route. Preserving missing fields was correct, but the policy conclusion was incomplete.</w:t>
      </w:r>
    </w:p>
    <w:p w14:paraId="74BE2A35">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8"/>
        </w:rPr>
        <w:t xml:space="preserve">Suggested improvement: State that the normal process requires two working days of notice, advise the </w:t>
      </w:r>
      <w:r>
        <w:rPr>
          <w:rFonts w:hint="default" w:ascii="Times New Roman Regular" w:hAnsi="Times New Roman Regular" w:cs="Times New Roman Regular"/>
          <w:b w:val="0"/>
          <w:color w:val="000000"/>
          <w:sz w:val="24"/>
          <w:szCs w:val="24"/>
        </w:rPr>
        <w:t>employee to contact the supervisor first if urgent, and clarify that approval remains the supervisor’s decision. This is not the original output and is not an implemented fix.</w:t>
      </w:r>
    </w:p>
    <w:p w14:paraId="5342C5BB">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Evidence: results/openrouter.json, case T10.</w:t>
      </w:r>
    </w:p>
    <w:p w14:paraId="1F5EEC56">
      <w:pPr>
        <w:pageBreakBefore w:val="0"/>
        <w:spacing w:after="0" w:line="360" w:lineRule="auto"/>
        <w:jc w:val="both"/>
        <w:rPr>
          <w:rFonts w:hint="default" w:ascii="Times New Roman Regular" w:hAnsi="Times New Roman Regular" w:cs="Times New Roman Regular"/>
          <w:b w:val="0"/>
          <w:color w:val="000000"/>
          <w:sz w:val="24"/>
          <w:szCs w:val="24"/>
        </w:rPr>
      </w:pPr>
      <w:r>
        <w:rPr>
          <w:rFonts w:hint="default" w:ascii="Times New Roman Regular" w:hAnsi="Times New Roman Regular" w:cs="Times New Roman Regular"/>
          <w:b w:val="0"/>
          <w:color w:val="000000"/>
          <w:sz w:val="24"/>
          <w:szCs w:val="24"/>
        </w:rPr>
        <w:t>Date note: the historical evaluation fixed its reference date at 2026-09-21, so “tomorrow” was parsed as 2026-09-22.</w:t>
      </w:r>
    </w:p>
    <w:p w14:paraId="30B6028C">
      <w:pPr>
        <w:pStyle w:val="3"/>
        <w:bidi w:val="0"/>
        <w:rPr>
          <w:rFonts w:hint="default" w:ascii="Times New Roman Bold" w:hAnsi="Times New Roman Bold" w:cs="Times New Roman Bold"/>
          <w:b/>
          <w:bCs w:val="0"/>
          <w:sz w:val="32"/>
          <w:szCs w:val="32"/>
        </w:rPr>
      </w:pPr>
      <w:r>
        <w:rPr>
          <w:rFonts w:hint="default" w:ascii="Times New Roman Bold" w:hAnsi="Times New Roman Bold" w:cs="Times New Roman Bold"/>
          <w:b/>
          <w:bCs w:val="0"/>
          <w:sz w:val="32"/>
          <w:szCs w:val="32"/>
        </w:rPr>
        <w:t>Negative examples in offline informal-language handling</w:t>
      </w:r>
    </w:p>
    <w:p w14:paraId="455F5CDF">
      <w:pPr>
        <w:pStyle w:val="4"/>
        <w:pageBreakBefore w:val="0"/>
        <w:spacing w:after="180"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color w:val="000000"/>
          <w:sz w:val="28"/>
          <w:szCs w:val="28"/>
        </w:rPr>
        <w:t>Negative example three English abbreviation was not recognized</w:t>
      </w:r>
    </w:p>
    <w:p w14:paraId="77607D54">
      <w:pPr>
        <w:bidi w:val="0"/>
        <w:spacing w:after="0" w:line="36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User input (English translation): need leave tmr, family thing</w:t>
      </w:r>
    </w:p>
    <w:p w14:paraId="2635F9A2">
      <w:pPr>
        <w:bidi w:val="0"/>
        <w:spacing w:after="0" w:line="36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Observed output translation: This request is outside the supported scope or involves a sensitive matter. Please contact HR through the formal channel.</w:t>
      </w:r>
    </w:p>
    <w:p w14:paraId="584EFD69">
      <w:pPr>
        <w:bidi w:val="0"/>
        <w:spacing w:after="0" w:line="36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Observed status: intent escalate; mode offline; no ticket created.</w:t>
      </w:r>
    </w:p>
    <w:p w14:paraId="3A0B6682">
      <w:pPr>
        <w:bidi w:val="0"/>
        <w:spacing w:after="0" w:line="36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Explanation: The test labels this expression as a personal-leave draft request, but the offline gate did not recognize terms such as leave and tmr. It escalated without creating an incomplete draft. This case did not call a model, so it does not show that the live model also failed.</w:t>
      </w:r>
    </w:p>
    <w:p w14:paraId="65EDB037">
      <w:pPr>
        <w:bidi w:val="0"/>
        <w:spacing w:after="0" w:line="36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Suggested improvement: Add informal-language and abbreviation handling. For an uncertain leave type, ask a clarification question and collect missing fields. The personal-leave interpretation is a developer-authored label, not the only possible interpretation.</w:t>
      </w:r>
    </w:p>
    <w:p w14:paraId="0D3129CD">
      <w:pPr>
        <w:bidi w:val="0"/>
        <w:spacing w:line="36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Evidence: results/informal_offline.json, case I01.</w:t>
      </w:r>
    </w:p>
    <w:p w14:paraId="4B55CDE2">
      <w:pPr>
        <w:pStyle w:val="4"/>
        <w:pageBreakBefore w:val="0"/>
        <w:spacing w:after="180"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color w:val="000000"/>
          <w:sz w:val="28"/>
          <w:szCs w:val="28"/>
        </w:rPr>
        <w:t>Negative example four Informal attendance wording did not match the correction process</w:t>
      </w:r>
    </w:p>
    <w:p w14:paraId="7350B59A">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User input (English translation): I forgot to scan my badge yesterday. How can I correct the record?</w:t>
      </w:r>
    </w:p>
    <w:p w14:paraId="1A498EB5">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Observed output translation: This request is outside the supported scope or involves a sensitive matter. Please contact HR through the formal channel.</w:t>
      </w:r>
    </w:p>
    <w:p w14:paraId="71217887">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Observed status: intent escalate; mode offline; no ticket created.</w:t>
      </w:r>
    </w:p>
    <w:p w14:paraId="1A688753">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Explanation: The user described an attendance problem using “badge scan” and “repair the record”. The expected behavior was to explain the correction process, but the offline gate did not cover these expressions and did not retrieve the expected policy section.</w:t>
      </w:r>
    </w:p>
    <w:p w14:paraId="66933F56">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Suggested improvement: Add attendance synonyms and validate them with a new pre-labelled test set. The answer should be grounded in HR-AT-01/correction, including the three-working-day deadline and the required work record.</w:t>
      </w:r>
    </w:p>
    <w:p w14:paraId="16C818EC">
      <w:pPr>
        <w:pageBreakBefore w:val="0"/>
        <w:spacing w:after="14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Evidence: results/informal_offline.json, case I04.</w:t>
      </w:r>
    </w:p>
    <w:p w14:paraId="7FA2224A">
      <w:pPr>
        <w:pStyle w:val="4"/>
        <w:pageBreakBefore w:val="0"/>
        <w:spacing w:after="180" w:line="360" w:lineRule="auto"/>
        <w:jc w:val="both"/>
        <w:rPr>
          <w:rFonts w:hint="default" w:ascii="Times New Roman Bold" w:hAnsi="Times New Roman Bold" w:cs="Times New Roman Bold"/>
          <w:b/>
          <w:bCs/>
          <w:sz w:val="28"/>
          <w:szCs w:val="28"/>
        </w:rPr>
      </w:pPr>
      <w:r>
        <w:rPr>
          <w:rFonts w:hint="default" w:ascii="Times New Roman Bold" w:hAnsi="Times New Roman Bold" w:cs="Times New Roman Bold"/>
          <w:b/>
          <w:bCs/>
          <w:color w:val="000000"/>
          <w:sz w:val="28"/>
          <w:szCs w:val="28"/>
        </w:rPr>
        <w:t>How to interpret these results</w:t>
      </w:r>
    </w:p>
    <w:p w14:paraId="6DAFE21F">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sz w:val="24"/>
          <w:szCs w:val="28"/>
        </w:rPr>
        <w:t>Ticket structural pass rate is 8/8 for valid JSON, five fields and correct request type. First-turn complete tickets are 5/8. Policy answer quality is 22/25 in an AI-assisted retrospective review. A manual student spot check passes 8/10 answers (80%); it is not independent HR review. Automated engineering checks are 30/30. The informal offline diagnostic is 7/12. These measures assess different capabilities and must not be combined into one accuracy rate.</w:t>
      </w:r>
    </w:p>
    <w:p w14:paraId="2377E5EB">
      <w:pPr>
        <w:pageBreakBefore w:val="0"/>
        <w:spacing w:after="140" w:line="360" w:lineRule="auto"/>
        <w:jc w:val="both"/>
        <w:rPr>
          <w:rFonts w:hint="default" w:ascii="Times New Roman Regular" w:hAnsi="Times New Roman Regular" w:cs="Times New Roman Regular"/>
          <w:b w:val="0"/>
          <w:color w:val="000000"/>
          <w:sz w:val="24"/>
          <w:szCs w:val="28"/>
        </w:rPr>
      </w:pPr>
      <w:r>
        <w:rPr>
          <w:rFonts w:hint="default" w:ascii="Times New Roman Regular" w:hAnsi="Times New Roman Regular" w:cs="Times New Roman Regular"/>
          <w:b w:val="0"/>
          <w:color w:val="000000"/>
          <w:sz w:val="24"/>
          <w:szCs w:val="28"/>
        </w:rPr>
        <w:t>Preserving null values avoids inventing information but does not complete a ticket. A correct retrieval or citation identifier also does not guarantee that the answer’s policy conclusion is correct. The negative examples are observed limitations; suggested improvements are not presented as implemented features.</w:t>
      </w:r>
    </w:p>
    <w:p w14:paraId="62235076">
      <w:pPr>
        <w:pStyle w:val="3"/>
        <w:bidi w:val="0"/>
        <w:rPr>
          <w:rFonts w:hint="default" w:ascii="Times New Roman Bold" w:hAnsi="Times New Roman Bold" w:cs="Times New Roman Bold"/>
          <w:b/>
          <w:bCs w:val="0"/>
        </w:rPr>
      </w:pPr>
      <w:r>
        <w:rPr>
          <w:rFonts w:hint="default" w:ascii="Times New Roman Bold" w:hAnsi="Times New Roman Bold" w:cs="Times New Roman Bold"/>
          <w:b/>
          <w:bCs w:val="0"/>
        </w:rPr>
        <w:t>Test set labels</w:t>
      </w:r>
    </w:p>
    <w:p w14:paraId="54C7B7C1">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b w:val="0"/>
          <w:color w:val="000000"/>
          <w:sz w:val="24"/>
          <w:szCs w:val="28"/>
        </w:rPr>
        <w:t>The three test sets contain 54 cases. Every case has intent, gold_section and complete labels. Labels describe expected behavior; observed system behavior is recorded in the results folder. Expected labels must not be changed simply because the current program produces an incorrect response.</w:t>
      </w:r>
    </w:p>
    <w:p w14:paraId="27992B58">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b w:val="0"/>
          <w:color w:val="000000"/>
          <w:sz w:val="24"/>
          <w:szCs w:val="28"/>
        </w:rPr>
        <w:t>intent: expected intent. consult is a policy question, draft requests a draft, clarify requires clarification, and escalate is outside the supported scope or requires human handling.</w:t>
      </w:r>
    </w:p>
    <w:p w14:paraId="2D65DBE2">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b w:val="0"/>
          <w:color w:val="000000"/>
          <w:sz w:val="24"/>
          <w:szCs w:val="28"/>
        </w:rPr>
        <w:t>gold_section: expected policy section, for example HR-HB-01/annual. Cases with no applicable policy section may use null.</w:t>
      </w:r>
    </w:p>
    <w:p w14:paraId="3EAEC8FC">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b w:val="0"/>
          <w:color w:val="000000"/>
          <w:sz w:val="24"/>
          <w:szCs w:val="28"/>
        </w:rPr>
        <w:t>complete: whether the case is expected to produce a complete five-field ticket. False does not mean a non-draft case failed; it means a complete ticket was not required.</w:t>
      </w:r>
    </w:p>
    <w:p w14:paraId="0086865A">
      <w:pPr>
        <w:pageBreakBefore w:val="0"/>
        <w:spacing w:after="0" w:line="360" w:lineRule="auto"/>
        <w:jc w:val="both"/>
        <w:rPr>
          <w:rFonts w:hint="default" w:ascii="Times New Roman Regular" w:hAnsi="Times New Roman Regular" w:cs="Times New Roman Regular"/>
          <w:sz w:val="24"/>
          <w:szCs w:val="28"/>
        </w:rPr>
      </w:pPr>
      <w:r>
        <w:rPr>
          <w:rFonts w:hint="default" w:ascii="Times New Roman Regular" w:hAnsi="Times New Roman Regular" w:cs="Times New Roman Regular"/>
          <w:b w:val="0"/>
          <w:color w:val="000000"/>
          <w:sz w:val="24"/>
          <w:szCs w:val="28"/>
        </w:rPr>
        <w:t>request_type: expected request type, present for some draft cases. expected_ticket: five-field expected values, where missing fields may be null.</w:t>
      </w:r>
    </w:p>
    <w:p w14:paraId="467EB5AD">
      <w:pPr>
        <w:pStyle w:val="3"/>
        <w:bidi w:val="0"/>
        <w:rPr>
          <w:rFonts w:hint="default" w:ascii="Times New Roman Bold" w:hAnsi="Times New Roman Bold" w:cs="Times New Roman Bold"/>
          <w:b/>
          <w:bCs w:val="0"/>
          <w:sz w:val="32"/>
          <w:szCs w:val="32"/>
        </w:rPr>
      </w:pPr>
      <w:r>
        <w:rPr>
          <w:rFonts w:hint="default" w:ascii="Times New Roman Bold" w:hAnsi="Times New Roman Bold" w:cs="Times New Roman Bold"/>
          <w:b/>
          <w:bCs w:val="0"/>
          <w:sz w:val="32"/>
          <w:szCs w:val="32"/>
        </w:rPr>
        <w:t>Label coverage</w:t>
      </w:r>
    </w:p>
    <w:p w14:paraId="1A8AAB47">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Main set, tests/cases.json: 30 cases: 17 consultation, 8 draft, 2 clarification and 3 escalation cases. All eight draft cases have a request type and five-field expected ticket.</w:t>
      </w:r>
    </w:p>
    <w:p w14:paraId="16231C96">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Challenge set, tests/challenge.json: 12 cases: 9 consultation, 2 draft and 1 escalation case. It has the basic labels but no per-field expected tickets, so it does not support claims of exact field-match testing.</w:t>
      </w:r>
    </w:p>
    <w:p w14:paraId="12BBC82A">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Informal set, tests/informal_cases.json: 12 cases: 8 consultation, 3 draft and 1 clarification case. The three draft cases have request-type labels; one has a five-field expected ticket.</w:t>
      </w:r>
    </w:p>
    <w:p w14:paraId="052706E6">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Policy-content criteria are in tests/policy_answer_rubric.json and provide expected conclusions for 25 cases. The criteria were added after historical outputs had been observed; they are retrospective rather than pre-registered before the original model run.</w:t>
      </w:r>
    </w:p>
    <w:p w14:paraId="0B0F49C5">
      <w:pPr>
        <w:pageBreakBefore w:val="0"/>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val="0"/>
          <w:color w:val="000000"/>
          <w:sz w:val="24"/>
          <w:szCs w:val="24"/>
        </w:rPr>
        <w:t>Positive and negative labels in this appendix describe the observed result, not whether the input itself is good or bad. Case type and system correctness are separate dimensions; a correct escalation can be a positive outcome.</w:t>
      </w:r>
    </w:p>
    <w:sectPr>
      <w:footerReference r:id="rId5" w:type="default"/>
      <w:pgSz w:w="12240" w:h="15840"/>
      <w:pgMar w:top="1008" w:right="1152" w:bottom="936"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Heiti SC">
    <w:panose1 w:val="00000000000000000000"/>
    <w:charset w:val="86"/>
    <w:family w:val="auto"/>
    <w:pitch w:val="default"/>
    <w:sig w:usb0="8000002F" w:usb1="0800004A" w:usb2="00000000" w:usb3="00000000" w:csb0="203E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Times New Roman Bold">
    <w:panose1 w:val="02020603050405020304"/>
    <w:charset w:val="00"/>
    <w:family w:val="auto"/>
    <w:pitch w:val="default"/>
    <w:sig w:usb0="E0002AEF" w:usb1="C0007841" w:usb2="00000009" w:usb3="00000000" w:csb0="400001FF" w:csb1="FFFF0000"/>
  </w:font>
  <w:font w:name="Times New Roman Regular">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C8FA9">
    <w:pPr>
      <w:pStyle w:val="24"/>
      <w:jc w:val="right"/>
    </w:pPr>
    <w:r>
      <w:rPr>
        <w:sz w:val="16"/>
      </w:rPr>
      <w:t xml:space="preserve">PE6201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7FF845A"/>
    <w:rsid w:val="6FA51B41"/>
    <w:rsid w:val="75DDBE40"/>
    <w:rsid w:val="76FF6DC8"/>
    <w:rsid w:val="7B775647"/>
    <w:rsid w:val="7FDDDE28"/>
    <w:rsid w:val="ABBF1DAE"/>
    <w:rsid w:val="BFFCA598"/>
    <w:rsid w:val="CFFE195F"/>
    <w:rsid w:val="E7EEF66E"/>
    <w:rsid w:val="EF8F444B"/>
    <w:rsid w:val="EFFFDB98"/>
    <w:rsid w:val="F3ED4A28"/>
    <w:rsid w:val="F737C328"/>
    <w:rsid w:val="F755184F"/>
    <w:rsid w:val="F98F7AEE"/>
    <w:rsid w:val="FEF9562E"/>
    <w:rsid w:val="FEFB4CF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40" w:line="269" w:lineRule="auto"/>
    </w:pPr>
    <w:rPr>
      <w:rFonts w:ascii="Calibri" w:hAnsi="Calibri" w:eastAsia="Heiti SC" w:cstheme="minorBidi"/>
      <w:color w:val="000000"/>
      <w:sz w:val="21"/>
      <w:szCs w:val="22"/>
      <w:lang w:val="en-US" w:eastAsia="en-US" w:bidi="ar-SA"/>
    </w:rPr>
  </w:style>
  <w:style w:type="paragraph" w:styleId="3">
    <w:name w:val="heading 1"/>
    <w:basedOn w:val="1"/>
    <w:next w:val="1"/>
    <w:link w:val="138"/>
    <w:qFormat/>
    <w:uiPriority w:val="9"/>
    <w:pPr>
      <w:keepNext/>
      <w:keepLines/>
      <w:spacing w:before="480" w:after="14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39"/>
    <w:unhideWhenUsed/>
    <w:qFormat/>
    <w:uiPriority w:val="9"/>
    <w:pPr>
      <w:keepNext/>
      <w:keepLines/>
      <w:spacing w:before="200" w:after="140"/>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spacing w:after="140"/>
    </w:pPr>
    <w:rPr>
      <w:rFonts w:asciiTheme="majorHAnsi" w:hAnsiTheme="majorHAnsi" w:eastAsiaTheme="majorEastAsia" w:cstheme="majorBidi"/>
      <w:i/>
      <w:iCs/>
      <w:color w:val="000000"/>
      <w:spacing w:val="15"/>
      <w:sz w:val="22"/>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140" w:line="240" w:lineRule="auto"/>
      <w:contextualSpacing/>
    </w:pPr>
    <w:rPr>
      <w:rFonts w:asciiTheme="majorHAnsi" w:hAnsiTheme="majorHAnsi" w:eastAsiaTheme="majorEastAsia" w:cstheme="majorBidi"/>
      <w:color w:val="000000"/>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47</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2013-12-24T21:45:00Z</dcterms:created>
  <dc:creator>python-docx</dc:creator>
  <dc:description>generated by python-docx</dc:description>
  <cp:lastModifiedBy>苏黎世的雨樱花</cp:lastModifiedBy>
  <dcterms:modified xsi:type="dcterms:W3CDTF">2026-10-01T00:22:51Z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5CA44070AB38D71ECCD3BC6A8A7536ED_42</vt:lpwstr>
  </property>
</Properties>
</file>