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HR Ask Policy Assistant</w:t>
      </w:r>
    </w:p>
    <w:p>
      <w:pPr>
        <w:jc w:val="center"/>
      </w:pPr>
      <w:r>
        <w:rPr>
          <w:i/>
          <w:sz w:val="20"/>
        </w:rPr>
        <w:t>End of Course Project | Kang Xingyao | Section C | 2 October 2026</w:t>
      </w:r>
    </w:p>
    <w:p>
      <w:pPr>
        <w:pStyle w:val="Heading1"/>
      </w:pPr>
      <w:r>
        <w:t>1 Problem and intended outcome</w:t>
      </w:r>
    </w:p>
    <w:p>
      <w:r>
        <w:t>HR-Ask is an educational prototype for a manufacturing team leader who needs policy guidance outside HR office hours. It answers questions about fictional leave, attendance and social-insurance policies and prepares a five-field request draft for later human review. The intended journey is to find a relevant rule and prepare a usable draft within three minutes. HR staff benefit when recurring questions are answered consistently and incomplete requests are identified before manual handling.</w:t>
      </w:r>
    </w:p>
    <w:p>
      <w:r>
        <w:t>The system deliberately does not submit requests, approve leave, calculate statutory entitlements, access employee records or decide sensitive disputes. The original proposal used planning assumptions of 8–10 HR hours per week for recurring enquiries and 8–10 minutes for manual forms. These are not observations from a real employer, so neither time saving nor user benefit is claimed as measured.</w:t>
      </w:r>
    </w:p>
    <w:p>
      <w:pPr>
        <w:pStyle w:val="Heading1"/>
      </w:pPr>
      <w:r>
        <w:t>2 Product design and architecture</w:t>
      </w:r>
    </w:p>
    <w:p>
      <w:r>
        <w:t>The product accepts an employee question, retrieves evidence from five versioned Markdown policy files, and classifies the request as consultation, draft, clarification or escalation. Consultation returns evidence without a ticket. An explicit draft request is parsed into employee_id, request_type, requested_date, reason and contact_channel. Validation keeps missing values null and reports the fields still required. Sensitive, unsupported or low-evidence requests are escalated to HR.</w:t>
      </w:r>
    </w:p>
    <w:p>
      <w:r>
        <w:t>The local baseline uses Chinese bigrams, English tokens, aliases, TF-IDF and cosine similarity to retrieve up to three policy sections. In optional OpenRouter mode, openai/gpt-4o-mini receives the retrieved evidence and returns answer text, citation IDs and an intent. Python retains control of field extraction and validation. The model has no tool that can execute personnel actions. This build-and-buy split keeps policy handling inspectable while renting language generation rather than training a model for five fictional documents.</w:t>
      </w:r>
    </w:p>
    <w:p>
      <w:pPr/>
      <w:r>
        <w:t>Course integration is explicit. Class 1 frames a bounded HR-service problem and user journey. Class 2 informs the retrieval, generation and evaluation workflow. Class 3 informs prompt repair, structured output and measured comparisons. Class 5 separates observed model inference cost from human fallback and quarterly rule-maintenance assumptions. Class 6 informs the escalation boundary, fictional data, human review and production-risk discussion. This coverage connects each design choice to a course concept while avoiding a claim that the prototype is ready for operational deployment.</w:t>
      </w:r>
    </w:p>
    <w:p>
      <w:pPr>
        <w:jc w:val="center"/>
      </w:pPr>
      <w:r>
        <w:drawing>
          <wp:inline xmlns:a="http://schemas.openxmlformats.org/drawingml/2006/main" xmlns:pic="http://schemas.openxmlformats.org/drawingml/2006/picture">
            <wp:extent cx="5303520" cy="2887472"/>
            <wp:docPr id="1" name="Picture 1"/>
            <wp:cNvGraphicFramePr>
              <a:graphicFrameLocks noChangeAspect="1"/>
            </wp:cNvGraphicFramePr>
            <a:graphic>
              <a:graphicData uri="http://schemas.openxmlformats.org/drawingml/2006/picture">
                <pic:pic>
                  <pic:nvPicPr>
                    <pic:cNvPr id="0" name="HR_Ask_BPMN.png"/>
                    <pic:cNvPicPr/>
                  </pic:nvPicPr>
                  <pic:blipFill>
                    <a:blip r:embed="rId9"/>
                    <a:stretch>
                      <a:fillRect/>
                    </a:stretch>
                  </pic:blipFill>
                  <pic:spPr>
                    <a:xfrm>
                      <a:off x="0" y="0"/>
                      <a:ext cx="5303520" cy="2887472"/>
                    </a:xfrm>
                    <a:prstGeom prst="rect"/>
                  </pic:spPr>
                </pic:pic>
              </a:graphicData>
            </a:graphic>
          </wp:inline>
        </w:drawing>
      </w:r>
    </w:p>
    <w:p>
      <w:pPr>
        <w:jc w:val="center"/>
      </w:pPr>
      <w:r>
        <w:rPr>
          <w:i/>
          <w:sz w:val="17"/>
        </w:rPr>
        <w:t>Figure 1. Evidence retrieval, safe routing and unsubmitted ticket drafting.</w:t>
      </w:r>
    </w:p>
    <w:p>
      <w:pPr>
        <w:pStyle w:val="Heading1"/>
      </w:pPr>
      <w:r>
        <w:t>3 Evaluation design</w:t>
      </w:r>
    </w:p>
    <w:p>
      <w:r>
        <w:t>The main development set contains 30 labelled synthetic cases across leave, attendance, social insurance and workflow boundaries. A 12-case challenge set adds ambiguity, negation, invalid dates and unfamiliar wording. Both sets were created during development and are not independent holdouts. Results preserve source, policy and dataset hashes in the saved files. Automated checks verify routing, retrieval IDs, citation IDs, field formats and safety; they do not establish that every answer is policy-correct.</w:t>
      </w:r>
    </w:p>
    <w:p>
      <w:r>
        <w:t>Answer quality is therefore scored separately. A retrospective AI-assisted review assessed 25 eligible saved policy answers, while a documented student manual spot check assessed a stratified random sample of 10. The manual review is evidence of a student check, not independent HR validation. The saved live run used the revised prompt draft-intent-v2; five workflow cases were handled locally and 25 used the model without recorded API errors.</w:t>
      </w:r>
    </w:p>
    <w:p>
      <w:pPr>
        <w:pStyle w:val="Heading1"/>
      </w:pPr>
      <w:r>
        <w:t>4 Results and critique</w:t>
      </w:r>
    </w:p>
    <w:tbl>
      <w:tblPr>
        <w:tblStyle w:val="TableGrid"/>
        <w:tblW w:type="auto" w:w="0"/>
        <w:jc w:val="center"/>
        <w:tblLook w:firstColumn="1" w:firstRow="1" w:lastColumn="0" w:lastRow="0" w:noHBand="0" w:noVBand="1" w:val="04A0"/>
      </w:tblPr>
      <w:tblGrid>
        <w:gridCol w:w="3312"/>
        <w:gridCol w:w="3312"/>
        <w:gridCol w:w="3312"/>
      </w:tblGrid>
      <w:tr>
        <w:tc>
          <w:tcPr>
            <w:tcW w:type="dxa" w:w="2232"/>
            <w:vAlign w:val="center"/>
            <w:tcBorders>
              <w:top w:val="single" w:sz="4" w:color="808080"/>
              <w:left w:val="single" w:sz="4" w:color="808080"/>
              <w:bottom w:val="single" w:sz="4" w:color="808080"/>
              <w:right w:val="single" w:sz="4" w:color="808080"/>
              <w:insideH w:val="single" w:sz="4" w:color="808080"/>
              <w:insideV w:val="single" w:sz="4" w:color="808080"/>
            </w:tcBorders>
          </w:tcPr>
          <w:p>
            <w:r>
              <w:rPr>
                <w:b/>
                <w:sz w:val="18"/>
              </w:rPr>
              <w:t>Measure</w:t>
            </w:r>
          </w:p>
        </w:tc>
        <w:tc>
          <w:tcPr>
            <w:tcW w:type="dxa" w:w="1800"/>
            <w:vAlign w:val="center"/>
            <w:tcBorders>
              <w:top w:val="single" w:sz="4" w:color="808080"/>
              <w:left w:val="single" w:sz="4" w:color="808080"/>
              <w:bottom w:val="single" w:sz="4" w:color="808080"/>
              <w:right w:val="single" w:sz="4" w:color="808080"/>
              <w:insideH w:val="single" w:sz="4" w:color="808080"/>
              <w:insideV w:val="single" w:sz="4" w:color="808080"/>
            </w:tcBorders>
          </w:tcPr>
          <w:p>
            <w:r>
              <w:rPr>
                <w:b/>
                <w:sz w:val="18"/>
              </w:rPr>
              <w:t>Result</w:t>
            </w:r>
          </w:p>
        </w:tc>
        <w:tc>
          <w:tcPr>
            <w:tcW w:type="dxa" w:w="5328"/>
            <w:vAlign w:val="center"/>
            <w:tcBorders>
              <w:top w:val="single" w:sz="4" w:color="808080"/>
              <w:left w:val="single" w:sz="4" w:color="808080"/>
              <w:bottom w:val="single" w:sz="4" w:color="808080"/>
              <w:right w:val="single" w:sz="4" w:color="808080"/>
              <w:insideH w:val="single" w:sz="4" w:color="808080"/>
              <w:insideV w:val="single" w:sz="4" w:color="808080"/>
            </w:tcBorders>
          </w:tcPr>
          <w:p>
            <w:r>
              <w:rPr>
                <w:b/>
                <w:sz w:val="18"/>
              </w:rPr>
              <w:t>Interpretation</w:t>
            </w:r>
          </w:p>
        </w:tc>
      </w:tr>
      <w:tr>
        <w:tc>
          <w:tcPr>
            <w:tcW w:type="dxa" w:w="2232"/>
            <w:vAlign w:val="center"/>
            <w:tcBorders>
              <w:top w:val="single" w:sz="4" w:color="808080"/>
              <w:left w:val="single" w:sz="4" w:color="808080"/>
              <w:bottom w:val="single" w:sz="4" w:color="808080"/>
              <w:right w:val="single" w:sz="4" w:color="808080"/>
              <w:insideH w:val="single" w:sz="4" w:color="808080"/>
              <w:insideV w:val="single" w:sz="4" w:color="808080"/>
            </w:tcBorders>
          </w:tcPr>
          <w:p>
            <w:r>
              <w:rPr>
                <w:sz w:val="17"/>
              </w:rPr>
              <w:t>Ticket structural pass rate</w:t>
            </w:r>
          </w:p>
        </w:tc>
        <w:tc>
          <w:tcPr>
            <w:tcW w:type="dxa" w:w="1800"/>
            <w:vAlign w:val="center"/>
            <w:tcBorders>
              <w:top w:val="single" w:sz="4" w:color="808080"/>
              <w:left w:val="single" w:sz="4" w:color="808080"/>
              <w:bottom w:val="single" w:sz="4" w:color="808080"/>
              <w:right w:val="single" w:sz="4" w:color="808080"/>
              <w:insideH w:val="single" w:sz="4" w:color="808080"/>
              <w:insideV w:val="single" w:sz="4" w:color="808080"/>
            </w:tcBorders>
          </w:tcPr>
          <w:p>
            <w:r>
              <w:rPr>
                <w:sz w:val="17"/>
              </w:rPr>
              <w:t>8/8 (100%)</w:t>
            </w:r>
          </w:p>
        </w:tc>
        <w:tc>
          <w:tcPr>
            <w:tcW w:type="dxa" w:w="5328"/>
            <w:vAlign w:val="center"/>
            <w:tcBorders>
              <w:top w:val="single" w:sz="4" w:color="808080"/>
              <w:left w:val="single" w:sz="4" w:color="808080"/>
              <w:bottom w:val="single" w:sz="4" w:color="808080"/>
              <w:right w:val="single" w:sz="4" w:color="808080"/>
              <w:insideH w:val="single" w:sz="4" w:color="808080"/>
              <w:insideV w:val="single" w:sz="4" w:color="808080"/>
            </w:tcBorders>
          </w:tcPr>
          <w:p>
            <w:r>
              <w:rPr>
                <w:sz w:val="17"/>
              </w:rPr>
              <w:t>Valid JSON, five fields and correct request type.</w:t>
            </w:r>
          </w:p>
        </w:tc>
      </w:tr>
      <w:tr>
        <w:tc>
          <w:tcPr>
            <w:tcW w:type="dxa" w:w="2232"/>
            <w:vAlign w:val="center"/>
            <w:tcBorders>
              <w:top w:val="single" w:sz="4" w:color="808080"/>
              <w:left w:val="single" w:sz="4" w:color="808080"/>
              <w:bottom w:val="single" w:sz="4" w:color="808080"/>
              <w:right w:val="single" w:sz="4" w:color="808080"/>
              <w:insideH w:val="single" w:sz="4" w:color="808080"/>
              <w:insideV w:val="single" w:sz="4" w:color="808080"/>
            </w:tcBorders>
          </w:tcPr>
          <w:p>
            <w:r>
              <w:rPr>
                <w:sz w:val="17"/>
              </w:rPr>
              <w:t>First-turn complete drafts</w:t>
            </w:r>
          </w:p>
        </w:tc>
        <w:tc>
          <w:tcPr>
            <w:tcW w:type="dxa" w:w="1800"/>
            <w:vAlign w:val="center"/>
            <w:tcBorders>
              <w:top w:val="single" w:sz="4" w:color="808080"/>
              <w:left w:val="single" w:sz="4" w:color="808080"/>
              <w:bottom w:val="single" w:sz="4" w:color="808080"/>
              <w:right w:val="single" w:sz="4" w:color="808080"/>
              <w:insideH w:val="single" w:sz="4" w:color="808080"/>
              <w:insideV w:val="single" w:sz="4" w:color="808080"/>
            </w:tcBorders>
          </w:tcPr>
          <w:p>
            <w:r>
              <w:rPr>
                <w:sz w:val="17"/>
              </w:rPr>
              <w:t>5/8 (62.5%)</w:t>
            </w:r>
          </w:p>
        </w:tc>
        <w:tc>
          <w:tcPr>
            <w:tcW w:type="dxa" w:w="5328"/>
            <w:vAlign w:val="center"/>
            <w:tcBorders>
              <w:top w:val="single" w:sz="4" w:color="808080"/>
              <w:left w:val="single" w:sz="4" w:color="808080"/>
              <w:bottom w:val="single" w:sz="4" w:color="808080"/>
              <w:right w:val="single" w:sz="4" w:color="808080"/>
              <w:insideH w:val="single" w:sz="4" w:color="808080"/>
              <w:insideV w:val="single" w:sz="4" w:color="808080"/>
            </w:tcBorders>
          </w:tcPr>
          <w:p>
            <w:r>
              <w:rPr>
                <w:sz w:val="17"/>
              </w:rPr>
              <w:t>Below the proposal target of more than 85%.</w:t>
            </w:r>
          </w:p>
        </w:tc>
      </w:tr>
      <w:tr>
        <w:tc>
          <w:tcPr>
            <w:tcW w:type="dxa" w:w="2232"/>
            <w:vAlign w:val="center"/>
            <w:tcBorders>
              <w:top w:val="single" w:sz="4" w:color="808080"/>
              <w:left w:val="single" w:sz="4" w:color="808080"/>
              <w:bottom w:val="single" w:sz="4" w:color="808080"/>
              <w:right w:val="single" w:sz="4" w:color="808080"/>
              <w:insideH w:val="single" w:sz="4" w:color="808080"/>
              <w:insideV w:val="single" w:sz="4" w:color="808080"/>
            </w:tcBorders>
          </w:tcPr>
          <w:p>
            <w:r>
              <w:rPr>
                <w:sz w:val="17"/>
              </w:rPr>
              <w:t>AI-assisted answer review</w:t>
            </w:r>
          </w:p>
        </w:tc>
        <w:tc>
          <w:tcPr>
            <w:tcW w:type="dxa" w:w="1800"/>
            <w:vAlign w:val="center"/>
            <w:tcBorders>
              <w:top w:val="single" w:sz="4" w:color="808080"/>
              <w:left w:val="single" w:sz="4" w:color="808080"/>
              <w:bottom w:val="single" w:sz="4" w:color="808080"/>
              <w:right w:val="single" w:sz="4" w:color="808080"/>
              <w:insideH w:val="single" w:sz="4" w:color="808080"/>
              <w:insideV w:val="single" w:sz="4" w:color="808080"/>
            </w:tcBorders>
          </w:tcPr>
          <w:p>
            <w:r>
              <w:rPr>
                <w:sz w:val="17"/>
              </w:rPr>
              <w:t>22/25 (88%)</w:t>
            </w:r>
          </w:p>
        </w:tc>
        <w:tc>
          <w:tcPr>
            <w:tcW w:type="dxa" w:w="5328"/>
            <w:vAlign w:val="center"/>
            <w:tcBorders>
              <w:top w:val="single" w:sz="4" w:color="808080"/>
              <w:left w:val="single" w:sz="4" w:color="808080"/>
              <w:bottom w:val="single" w:sz="4" w:color="808080"/>
              <w:right w:val="single" w:sz="4" w:color="808080"/>
              <w:insideH w:val="single" w:sz="4" w:color="808080"/>
              <w:insideV w:val="single" w:sz="4" w:color="808080"/>
            </w:tcBorders>
          </w:tcPr>
          <w:p>
            <w:r>
              <w:rPr>
                <w:sz w:val="17"/>
              </w:rPr>
              <w:t>Retrospective review of saved model answers.</w:t>
            </w:r>
          </w:p>
        </w:tc>
      </w:tr>
      <w:tr>
        <w:tc>
          <w:tcPr>
            <w:tcW w:type="dxa" w:w="2232"/>
            <w:vAlign w:val="center"/>
            <w:tcBorders>
              <w:top w:val="single" w:sz="4" w:color="808080"/>
              <w:left w:val="single" w:sz="4" w:color="808080"/>
              <w:bottom w:val="single" w:sz="4" w:color="808080"/>
              <w:right w:val="single" w:sz="4" w:color="808080"/>
              <w:insideH w:val="single" w:sz="4" w:color="808080"/>
              <w:insideV w:val="single" w:sz="4" w:color="808080"/>
            </w:tcBorders>
          </w:tcPr>
          <w:p>
            <w:r>
              <w:rPr>
                <w:sz w:val="17"/>
              </w:rPr>
              <w:t>Manual student spot check</w:t>
            </w:r>
          </w:p>
        </w:tc>
        <w:tc>
          <w:tcPr>
            <w:tcW w:type="dxa" w:w="1800"/>
            <w:vAlign w:val="center"/>
            <w:tcBorders>
              <w:top w:val="single" w:sz="4" w:color="808080"/>
              <w:left w:val="single" w:sz="4" w:color="808080"/>
              <w:bottom w:val="single" w:sz="4" w:color="808080"/>
              <w:right w:val="single" w:sz="4" w:color="808080"/>
              <w:insideH w:val="single" w:sz="4" w:color="808080"/>
              <w:insideV w:val="single" w:sz="4" w:color="808080"/>
            </w:tcBorders>
          </w:tcPr>
          <w:p>
            <w:r>
              <w:rPr>
                <w:sz w:val="17"/>
              </w:rPr>
              <w:t>8/10 (80%)</w:t>
            </w:r>
          </w:p>
        </w:tc>
        <w:tc>
          <w:tcPr>
            <w:tcW w:type="dxa" w:w="5328"/>
            <w:vAlign w:val="center"/>
            <w:tcBorders>
              <w:top w:val="single" w:sz="4" w:color="808080"/>
              <w:left w:val="single" w:sz="4" w:color="808080"/>
              <w:bottom w:val="single" w:sz="4" w:color="808080"/>
              <w:right w:val="single" w:sz="4" w:color="808080"/>
              <w:insideH w:val="single" w:sz="4" w:color="808080"/>
              <w:insideV w:val="single" w:sz="4" w:color="808080"/>
            </w:tcBorders>
          </w:tcPr>
          <w:p>
            <w:r>
              <w:rPr>
                <w:sz w:val="17"/>
              </w:rPr>
              <w:t>Separate quality signal; not independent HR review.</w:t>
            </w:r>
          </w:p>
        </w:tc>
      </w:tr>
      <w:tr>
        <w:tc>
          <w:tcPr>
            <w:tcW w:type="dxa" w:w="2232"/>
            <w:vAlign w:val="center"/>
            <w:tcBorders>
              <w:top w:val="single" w:sz="4" w:color="808080"/>
              <w:left w:val="single" w:sz="4" w:color="808080"/>
              <w:bottom w:val="single" w:sz="4" w:color="808080"/>
              <w:right w:val="single" w:sz="4" w:color="808080"/>
              <w:insideH w:val="single" w:sz="4" w:color="808080"/>
              <w:insideV w:val="single" w:sz="4" w:color="808080"/>
            </w:tcBorders>
          </w:tcPr>
          <w:p>
            <w:r>
              <w:rPr>
                <w:sz w:val="17"/>
              </w:rPr>
              <w:t>Engineering checks</w:t>
            </w:r>
          </w:p>
        </w:tc>
        <w:tc>
          <w:tcPr>
            <w:tcW w:type="dxa" w:w="1800"/>
            <w:vAlign w:val="center"/>
            <w:tcBorders>
              <w:top w:val="single" w:sz="4" w:color="808080"/>
              <w:left w:val="single" w:sz="4" w:color="808080"/>
              <w:bottom w:val="single" w:sz="4" w:color="808080"/>
              <w:right w:val="single" w:sz="4" w:color="808080"/>
              <w:insideH w:val="single" w:sz="4" w:color="808080"/>
              <w:insideV w:val="single" w:sz="4" w:color="808080"/>
            </w:tcBorders>
          </w:tcPr>
          <w:p>
            <w:r>
              <w:rPr>
                <w:sz w:val="17"/>
              </w:rPr>
              <w:t>30/30</w:t>
            </w:r>
          </w:p>
        </w:tc>
        <w:tc>
          <w:tcPr>
            <w:tcW w:type="dxa" w:w="5328"/>
            <w:vAlign w:val="center"/>
            <w:tcBorders>
              <w:top w:val="single" w:sz="4" w:color="808080"/>
              <w:left w:val="single" w:sz="4" w:color="808080"/>
              <w:bottom w:val="single" w:sz="4" w:color="808080"/>
              <w:right w:val="single" w:sz="4" w:color="808080"/>
              <w:insideH w:val="single" w:sz="4" w:color="808080"/>
              <w:insideV w:val="single" w:sz="4" w:color="808080"/>
            </w:tcBorders>
          </w:tcPr>
          <w:p>
            <w:r>
              <w:rPr>
                <w:sz w:val="17"/>
              </w:rPr>
              <w:t>Program behaviour, not policy correctness.</w:t>
            </w:r>
          </w:p>
        </w:tc>
      </w:tr>
      <w:tr>
        <w:tc>
          <w:tcPr>
            <w:tcW w:type="dxa" w:w="2232"/>
            <w:vAlign w:val="center"/>
            <w:tcBorders>
              <w:top w:val="single" w:sz="4" w:color="808080"/>
              <w:left w:val="single" w:sz="4" w:color="808080"/>
              <w:bottom w:val="single" w:sz="4" w:color="808080"/>
              <w:right w:val="single" w:sz="4" w:color="808080"/>
              <w:insideH w:val="single" w:sz="4" w:color="808080"/>
              <w:insideV w:val="single" w:sz="4" w:color="808080"/>
            </w:tcBorders>
          </w:tcPr>
          <w:p>
            <w:r>
              <w:rPr>
                <w:sz w:val="17"/>
              </w:rPr>
              <w:t>Informal offline diagnostic</w:t>
            </w:r>
          </w:p>
        </w:tc>
        <w:tc>
          <w:tcPr>
            <w:tcW w:type="dxa" w:w="1800"/>
            <w:vAlign w:val="center"/>
            <w:tcBorders>
              <w:top w:val="single" w:sz="4" w:color="808080"/>
              <w:left w:val="single" w:sz="4" w:color="808080"/>
              <w:bottom w:val="single" w:sz="4" w:color="808080"/>
              <w:right w:val="single" w:sz="4" w:color="808080"/>
              <w:insideH w:val="single" w:sz="4" w:color="808080"/>
              <w:insideV w:val="single" w:sz="4" w:color="808080"/>
            </w:tcBorders>
          </w:tcPr>
          <w:p>
            <w:r>
              <w:rPr>
                <w:sz w:val="17"/>
              </w:rPr>
              <w:t>7/12</w:t>
            </w:r>
          </w:p>
        </w:tc>
        <w:tc>
          <w:tcPr>
            <w:tcW w:type="dxa" w:w="5328"/>
            <w:vAlign w:val="center"/>
            <w:tcBorders>
              <w:top w:val="single" w:sz="4" w:color="808080"/>
              <w:left w:val="single" w:sz="4" w:color="808080"/>
              <w:bottom w:val="single" w:sz="4" w:color="808080"/>
              <w:right w:val="single" w:sz="4" w:color="808080"/>
              <w:insideH w:val="single" w:sz="4" w:color="808080"/>
              <w:insideV w:val="single" w:sz="4" w:color="808080"/>
            </w:tcBorders>
          </w:tcPr>
          <w:p>
            <w:r>
              <w:rPr>
                <w:sz w:val="17"/>
              </w:rPr>
              <w:t>Weak handling of abbreviations and informal wording.</w:t>
            </w:r>
          </w:p>
        </w:tc>
      </w:tr>
    </w:tbl>
    <w:p>
      <w:pPr>
        <w:spacing w:after="20"/>
      </w:pPr>
    </w:p>
    <w:p>
      <w:r>
        <w:t>The strongest result is structural reliability after prompt repair. Before repair, the model interpreted drafting as execution and produced no valid drafts; after the prompt explicitly allowed an unsubmitted draft, all eight ticket-intent outputs had the required schema and type. This improvement is a before-and-after observation on one development run, not a repeated controlled experiment. Structured output and Python validation make the 8/8 result narrower than an overall success claim.</w:t>
      </w:r>
    </w:p>
    <w:p>
      <w:r>
        <w:t>The main weakness is first-turn completion: only five of eight draft cases were complete. The three incomplete drafts safely preserved unknown fields and asked for details, but a safe incomplete draft is not a completed ticket. Answer quality also requires separate scrutiny. One observed output requested a name although all five fields were already present; another said that leave tomorrow was impossible while omitting the policy emergency route through a supervisor. The informal offline cases also missed expressions such as “tmr” and attendance wording outside the keyword gate. Correct section IDs or valid JSON do not guarantee a correct conclusion.</w:t>
      </w:r>
    </w:p>
    <w:p>
      <w:pPr>
        <w:pStyle w:val="Heading1"/>
      </w:pPr>
      <w:r>
        <w:t>5 Cost and operational trade offs</w:t>
      </w:r>
    </w:p>
    <w:p>
      <w:r>
        <w:t>The saved 25 openai/gpt-4o-mini responses averaged 666.32 input tokens, 73.68 output tokens and USD 0.000144156 provider-reported variable inference cost per query. At 400 comparable queries, inference is about USD 0.0577 per month. This is model cost per query, not total cost per successfully resolved HR case.</w:t>
      </w:r>
    </w:p>
    <w:p>
      <w:r>
        <w:t>The service model separately includes human fallback and recurring rule maintenance. Following instructor feedback, it assumes 15–20 regex rules rewritten each quarter; the midpoint of 17.5 rules, 20 minutes per rule and USD 25 per hour gives USD 48.61 monthly maintenance. A hypothetical unsuccessful enquiry needs five HR minutes, or USD 2.0833. At useful-resolution rates of 20%, 50% and 80%, illustrative cost per useful resolution is USD 8.94, USD 2.33 and USD 0.67. Only the 80% scenario produces a positive estimated monthly value. These are transparent assumptions, not observed business results.</w:t>
      </w:r>
    </w:p>
    <w:p>
      <w:pPr>
        <w:pStyle w:val="Heading1"/>
      </w:pPr>
      <w:r>
        <w:t>6 Responsible use and next steps</w:t>
      </w:r>
    </w:p>
    <w:p>
      <w:r>
        <w:t>The prototype is loopback-only and uses fictional data. It has no authentication, multi-turn memory, production connector, security penetration test, independent policy review or real-user study. API questions and excerpts may be sent to the selected provider, so a production system would require access controls, retention rules, redaction, monitoring and explicit confirmation before any submission action. HR retains policy interpretation and employment decisions.</w:t>
      </w:r>
    </w:p>
    <w:p>
      <w:r>
        <w:t>Before a pilot, the next priorities are to align answer wording with the validated draft status, collect missing fields through a guided multi-turn flow, broaden informal-language coverage, and obtain HR review of a locked policy snapshot and independent test set. These steps address the gap between successful engineering checks and trustworthy HR service outcomes.</w:t>
      </w:r>
    </w:p>
    <w:p>
      <w:pPr>
        <w:pStyle w:val="Heading1"/>
      </w:pPr>
      <w:r>
        <w:t>7 Reproduction and deliverables</w:t>
      </w:r>
    </w:p>
    <w:p>
      <w:r>
        <w:t>Run python3 server.py and open http://127.0.0.1:8765 for the local demonstration. Run python3 -m unittest discover -s tests -v for regression tests, evaluate.py for offline cases, compare.py for the retrieval baseline, and scripts/summarize_evidence.py for outcome and cost aggregation. OpenRouter mode is optional and requires a locally entered API key that must never be committed. The repository contains the policy files, labelled datasets, review protocol, frozen results, code, README, BPMN diagram and final English demo video.</w:t>
      </w:r>
    </w:p>
    <w:p>
      <w:r>
        <w:t>The final delivery comprises this report, the GitHub repository, the recorded demonstration and the required self-appraisal cover document. AI assistance supported implementation, synthetic data, analysis and report/video materials. The final video uses the student’s recorded English narration with actual application screenshots and synchronized English subtitles; the student remains responsible for understanding and submitting the work.</w:t>
      </w:r>
    </w:p>
    <w:sectPr w:rsidR="00FC693F" w:rsidRPr="0006063C" w:rsidSect="00034616">
      <w:footerReference w:type="default" r:id="rId10"/>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05050"/>
        <w:sz w:val="16"/>
      </w:rPr>
      <w:t>HR-Ask | PE6201 End-of-Course Project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eastAsia="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w:hAnsi="Aptos" w:eastAsia="Aptos"/>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w:hAnsi="Aptos" w:eastAsia="Aptos"/>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before="0"/>
      <w:contextualSpacing/>
    </w:pPr>
    <w:rPr>
      <w:rFonts w:asciiTheme="majorHAnsi" w:eastAsiaTheme="majorEastAsia" w:hAnsiTheme="majorHAnsi" w:cstheme="majorBidi" w:ascii="Aptos Display" w:hAnsi="Aptos Display" w:eastAsia="Aptos Display"/>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