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DE9B4">
      <w:pPr>
        <w:pStyle w:val="31"/>
        <w:spacing w:line="360" w:lineRule="auto"/>
        <w:jc w:val="center"/>
        <w:rPr>
          <w:rFonts w:hint="default" w:ascii="Times New Roman Regular" w:hAnsi="Times New Roman Regular" w:cs="Times New Roman Regular"/>
          <w:sz w:val="32"/>
          <w:szCs w:val="32"/>
        </w:rPr>
      </w:pPr>
      <w:r>
        <w:rPr>
          <w:rFonts w:hint="default" w:ascii="Times New Roman Regular" w:hAnsi="Times New Roman Regular" w:cs="Times New Roman Regular"/>
          <w:sz w:val="32"/>
          <w:szCs w:val="32"/>
        </w:rPr>
        <w:t>HR Ask Policy Assistant</w:t>
      </w:r>
    </w:p>
    <w:p w14:paraId="1F1EF2CD">
      <w:pPr>
        <w:spacing w:line="360" w:lineRule="auto"/>
        <w:jc w:val="center"/>
        <w:rPr>
          <w:rFonts w:hint="default" w:ascii="Times New Roman Italic" w:hAnsi="Times New Roman Italic" w:cs="Times New Roman Italic"/>
          <w:b w:val="0"/>
          <w:bCs w:val="0"/>
          <w:i/>
          <w:iCs w:val="0"/>
          <w:sz w:val="24"/>
          <w:szCs w:val="24"/>
        </w:rPr>
      </w:pPr>
      <w:r>
        <w:rPr>
          <w:rFonts w:hint="default" w:ascii="Times New Roman Italic" w:hAnsi="Times New Roman Italic" w:cs="Times New Roman Italic"/>
          <w:b w:val="0"/>
          <w:bCs w:val="0"/>
          <w:i/>
          <w:iCs w:val="0"/>
          <w:sz w:val="24"/>
          <w:szCs w:val="24"/>
        </w:rPr>
        <w:t>End of Course Project | Kang Xingyao | Section C | 2 October 2026</w:t>
      </w:r>
    </w:p>
    <w:p w14:paraId="76CF879C">
      <w:pPr>
        <w:pStyle w:val="3"/>
        <w:spacing w:line="360" w:lineRule="auto"/>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1 Problem and intended outcome</w:t>
      </w:r>
    </w:p>
    <w:p w14:paraId="0F0DBF9F">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HR-Ask is an educational prototype for a manufacturing team leader who needs policy guidance outside HR office hours. It answers questions about fictional leave, attendance and social-insurance policies and prepares a five-field request draft for later human review. The intended journey is to find a relevant rule and prepare a usable draft within three minutes. HR staff benefit when recurring questions are answered consistently and incomplete requests are identified before manual handling.</w:t>
      </w:r>
    </w:p>
    <w:p w14:paraId="0118908E">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system deliberately does not submit requests, approve leave, calculate statutory entitlements, access employee records or decide sensitive disputes. The original proposal used planning assumptions of 8–10 HR hours per week for recurring enquiries and 8–10 minutes for manual forms. These are not observations from a real employer, so neither time saving nor user benefit is claimed as measured.</w:t>
      </w:r>
    </w:p>
    <w:p w14:paraId="0EB214CD">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2 Product design and architecture</w:t>
      </w:r>
    </w:p>
    <w:p w14:paraId="742A7E56">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product accepts an employee question, retrieves evidence from five versioned Markdown policy files, and classifies the request as consultation, draft, clarification or escalation. Consultation returns evidence without a ticket. An explicit draft request is parsed into employee_id, request_type, requested_date, reason and contact_channel. Validation keeps missing values null and reports the fields still required. Sensitive, unsupported or low-evidence requests are escalated to HR.</w:t>
      </w:r>
    </w:p>
    <w:p w14:paraId="46FE7EA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local baseline uses Chinese bigrams, English tokens, aliases, TF-IDF and cosine similarity to retrieve up to three policy sections. In optional OpenRouter mode, openai/gpt-4o-mini receives the retrieved evidence and returns answer text, citation IDs and an intent. Python retains control of field extraction and validation. The model has no tool that can execute personnel actions. This build-and-buy split keeps policy handling inspectable while renting language generation rather than training a model for five fictional documents.</w:t>
      </w:r>
    </w:p>
    <w:p w14:paraId="7E0EB31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Course integration is explicit. Class 1 frames a bounded HR-service problem and user journey. Class 2 informs the retrieval, generation and evaluation workflow. Class 3 informs prompt repair, structured output and measured comparisons. Class 5 separates observed model inference cost from human fallback and quarterly rule-maintenance assumptions. Class 6 informs the escalation boundary, fictional data, human review and production-risk discussion. This coverage connects each design choice to a course concept while avoiding a claim that the prototype is ready for operational deployment.</w:t>
      </w:r>
    </w:p>
    <w:p w14:paraId="402AF9A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drawing>
          <wp:anchor distT="0" distB="0" distL="114300" distR="114300" simplePos="0" relativeHeight="251659264" behindDoc="0" locked="0" layoutInCell="1" allowOverlap="1">
            <wp:simplePos x="0" y="0"/>
            <wp:positionH relativeFrom="column">
              <wp:posOffset>-363220</wp:posOffset>
            </wp:positionH>
            <wp:positionV relativeFrom="paragraph">
              <wp:posOffset>342900</wp:posOffset>
            </wp:positionV>
            <wp:extent cx="7089140" cy="3954145"/>
            <wp:effectExtent l="0" t="0" r="22860" b="825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7089140" cy="3954145"/>
                    </a:xfrm>
                    <a:prstGeom prst="rect">
                      <a:avLst/>
                    </a:prstGeom>
                  </pic:spPr>
                </pic:pic>
              </a:graphicData>
            </a:graphic>
          </wp:anchor>
        </w:drawing>
      </w:r>
    </w:p>
    <w:p w14:paraId="7F69A1FB">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i/>
          <w:sz w:val="24"/>
          <w:szCs w:val="24"/>
        </w:rPr>
        <w:t>Figure 1. Evidence retrieval, safe routing and unsubmitted ticket drafting.</w:t>
      </w:r>
    </w:p>
    <w:p w14:paraId="00CA8F2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3 Evaluation design</w:t>
      </w:r>
    </w:p>
    <w:p w14:paraId="10BA586A">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development set contains 30 labelled synthetic cases across leave, attendance, social insurance and workflow boundaries. A 12-case challenge set adds ambiguity, negation, invalid dates and unfamiliar wording. Both sets were created during development and are not independent holdouts. Results preserve source, policy and dataset hashes in the saved files. Automated checks verify routing, retrieval IDs, citation IDs, field formats and safety; they do not establish that every answer is policy-correct.</w:t>
      </w:r>
    </w:p>
    <w:p w14:paraId="6A4963D1">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Answer quality is therefore scored separately. A retrospective AI-assisted review assessed 25 eligible saved policy answers, while a documented student manual spot check assessed a stratified random sample of 10. The manual review is evidence of a student check, not independent HR validation. The saved live run used the revised prompt draft-intent-v2; five workflow cases were handled locally and 25 used the model without recorded API errors.</w:t>
      </w:r>
    </w:p>
    <w:p w14:paraId="56F0A7A0">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4 Results and critique</w:t>
      </w:r>
    </w:p>
    <w:tbl>
      <w:tblPr>
        <w:tblStyle w:val="33"/>
        <w:tblW w:w="101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0"/>
        <w:gridCol w:w="1082"/>
        <w:gridCol w:w="6158"/>
      </w:tblGrid>
      <w:tr w14:paraId="7C1315C8">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54D7BC2">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Measure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056FE0B">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Result</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FB28085">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Interpretation</w:t>
            </w:r>
          </w:p>
        </w:tc>
      </w:tr>
      <w:tr w14:paraId="287D5F64">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C69C0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Ticket structural pass rate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B8B92F">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8/8 (100%)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3D6BE33">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Valid JSON, five fields and correct request type.</w:t>
            </w:r>
          </w:p>
        </w:tc>
      </w:tr>
      <w:tr w14:paraId="7F795B90">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902DF5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First-turn complete drafts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59BAF22">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5/8 (62.5%)</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C54A0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Below the proposal target of more than 85%.</w:t>
            </w:r>
          </w:p>
        </w:tc>
      </w:tr>
      <w:tr w14:paraId="57646E46">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7069CC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AI-assisted answer review</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67759A">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22/25 (88%)</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2750B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Retrospective review of saved model answers.</w:t>
            </w:r>
          </w:p>
        </w:tc>
      </w:tr>
      <w:tr w14:paraId="63C9491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02FEC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Manual student spot check</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2764E8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8/10 (80%)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C9C3AB">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Separate quality signal; not independent HR review.</w:t>
            </w:r>
          </w:p>
        </w:tc>
      </w:tr>
      <w:tr w14:paraId="204CC32F">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4BEAF3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Engineering checks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6CF17B9">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30/30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0C10E5E">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Program behaviour, not policy correctness.</w:t>
            </w:r>
          </w:p>
        </w:tc>
      </w:tr>
      <w:tr w14:paraId="7F759DC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ED57B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Informal offline diagnostic</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3C633D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7/12</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81340C0">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Weak handling of abbreviations and informal wording.</w:t>
            </w:r>
          </w:p>
        </w:tc>
      </w:tr>
    </w:tbl>
    <w:p w14:paraId="6B458B5C">
      <w:pPr>
        <w:spacing w:after="20" w:line="360" w:lineRule="auto"/>
        <w:jc w:val="both"/>
        <w:rPr>
          <w:rFonts w:hint="default" w:ascii="Times New Roman Regular" w:hAnsi="Times New Roman Regular" w:cs="Times New Roman Regular"/>
          <w:sz w:val="24"/>
          <w:szCs w:val="24"/>
        </w:rPr>
      </w:pPr>
    </w:p>
    <w:p w14:paraId="19A5B50E">
      <w:pPr>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strongest result is structural reliability after prompt repair. Before repair, the model interpreted drafting as execution and produced no valid drafts; after the prompt explicitly allowed an unsubmitted draft, all eight ticket-intent outputs had the required schema and type. This improvement is a before-and-after observation on one development run, not a repeated controlled experiment. Structured output and Python validation make the 8/8 result narrower than an overall success claim.</w:t>
      </w:r>
    </w:p>
    <w:p w14:paraId="429B66AB">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weakness is first-turn completion: only five of eight draft cases were complete. The three incomplete drafts safely preserved unknown fields and asked for details, but a safe incomplete draft is not a completed ticket. Answer quality also req</w:t>
      </w:r>
      <w:bookmarkStart w:id="0" w:name="_GoBack"/>
      <w:bookmarkEnd w:id="0"/>
      <w:r>
        <w:rPr>
          <w:rFonts w:hint="default" w:ascii="Times New Roman Regular" w:hAnsi="Times New Roman Regular" w:cs="Times New Roman Regular"/>
          <w:sz w:val="24"/>
          <w:szCs w:val="24"/>
        </w:rPr>
        <w:t>uires separate scrutiny. One observed output requested a name although all five fields were already present; another said that leave tomorrow was impossible while omitting the policy emergency route through a supervisor. The informal offline cases also missed expressions such as “tmr” and attendance wording outside the keyword gate. Correct section IDs or valid JSON do not guarantee a correct conclusion.</w:t>
      </w:r>
    </w:p>
    <w:p w14:paraId="16AC6092">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5 Cost and operational trade offs</w:t>
      </w:r>
    </w:p>
    <w:p w14:paraId="01AF80F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saved 25 openai/gpt-4o-mini responses averaged 666.32 input tokens, 73.68 output tokens and USD 0.000144156 provider-reported variable inference cost per query. At 400 comparable queries, inference is about USD 0.0577 per month. This is model cost per query, not total cost per successfully resolved HR case.</w:t>
      </w:r>
    </w:p>
    <w:p w14:paraId="179D817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service model separately includes human fallback and recurring rule maintenance. Following instructor feedback, it assumes 15–20 regex rules rewritten each quarter; the midpoint of 17.5 rules, 20 minutes per rule and USD 25 per hour gives USD 48.61 monthly maintenance. A hypothetical unsuccessful enquiry needs five HR minutes, or USD 2.0833. At useful-resolution rates of 20%, 50% and 80%, illustrative cost per useful resolution is USD 8.94, USD 2.33 and USD 0.67. Only the 80% scenario produces a positive estimated monthly value. These are transparent assumptions, not observed business results.</w:t>
      </w:r>
    </w:p>
    <w:p w14:paraId="382A327A">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6 Responsible use and next steps</w:t>
      </w:r>
    </w:p>
    <w:p w14:paraId="4690EFC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prototype is loopback-only and uses fictional data. It has no authentication, multi-turn memory, production connector, security penetration test, independent policy review or real-user study. API questions and excerpts may be sent to the selected provider, so a production system would require access controls, retention rules, redaction, monitoring and explicit confirmation before any submission action. HR retains policy interpretation and employment decisions.</w:t>
      </w:r>
    </w:p>
    <w:p w14:paraId="68F564E6">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Before a pilot, the next priorities are to align answer wording with the validated draft status, collect missing fields through a guided multi-turn flow, broaden informal-language coverage, and obtain HR review of a locked policy snapshot and independent test set. These steps address the gap between successful engineering checks and trustworthy HR service outcomes.</w:t>
      </w:r>
    </w:p>
    <w:p w14:paraId="3C05AAD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7 Reproduction and deliverables</w:t>
      </w:r>
    </w:p>
    <w:p w14:paraId="2A055A1F">
      <w:pPr>
        <w:spacing w:after="0" w:line="360" w:lineRule="auto"/>
        <w:ind w:firstLine="240" w:firstLineChars="100"/>
        <w:jc w:val="both"/>
        <w:rPr>
          <w:rFonts w:hint="default" w:ascii="Times New Roman Regular" w:hAnsi="Times New Roman Regular" w:cs="Times New Roman Regular"/>
          <w:sz w:val="24"/>
          <w:szCs w:val="24"/>
        </w:rPr>
      </w:pPr>
      <w:r>
        <w:t>The GitHub repository provides the policy corpus, labelled test cases, frozen evidence files, source code, BPMN workflow and English demo video. Its README explains the project structure, the intended user, inputs, outputs, safety boundary and local setup. These materials make the reported metrics traceable: a reviewer can inspect the inputs, outputs, test labels, review protocol and known limitations.</w:t>
        <w:br/>
        <w:br/>
        <w:t>For local reproduction, run python3 server.py and open http://127.0.0.1:8765. Run python3 -m unittest discover -s tests -v for regression checks; evaluate.py, compare.py and scripts/summarize_evidence.py reproduce the offline, retrieval-baseline and cost summaries. Optional OpenRouter mode uses a locally supplied API key; no key is stored in the repository. The saved result files preserve the evidence used for the reported outcomes, rather than presenting unsupported claims about production performance.</w:t>
      </w:r>
    </w:p>
    <w:p>
      <w:pPr>
        <w:spacing w:after="0" w:line="360" w:lineRule="auto"/>
        <w:ind w:firstLine="240" w:firstLineChars="100"/>
        <w:jc w:val="both"/>
        <w:rPr>
          <w:rFonts w:hint="default" w:ascii="Times New Roman Regular" w:hAnsi="Times New Roman Regular" w:cs="Times New Roman Regular"/>
          <w:sz w:val="24"/>
          <w:szCs w:val="24"/>
        </w:rPr>
      </w:pPr>
      <w:r>
        <w:t>Final delivery includes this report, the GitHub repository, the recorded demonstration and the required self-appraisal cover document. AI assistance supported code, synthetic teaching data, testing, analysis and materials; the student reviewed the code, evidence and claims and remains responsible for them.</w:t>
      </w:r>
    </w:p>
    <w:sectPr>
      <w:footerReference r:id="rId5" w:type="default"/>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Times New Roman Regular">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Times New Roman Bold Italic">
    <w:panose1 w:val="02020603050405020304"/>
    <w:charset w:val="00"/>
    <w:family w:val="auto"/>
    <w:pitch w:val="default"/>
    <w:sig w:usb0="E0002AEF" w:usb1="C0007841" w:usb2="00000009" w:usb3="00000000" w:csb0="400001FF" w:csb1="FFFF0000"/>
  </w:font>
  <w:font w:name="Times New Roman Italic">
    <w:panose1 w:val="02020603050405020304"/>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85D84">
    <w:pPr>
      <w:pStyle w:val="24"/>
      <w:jc w:val="center"/>
    </w:pPr>
    <w:r>
      <w:rPr>
        <w:color w:val="505050"/>
        <w:sz w:val="16"/>
      </w:rPr>
      <w:t>HR-Ask | PE6201 End-of-Course Project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FE6ACB0"/>
    <w:rsid w:val="9E77486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Aptos" w:hAnsi="Aptos" w:eastAsia="Aptos" w:cstheme="minorBidi"/>
      <w:sz w:val="21"/>
      <w:szCs w:val="22"/>
      <w:lang w:val="en-US" w:eastAsia="en-US" w:bidi="ar-SA"/>
    </w:rPr>
  </w:style>
  <w:style w:type="paragraph" w:styleId="3">
    <w:name w:val="heading 1"/>
    <w:basedOn w:val="1"/>
    <w:next w:val="1"/>
    <w:link w:val="138"/>
    <w:qFormat/>
    <w:uiPriority w:val="9"/>
    <w:pPr>
      <w:keepNext/>
      <w:keepLines/>
      <w:spacing w:before="200" w:after="100"/>
      <w:outlineLvl w:val="0"/>
    </w:pPr>
    <w:rPr>
      <w:rFonts w:asciiTheme="majorHAnsi" w:hAnsiTheme="majorHAnsi" w:eastAsiaTheme="majorEastAsia" w:cstheme="majorBidi"/>
      <w:b/>
      <w:bCs/>
      <w:color w:val="000000"/>
      <w:sz w:val="26"/>
      <w:szCs w:val="28"/>
    </w:rPr>
  </w:style>
  <w:style w:type="paragraph" w:styleId="4">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000000"/>
      <w:sz w:val="22"/>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before="0" w:after="100" w:line="24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5</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2013-12-24T14:15:00Z</dcterms:created>
  <dc:creator>python-docx</dc:creator>
  <dc:description>generated by python-docx</dc:description>
  <cp:lastModifiedBy>苏黎世的雨樱花</cp:lastModifiedBy>
  <dcterms:modified xsi:type="dcterms:W3CDTF">2026-10-02T01:55:49Z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6A4E37D2C6B6B6F3A24BBE6A5436F23C_42</vt:lpwstr>
  </property>
</Properties>
</file>