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E4DE9B4">
      <w:pPr>
        <w:pStyle w:val="31"/>
        <w:spacing w:line="360" w:lineRule="auto"/>
        <w:jc w:val="center"/>
        <w:rPr>
          <w:rFonts w:hint="default" w:ascii="Times New Roman Regular" w:hAnsi="Times New Roman Regular" w:cs="Times New Roman Regular"/>
          <w:sz w:val="32"/>
          <w:szCs w:val="32"/>
        </w:rPr>
      </w:pPr>
      <w:r>
        <w:rPr>
          <w:rFonts w:hint="default" w:ascii="Times New Roman Regular" w:hAnsi="Times New Roman Regular" w:cs="Times New Roman Regular"/>
          <w:sz w:val="32"/>
          <w:szCs w:val="32"/>
        </w:rPr>
        <w:t>HR Ask Policy Assistant</w:t>
      </w:r>
    </w:p>
    <w:p w14:paraId="1F1EF2CD">
      <w:pPr>
        <w:spacing w:line="360" w:lineRule="auto"/>
        <w:jc w:val="center"/>
        <w:rPr>
          <w:rFonts w:hint="default" w:ascii="Times New Roman Italic" w:hAnsi="Times New Roman Italic" w:cs="Times New Roman Italic"/>
          <w:b w:val="0"/>
          <w:bCs w:val="0"/>
          <w:i/>
          <w:iCs w:val="0"/>
          <w:sz w:val="24"/>
          <w:szCs w:val="24"/>
        </w:rPr>
      </w:pPr>
      <w:r>
        <w:rPr>
          <w:rFonts w:hint="default" w:ascii="Times New Roman Italic" w:hAnsi="Times New Roman Italic" w:cs="Times New Roman Italic"/>
          <w:b w:val="0"/>
          <w:bCs w:val="0"/>
          <w:i/>
          <w:iCs w:val="0"/>
          <w:sz w:val="24"/>
          <w:szCs w:val="24"/>
        </w:rPr>
        <w:t xml:space="preserve">End of Course Project | Kang Xingyao | </w:t>
      </w:r>
      <w:r>
        <w:rPr>
          <w:rFonts w:hint="default" w:ascii="Times New Roman Italic" w:hAnsi="Times New Roman Italic" w:cs="Times New Roman Italic"/>
          <w:b w:val="0"/>
          <w:bCs w:val="0"/>
          <w:i/>
          <w:iCs w:val="0"/>
          <w:sz w:val="24"/>
          <w:szCs w:val="24"/>
          <w:lang w:val="en-US"/>
        </w:rPr>
        <w:t xml:space="preserve">G2604349F </w:t>
      </w:r>
      <w:r>
        <w:rPr>
          <w:rFonts w:hint="default" w:ascii="Times New Roman Italic" w:hAnsi="Times New Roman Italic" w:cs="Times New Roman Italic"/>
          <w:b w:val="0"/>
          <w:bCs w:val="0"/>
          <w:i/>
          <w:iCs w:val="0"/>
          <w:sz w:val="24"/>
          <w:szCs w:val="24"/>
        </w:rPr>
        <w:t>|</w:t>
      </w:r>
      <w:r>
        <w:rPr>
          <w:rFonts w:hint="default" w:ascii="Times New Roman Italic" w:hAnsi="Times New Roman Italic" w:cs="Times New Roman Italic"/>
          <w:b w:val="0"/>
          <w:bCs w:val="0"/>
          <w:i/>
          <w:iCs w:val="0"/>
          <w:sz w:val="24"/>
          <w:szCs w:val="24"/>
          <w:lang w:val="en-US"/>
        </w:rPr>
        <w:t xml:space="preserve"> </w:t>
      </w:r>
      <w:r>
        <w:rPr>
          <w:rFonts w:hint="default" w:ascii="Times New Roman Italic" w:hAnsi="Times New Roman Italic" w:cs="Times New Roman Italic"/>
          <w:b w:val="0"/>
          <w:bCs w:val="0"/>
          <w:i/>
          <w:iCs w:val="0"/>
          <w:sz w:val="24"/>
          <w:szCs w:val="24"/>
        </w:rPr>
        <w:t>Section C | 2 October 2026</w:t>
      </w:r>
    </w:p>
    <w:p w14:paraId="76CF879C">
      <w:pPr>
        <w:pStyle w:val="3"/>
        <w:spacing w:line="360" w:lineRule="auto"/>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1 Problem and intended outcome</w:t>
      </w:r>
    </w:p>
    <w:p w14:paraId="0F0DBF9F">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HR-Ask is an educational prototype for a manufacturing team leader who needs policy guidance outside HR office hours. It answers questions about fictional leave, attendance and social-insurance policies and prepares a five-field request draft for later human review. The intended journey is to find a relevant rule and prepare a usable draft within three minutes. HR staff benefit when recurring questions are answered consistently and incomplete requests are identified before manual handling.</w:t>
      </w:r>
    </w:p>
    <w:p w14:paraId="0118908E">
      <w:pPr>
        <w:spacing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system deliberately does not submit requests, approve leave, calculate statutory entitlements, access employee records or decide sensitive disputes. The original proposal used planning assumptions of 8–10 HR hours per week for recurring enquiries and 8–10 minutes for manual forms. These are not observations from a real employer, so neither time saving nor user benefit is claimed as measured.</w:t>
      </w:r>
    </w:p>
    <w:p w14:paraId="0EB214CD">
      <w:pPr>
        <w:pStyle w:val="3"/>
        <w:spacing w:line="360" w:lineRule="auto"/>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2 Product design and architecture</w:t>
      </w:r>
    </w:p>
    <w:p w14:paraId="742A7E56">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product accepts an employee question, retrieves evidence from five versioned Markdown policy files, and classifies the request as consultation, draft, clarification or escalation. Consultation returns evidence without a ticket. An explicit draft request is parsed into employee_id, request_type, requested_date, reason and contact_channel. Validation keeps missing values null and reports the fields still required. Sensitive, unsupported or low-evidence requests are escalated to HR.</w:t>
      </w:r>
    </w:p>
    <w:p w14:paraId="46FE7EA8">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local baseline uses Chinese bigrams, English tokens, aliases, TF-IDF and cosine similarity to retrieve up to three policy sections. In optional OpenRouter mode, openai/gpt-4o-mini receives the retrieved evidence and returns answer text, citation IDs and an intent. Python retains control of field extraction and validation. The model has no tool that can execute personnel actions. This build-and-buy split keeps policy handling inspectable while renting language generation rather than training a model for five fictional documents.</w:t>
      </w:r>
    </w:p>
    <w:p w14:paraId="7E0EB31B">
      <w:pPr>
        <w:spacing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Course integration is explicit. Class 1 frames a bounded HR-service problem and user journey. Class 2 informs the retrieval, generation and evaluation workflow. Class 3 informs prompt repair, structured output and measured comparisons. Class 5 separates observed model inference cost from human fallback and quarterly rule-maintenance assumptions. Class 6 informs the escalation boundary, fictional data, human review and production-risk discussion. This coverage connects each design choice to a course concept while avoiding a claim that the prototype is ready for operational deployment.</w:t>
      </w:r>
      <w:bookmarkStart w:id="0" w:name="_GoBack"/>
      <w:bookmarkEnd w:id="0"/>
    </w:p>
    <w:p w14:paraId="402AF9A5">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drawing>
          <wp:anchor distT="0" distB="0" distL="114300" distR="114300" simplePos="0" relativeHeight="251659264" behindDoc="0" locked="0" layoutInCell="1" allowOverlap="1">
            <wp:simplePos x="0" y="0"/>
            <wp:positionH relativeFrom="column">
              <wp:posOffset>-363220</wp:posOffset>
            </wp:positionH>
            <wp:positionV relativeFrom="paragraph">
              <wp:posOffset>342900</wp:posOffset>
            </wp:positionV>
            <wp:extent cx="7089140" cy="3954145"/>
            <wp:effectExtent l="0" t="0" r="22860" b="8255"/>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7089140" cy="3954145"/>
                    </a:xfrm>
                    <a:prstGeom prst="rect">
                      <a:avLst/>
                    </a:prstGeom>
                  </pic:spPr>
                </pic:pic>
              </a:graphicData>
            </a:graphic>
          </wp:anchor>
        </w:drawing>
      </w:r>
    </w:p>
    <w:p w14:paraId="7F69A1FB">
      <w:pPr>
        <w:spacing w:line="360" w:lineRule="auto"/>
        <w:jc w:val="center"/>
        <w:rPr>
          <w:rFonts w:hint="default" w:ascii="Times New Roman Regular" w:hAnsi="Times New Roman Regular" w:cs="Times New Roman Regular"/>
          <w:sz w:val="24"/>
          <w:szCs w:val="24"/>
        </w:rPr>
      </w:pPr>
      <w:r>
        <w:rPr>
          <w:rFonts w:hint="default" w:ascii="Times New Roman Regular" w:hAnsi="Times New Roman Regular" w:cs="Times New Roman Regular"/>
          <w:i/>
          <w:sz w:val="24"/>
          <w:szCs w:val="24"/>
        </w:rPr>
        <w:t>Figure 1. Evidence retrieval, safe routing and unsubmitted ticket drafting.</w:t>
      </w:r>
    </w:p>
    <w:p w14:paraId="00CA8F23">
      <w:pPr>
        <w:pStyle w:val="3"/>
        <w:spacing w:line="360" w:lineRule="auto"/>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3 Evaluation design</w:t>
      </w:r>
    </w:p>
    <w:p w14:paraId="10BA586A">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main development set contains 30 labelled synthetic cases across leave, attendance, social insurance and workflow boundaries. A 12-case challenge set adds ambiguity, negation, invalid dates and unfamiliar wording. Both sets were created during development and are not independent holdouts. Results preserve source, policy and dataset hashes in the saved files. Automated checks verify routing, retrieval IDs, citation IDs, field formats and safety; they do not establish that every answer is policy-correct.</w:t>
      </w:r>
    </w:p>
    <w:p w14:paraId="6A4963D1">
      <w:pPr>
        <w:spacing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Answer quality is therefore scored separately. A retrospective AI-assisted review assessed 25 eligible saved policy answers, while a documented student manual spot check assessed a stratified random sample of 10. The manual review is evidence of a student check, not independent HR validation. The saved live run used the revised prompt draft-intent-v2; five workflow cases were handled locally and 25 used the model without recorded API errors.</w:t>
      </w:r>
    </w:p>
    <w:p w14:paraId="56F0A7A0">
      <w:pPr>
        <w:pStyle w:val="3"/>
        <w:spacing w:line="360" w:lineRule="auto"/>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4 Results and critique</w:t>
      </w:r>
    </w:p>
    <w:tbl>
      <w:tblPr>
        <w:tblStyle w:val="33"/>
        <w:tblW w:w="1019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50"/>
        <w:gridCol w:w="1082"/>
        <w:gridCol w:w="6158"/>
      </w:tblGrid>
      <w:tr w14:paraId="7C1315C8">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654D7BC2">
            <w:pPr>
              <w:spacing w:line="360" w:lineRule="auto"/>
              <w:jc w:val="both"/>
              <w:rPr>
                <w:rFonts w:hint="default" w:ascii="Times New Roman Bold" w:hAnsi="Times New Roman Bold" w:cs="Times New Roman Bold"/>
                <w:b/>
                <w:bCs w:val="0"/>
                <w:sz w:val="24"/>
                <w:szCs w:val="24"/>
              </w:rPr>
            </w:pPr>
            <w:r>
              <w:rPr>
                <w:rFonts w:hint="default" w:ascii="Times New Roman Bold" w:hAnsi="Times New Roman Bold" w:cs="Times New Roman Bold"/>
                <w:b/>
                <w:bCs w:val="0"/>
                <w:sz w:val="24"/>
                <w:szCs w:val="24"/>
              </w:rPr>
              <w:t>Measure</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4056FE0B">
            <w:pPr>
              <w:spacing w:line="360" w:lineRule="auto"/>
              <w:jc w:val="both"/>
              <w:rPr>
                <w:rFonts w:hint="default" w:ascii="Times New Roman Bold" w:hAnsi="Times New Roman Bold" w:cs="Times New Roman Bold"/>
                <w:b/>
                <w:bCs w:val="0"/>
                <w:sz w:val="24"/>
                <w:szCs w:val="24"/>
              </w:rPr>
            </w:pPr>
            <w:r>
              <w:rPr>
                <w:rFonts w:hint="default" w:ascii="Times New Roman Bold" w:hAnsi="Times New Roman Bold" w:cs="Times New Roman Bold"/>
                <w:b/>
                <w:bCs w:val="0"/>
                <w:sz w:val="24"/>
                <w:szCs w:val="24"/>
              </w:rPr>
              <w:t>Result</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7FB28085">
            <w:pPr>
              <w:spacing w:line="360" w:lineRule="auto"/>
              <w:jc w:val="both"/>
              <w:rPr>
                <w:rFonts w:hint="default" w:ascii="Times New Roman Bold" w:hAnsi="Times New Roman Bold" w:cs="Times New Roman Bold"/>
                <w:b/>
                <w:bCs w:val="0"/>
                <w:sz w:val="24"/>
                <w:szCs w:val="24"/>
              </w:rPr>
            </w:pPr>
            <w:r>
              <w:rPr>
                <w:rFonts w:hint="default" w:ascii="Times New Roman Bold" w:hAnsi="Times New Roman Bold" w:cs="Times New Roman Bold"/>
                <w:b/>
                <w:bCs w:val="0"/>
                <w:sz w:val="24"/>
                <w:szCs w:val="24"/>
              </w:rPr>
              <w:t>Interpretation</w:t>
            </w:r>
          </w:p>
        </w:tc>
      </w:tr>
      <w:tr w14:paraId="287D5F64">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7C69C001">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Ticket structural pass rate</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5AB8B92F">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8/8 (100%)</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73D6BE33">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Valid JSON, five fields and correct request type.</w:t>
            </w:r>
          </w:p>
        </w:tc>
      </w:tr>
      <w:tr w14:paraId="7F795B90">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7902DF51">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First-turn complete drafts</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559BAF22">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5/8 (62.5%)</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37C54A08">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Below the proposal target of more than 85%.</w:t>
            </w:r>
          </w:p>
        </w:tc>
      </w:tr>
      <w:tr w14:paraId="57646E46">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47069CC6">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AI-assisted answer review</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3367759A">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22/25 (88%)</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02750B01">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Retrospective review of saved model answers.</w:t>
            </w:r>
          </w:p>
        </w:tc>
      </w:tr>
      <w:tr w14:paraId="63C94913">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3702FEC4">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Manual student spot check</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72764E88">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8/10 (80%)</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5AC9C3AB">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Separate quality signal; not independent HR review.</w:t>
            </w:r>
          </w:p>
        </w:tc>
      </w:tr>
      <w:tr w14:paraId="204CC32F">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64BEAF36">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Engineering checks</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16CF17B9">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30/30</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00C10E5E">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Program behaviour, not policy correctness.</w:t>
            </w:r>
          </w:p>
        </w:tc>
      </w:tr>
      <w:tr w14:paraId="7F759DC3">
        <w:trPr>
          <w:jc w:val="center"/>
        </w:trPr>
        <w:tc>
          <w:tcPr>
            <w:tcW w:w="2950"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33ED57B5">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Informal offline diagnostic</w:t>
            </w:r>
          </w:p>
        </w:tc>
        <w:tc>
          <w:tcPr>
            <w:tcW w:w="1082"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13C633D4">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7/12</w:t>
            </w:r>
          </w:p>
        </w:tc>
        <w:tc>
          <w:tcPr>
            <w:tcW w:w="6158" w:type="dxa"/>
            <w:tcBorders>
              <w:top w:val="single" w:color="808080" w:sz="4" w:space="0"/>
              <w:left w:val="single" w:color="808080" w:sz="4" w:space="0"/>
              <w:bottom w:val="single" w:color="808080" w:sz="4" w:space="0"/>
              <w:right w:val="single" w:color="808080" w:sz="4" w:space="0"/>
              <w:insideH w:val="single" w:sz="4" w:space="0"/>
              <w:insideV w:val="single" w:sz="4" w:space="0"/>
            </w:tcBorders>
            <w:vAlign w:val="center"/>
          </w:tcPr>
          <w:p w14:paraId="181340C0">
            <w:pPr>
              <w:spacing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Weak handling of abbreviations and informal wording.</w:t>
            </w:r>
          </w:p>
        </w:tc>
      </w:tr>
    </w:tbl>
    <w:p w14:paraId="6B458B5C">
      <w:pPr>
        <w:spacing w:after="20" w:line="360" w:lineRule="auto"/>
        <w:jc w:val="both"/>
        <w:rPr>
          <w:rFonts w:hint="default" w:ascii="Times New Roman Regular" w:hAnsi="Times New Roman Regular" w:cs="Times New Roman Regular"/>
          <w:sz w:val="24"/>
          <w:szCs w:val="24"/>
        </w:rPr>
      </w:pPr>
    </w:p>
    <w:p w14:paraId="19A5B50E">
      <w:pPr>
        <w:spacing w:after="0" w:line="360" w:lineRule="auto"/>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strongest result is structural reliability after prompt repair. Before repair, the model interpreted drafting as execution and produced no valid drafts; after the prompt explicitly allowed an unsubmitted draft, all eight ticket-intent outputs had the required schema and type. This improvement is a before-and-after observation on one development run, not a repeated controlled experiment. Structured output and Python validation make the 8/8 result narrower than an overall success claim.</w:t>
      </w:r>
    </w:p>
    <w:p w14:paraId="429B66AB">
      <w:pPr>
        <w:spacing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main weakness is first-turn completion: only five of eight draft cases were complete. The three incomplete drafts safely preserved unknown fields and asked for details, but a safe incomplete draft is not a completed ticket. Answer quality also requires separate scrutiny. One observed output requested a name although all five fields were already present; another said that leave tomorrow was impossible while omitting the policy emergency route through a supervisor. The informal offline cases also missed expressions such as “tmr” and attendance wording outside the keyword gate. Correct section IDs or valid JSON do not guarantee a correct conclusion.</w:t>
      </w:r>
    </w:p>
    <w:p w14:paraId="16AC6092">
      <w:pPr>
        <w:pStyle w:val="3"/>
        <w:spacing w:line="360" w:lineRule="auto"/>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5 Cost and operational trade offs</w:t>
      </w:r>
    </w:p>
    <w:p w14:paraId="01AF80F8">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saved 25 openai/gpt-4o-mini responses averaged 666.32 input tokens, 73.68 output tokens and USD 0.000144156 provider-reported variable inference cost per query. At 400 comparable queries, inference is about USD 0.0577 per month. This is model cost per query, not total cost per successfully resolved HR case.</w:t>
      </w:r>
    </w:p>
    <w:p w14:paraId="179D817B">
      <w:pPr>
        <w:spacing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service model separately includes human fallback and recurring rule maintenance. Following instructor feedback, it assumes 15–20 regex rules rewritten each quarter; the midpoint of 17.5 rules, 20 minutes per rule and USD 25 per hour gives USD 48.61 monthly maintenance. A hypothetical unsuccessful enquiry needs five HR minutes, or USD 2.0833. At useful-resolution rates of 20%, 50% and 80%, illustrative cost per useful resolution is USD 8.94, USD 2.33 and USD 0.67. Only the 80% scenario produces a positive estimated monthly value. These are transparent assumptions, not observed business results.</w:t>
      </w:r>
    </w:p>
    <w:p w14:paraId="382A327A">
      <w:pPr>
        <w:pStyle w:val="3"/>
        <w:spacing w:line="360" w:lineRule="auto"/>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6 Responsible use and next steps</w:t>
      </w:r>
    </w:p>
    <w:p w14:paraId="4690EFCB">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prototype is loopback-only and uses fictional data. It has no authentication, multi-turn memory, production connector, security penetration test, independent policy review or real-user study. API questions and excerpts may be sent to the selected provider, so a production system would require access controls, retention rules, redaction, monitoring and explicit confirmation before any submission action. HR retains policy interpretation and employment decisions.</w:t>
      </w:r>
    </w:p>
    <w:p w14:paraId="68F564E6">
      <w:pPr>
        <w:spacing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Before a pilot, the next priorities are to align answer wording with the validated draft status, collect missing fields through a guided multi-turn flow, broaden informal-language coverage, and obtain HR review of a locked policy snapshot and independent test set. These steps address the gap between successful engineering checks and trustworthy HR service outcomes.</w:t>
      </w:r>
    </w:p>
    <w:p w14:paraId="3C05AAD3">
      <w:pPr>
        <w:pStyle w:val="3"/>
        <w:spacing w:line="360" w:lineRule="auto"/>
        <w:jc w:val="both"/>
        <w:rPr>
          <w:rFonts w:hint="default" w:ascii="Times New Roman Bold" w:hAnsi="Times New Roman Bold" w:cs="Times New Roman Bold"/>
          <w:b/>
          <w:bCs/>
          <w:sz w:val="32"/>
          <w:szCs w:val="32"/>
        </w:rPr>
      </w:pPr>
      <w:r>
        <w:rPr>
          <w:rFonts w:hint="default" w:ascii="Times New Roman Bold" w:hAnsi="Times New Roman Bold" w:cs="Times New Roman Bold"/>
          <w:b/>
          <w:bCs/>
          <w:sz w:val="32"/>
          <w:szCs w:val="32"/>
        </w:rPr>
        <w:t>7 Reproduction and deliverables</w:t>
      </w:r>
    </w:p>
    <w:p w14:paraId="2A055A1F">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The GitHub repository provides the policy corpus, labelled test cases, frozen evidence files, source code, BPMN workflow and English demo video. Its README explains the project structure, the intended user, inputs, outputs, safety boundary and local setup. These materials make the reported metrics traceable: a reviewer can inspect the inputs, outputs, test labels, review protocol and known limitations.</w:t>
      </w:r>
      <w:r>
        <w:rPr>
          <w:rFonts w:hint="default" w:ascii="Times New Roman Regular" w:hAnsi="Times New Roman Regular" w:cs="Times New Roman Regular"/>
          <w:sz w:val="24"/>
          <w:szCs w:val="24"/>
        </w:rPr>
        <w:br w:type="textWrapping"/>
      </w:r>
      <w:r>
        <w:rPr>
          <w:rFonts w:hint="default" w:ascii="Times New Roman Regular" w:hAnsi="Times New Roman Regular" w:cs="Times New Roman Regular"/>
          <w:sz w:val="24"/>
          <w:szCs w:val="24"/>
          <w:lang w:val="en-US"/>
        </w:rPr>
        <w:t xml:space="preserve">  </w:t>
      </w:r>
      <w:r>
        <w:rPr>
          <w:rFonts w:hint="default" w:ascii="Times New Roman Regular" w:hAnsi="Times New Roman Regular" w:cs="Times New Roman Regular"/>
          <w:sz w:val="24"/>
          <w:szCs w:val="24"/>
        </w:rPr>
        <w:t>For local reproduction, run python3 server.py and open http://127.0.0.1:8765. Run python3 -m unittest discover-s tests-v for regression checks; evaluate.py,</w:t>
      </w:r>
      <w:r>
        <w:rPr>
          <w:rFonts w:hint="default" w:ascii="Times New Roman Regular" w:hAnsi="Times New Roman Regular" w:cs="Times New Roman Regular"/>
          <w:sz w:val="24"/>
          <w:szCs w:val="24"/>
          <w:lang w:val="en-US"/>
        </w:rPr>
        <w:t xml:space="preserve"> </w:t>
      </w:r>
      <w:r>
        <w:rPr>
          <w:rFonts w:hint="default" w:ascii="Times New Roman Regular" w:hAnsi="Times New Roman Regular" w:cs="Times New Roman Regular"/>
          <w:sz w:val="24"/>
          <w:szCs w:val="24"/>
        </w:rPr>
        <w:t>compare.py</w:t>
      </w:r>
      <w:r>
        <w:rPr>
          <w:rFonts w:hint="default" w:ascii="Times New Roman Regular" w:hAnsi="Times New Roman Regular" w:cs="Times New Roman Regular"/>
          <w:sz w:val="24"/>
          <w:szCs w:val="24"/>
          <w:lang w:val="en-US"/>
        </w:rPr>
        <w:t xml:space="preserve"> </w:t>
      </w:r>
      <w:r>
        <w:rPr>
          <w:rFonts w:hint="default" w:ascii="Times New Roman Regular" w:hAnsi="Times New Roman Regular" w:cs="Times New Roman Regular"/>
          <w:sz w:val="24"/>
          <w:szCs w:val="24"/>
        </w:rPr>
        <w:t>and scripts/summarize_evidence.py reproduce the offline, retrieval-baseline and cost summaries. Optional OpenRouter mode uses a locally supplied API key; no key is stored in the repository. The saved result files preserve the evidence used for the reported outcomes, rather than presenting unsupported claims about production performance.</w:t>
      </w:r>
    </w:p>
    <w:p w14:paraId="53CD18CF">
      <w:pPr>
        <w:spacing w:after="0" w:line="360" w:lineRule="auto"/>
        <w:ind w:firstLine="240" w:firstLineChars="100"/>
        <w:jc w:val="both"/>
        <w:rPr>
          <w:rFonts w:hint="default" w:ascii="Times New Roman Regular" w:hAnsi="Times New Roman Regular" w:cs="Times New Roman Regular"/>
          <w:sz w:val="24"/>
          <w:szCs w:val="24"/>
        </w:rPr>
      </w:pPr>
      <w:r>
        <w:rPr>
          <w:rFonts w:hint="default" w:ascii="Times New Roman Regular" w:hAnsi="Times New Roman Regular" w:cs="Times New Roman Regular"/>
          <w:sz w:val="24"/>
          <w:szCs w:val="24"/>
        </w:rPr>
        <w:t>Final delivery includes this report, the GitHub repository, the recorded demonstration and the required self-appraisal cover document. AI assistance supported code, synthetic teaching data, testing, analysis and materials; the student reviewed the code, evidence and claims and remains responsible for them.</w:t>
      </w:r>
    </w:p>
    <w:sectPr>
      <w:footerReference r:id="rId5" w:type="default"/>
      <w:pgSz w:w="12240" w:h="15840"/>
      <w:pgMar w:top="1008" w:right="1152" w:bottom="1008" w:left="1152"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Aptos">
    <w:altName w:val="Helvetica Neue"/>
    <w:panose1 w:val="00000000000000000000"/>
    <w:charset w:val="00"/>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Times New Roman Regular">
    <w:panose1 w:val="02020603050405020304"/>
    <w:charset w:val="00"/>
    <w:family w:val="auto"/>
    <w:pitch w:val="default"/>
    <w:sig w:usb0="E0002AEF" w:usb1="C0007841" w:usb2="00000009" w:usb3="00000000" w:csb0="400001FF" w:csb1="FFFF0000"/>
  </w:font>
  <w:font w:name="Times New Roman Italic">
    <w:panose1 w:val="02020603050405020304"/>
    <w:charset w:val="00"/>
    <w:family w:val="auto"/>
    <w:pitch w:val="default"/>
    <w:sig w:usb0="E0002AEF" w:usb1="C0007841" w:usb2="00000009" w:usb3="00000000" w:csb0="400001FF" w:csb1="FFFF0000"/>
  </w:font>
  <w:font w:name="Times New Roman Bold">
    <w:panose1 w:val="02020603050405020304"/>
    <w:charset w:val="00"/>
    <w:family w:val="auto"/>
    <w:pitch w:val="default"/>
    <w:sig w:usb0="E0002AEF" w:usb1="C0007841" w:usb2="00000009" w:usb3="00000000" w:csb0="400001FF" w:csb1="FFFF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700000000000000"/>
    <w:charset w:val="80"/>
    <w:family w:val="auto"/>
    <w:pitch w:val="default"/>
    <w:sig w:usb0="800002CF" w:usb1="6AC7FCFC" w:usb2="00000012" w:usb3="00000000" w:csb0="0002000D" w:csb1="00000000"/>
  </w:font>
  <w:font w:name="Helvetica Neue">
    <w:panose1 w:val="02000503000000020004"/>
    <w:charset w:val="00"/>
    <w:family w:val="auto"/>
    <w:pitch w:val="default"/>
    <w:sig w:usb0="E50002FF" w:usb1="500079DB" w:usb2="00000010" w:usb3="00000000" w:csb0="00000000" w:csb1="00000000"/>
  </w:font>
  <w:font w:name="苹方-简">
    <w:altName w:val="Times New Roman"/>
    <w:panose1 w:val="020B0600000000000000"/>
    <w:charset w:val="00"/>
    <w:family w:val="auto"/>
    <w:pitch w:val="default"/>
    <w:sig w:usb0="A00002FF" w:usb1="7ACFFDFB" w:usb2="00000017" w:usb3="00000000" w:csb0="00040001" w:csb1="00000000"/>
  </w:font>
  <w:font w:name="ＭＳ ゴシック">
    <w:altName w:val="苹方-简"/>
    <w:panose1 w:val="00000000000000000000"/>
    <w:charset w:val="00"/>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汉仪中黑KW">
    <w:panose1 w:val="00020600040101010101"/>
    <w:charset w:val="86"/>
    <w:family w:val="auto"/>
    <w:pitch w:val="default"/>
    <w:sig w:usb0="A00002BF" w:usb1="18EF7CFA" w:usb2="00000016" w:usb3="00000000" w:csb0="00040000" w:csb1="00000000"/>
  </w:font>
  <w:font w:name="宋体-简">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385D84">
    <w:pPr>
      <w:pStyle w:val="24"/>
      <w:jc w:val="center"/>
    </w:pPr>
    <w:r>
      <w:rPr>
        <w:color w:val="505050"/>
        <w:sz w:val="16"/>
      </w:rPr>
      <w:t>HR-Ask | PE6201 End-of-Course Project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69" w:lineRule="auto"/>
      </w:pPr>
      <w:r>
        <w:separator/>
      </w:r>
    </w:p>
  </w:footnote>
  <w:footnote w:type="continuationSeparator" w:id="1">
    <w:p>
      <w:pPr>
        <w:spacing w:before="0" w:after="0" w:line="26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BF4FFF8"/>
    <w:rsid w:val="3BFBBDDA"/>
    <w:rsid w:val="6A71CBB5"/>
    <w:rsid w:val="6B6E6347"/>
    <w:rsid w:val="6FFB5BBF"/>
    <w:rsid w:val="76BEBB28"/>
    <w:rsid w:val="7BBF3C6A"/>
    <w:rsid w:val="7FC1E8B3"/>
    <w:rsid w:val="7FE6ACB0"/>
    <w:rsid w:val="9E774864"/>
    <w:rsid w:val="CEF60AA8"/>
    <w:rsid w:val="DFDF6E23"/>
    <w:rsid w:val="DFF737ED"/>
    <w:rsid w:val="DFFF5953"/>
    <w:rsid w:val="F197E0FC"/>
    <w:rsid w:val="FEF31436"/>
    <w:rsid w:val="FF27A434"/>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269" w:lineRule="auto"/>
    </w:pPr>
    <w:rPr>
      <w:rFonts w:ascii="Aptos" w:hAnsi="Aptos" w:eastAsia="Aptos" w:cstheme="minorBidi"/>
      <w:sz w:val="21"/>
      <w:szCs w:val="22"/>
      <w:lang w:val="en-US" w:eastAsia="en-US" w:bidi="ar-SA"/>
    </w:rPr>
  </w:style>
  <w:style w:type="paragraph" w:styleId="3">
    <w:name w:val="heading 1"/>
    <w:basedOn w:val="1"/>
    <w:next w:val="1"/>
    <w:link w:val="138"/>
    <w:qFormat/>
    <w:uiPriority w:val="9"/>
    <w:pPr>
      <w:keepNext/>
      <w:keepLines/>
      <w:spacing w:before="200" w:after="100"/>
      <w:outlineLvl w:val="0"/>
    </w:pPr>
    <w:rPr>
      <w:rFonts w:asciiTheme="majorHAnsi" w:hAnsiTheme="majorHAnsi" w:eastAsiaTheme="majorEastAsia" w:cstheme="majorBidi"/>
      <w:b/>
      <w:bCs/>
      <w:color w:val="000000"/>
      <w:sz w:val="26"/>
      <w:szCs w:val="28"/>
    </w:rPr>
  </w:style>
  <w:style w:type="paragraph" w:styleId="4">
    <w:name w:val="heading 2"/>
    <w:basedOn w:val="1"/>
    <w:next w:val="1"/>
    <w:link w:val="139"/>
    <w:unhideWhenUsed/>
    <w:qFormat/>
    <w:uiPriority w:val="9"/>
    <w:pPr>
      <w:keepNext/>
      <w:keepLines/>
      <w:spacing w:before="200" w:after="100"/>
      <w:outlineLvl w:val="1"/>
    </w:pPr>
    <w:rPr>
      <w:rFonts w:asciiTheme="majorHAnsi" w:hAnsiTheme="majorHAnsi" w:eastAsiaTheme="majorEastAsia" w:cstheme="majorBidi"/>
      <w:b/>
      <w:bCs/>
      <w:color w:val="000000"/>
      <w:sz w:val="22"/>
      <w:szCs w:val="26"/>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spacing w:before="0" w:after="100" w:line="240" w:lineRule="auto"/>
      <w:contextualSpacing/>
    </w:pPr>
    <w:rPr>
      <w:rFonts w:asciiTheme="majorHAnsi" w:hAnsiTheme="majorHAnsi" w:eastAsiaTheme="majorEastAsia" w:cstheme="majorBidi"/>
      <w:b/>
      <w:color w:val="000000"/>
      <w:spacing w:val="5"/>
      <w:kern w:val="28"/>
      <w:sz w:val="40"/>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5</Pages>
  <Words>0</Words>
  <Characters>0</Characters>
  <Lines>0</Lines>
  <Paragraphs>0</Paragraphs>
  <TotalTime>1</TotalTime>
  <ScaleCrop>false</ScaleCrop>
  <LinksUpToDate>false</LinksUpToDate>
  <CharactersWithSpaces>0</CharactersWithSpaces>
  <Application>WPS Office_12.1.22553.22553_F1E327BC-269C-435d-A152-05C5408002CA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2013-12-24T21:45:00Z</dcterms:created>
  <dc:creator>python-docx</dc:creator>
  <dc:description>generated by python-docx</dc:description>
  <cp:lastModifiedBy>苏黎世的雨樱花</cp:lastModifiedBy>
  <dcterms:modified xsi:type="dcterms:W3CDTF">2026-10-02T03:15:41Z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2052-12.1.22553.22553</vt:lpwstr>
  </property>
  <property fmtid="{D5CDD505-2E9C-101B-9397-08002B2CF9AE}" pid="3" name="ICV">
    <vt:lpwstr>6A4E37D2C6B6B6F3A24BBE6A5436F23C_42</vt:lpwstr>
  </property>
</Properties>
</file>