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DE9B4">
      <w:pPr>
        <w:pStyle w:val="31"/>
        <w:spacing w:line="360" w:lineRule="auto"/>
        <w:jc w:val="center"/>
        <w:rPr>
          <w:rFonts w:hint="default" w:ascii="Times New Roman Regular" w:hAnsi="Times New Roman Regular" w:cs="Times New Roman Regular"/>
          <w:sz w:val="32"/>
          <w:szCs w:val="32"/>
        </w:rPr>
      </w:pPr>
      <w:r>
        <w:rPr>
          <w:rFonts w:hint="default" w:ascii="Times New Roman Regular" w:hAnsi="Times New Roman Regular" w:cs="Times New Roman Regular"/>
          <w:sz w:val="32"/>
          <w:szCs w:val="32"/>
        </w:rPr>
        <w:t>HR Ask Policy Assistant</w:t>
      </w:r>
    </w:p>
    <w:p w14:paraId="1F1EF2CD">
      <w:pPr>
        <w:spacing w:line="360" w:lineRule="auto"/>
        <w:jc w:val="center"/>
        <w:rPr>
          <w:rFonts w:hint="default" w:ascii="Times New Roman Italic" w:hAnsi="Times New Roman Italic" w:cs="Times New Roman Italic"/>
          <w:b w:val="0"/>
          <w:bCs w:val="0"/>
          <w:i/>
          <w:iCs w:val="0"/>
          <w:sz w:val="24"/>
          <w:szCs w:val="24"/>
        </w:rPr>
      </w:pPr>
      <w:r>
        <w:rPr>
          <w:rFonts w:hint="default" w:ascii="Times New Roman Italic" w:hAnsi="Times New Roman Italic" w:cs="Times New Roman Italic"/>
          <w:b w:val="0"/>
          <w:bCs w:val="0"/>
          <w:i/>
          <w:iCs w:val="0"/>
          <w:sz w:val="24"/>
          <w:szCs w:val="24"/>
        </w:rPr>
        <w:t xml:space="preserve">End of Course Project | Kang Xingyao | </w:t>
      </w:r>
      <w:r>
        <w:rPr>
          <w:rFonts w:hint="default" w:ascii="Times New Roman Italic" w:hAnsi="Times New Roman Italic" w:cs="Times New Roman Italic"/>
          <w:b w:val="0"/>
          <w:bCs w:val="0"/>
          <w:i/>
          <w:iCs w:val="0"/>
          <w:sz w:val="24"/>
          <w:szCs w:val="24"/>
          <w:lang w:val="en-US"/>
        </w:rPr>
        <w:t xml:space="preserve">G2604349F </w:t>
      </w:r>
      <w:r>
        <w:rPr>
          <w:rFonts w:hint="default" w:ascii="Times New Roman Italic" w:hAnsi="Times New Roman Italic" w:cs="Times New Roman Italic"/>
          <w:b w:val="0"/>
          <w:bCs w:val="0"/>
          <w:i/>
          <w:iCs w:val="0"/>
          <w:sz w:val="24"/>
          <w:szCs w:val="24"/>
        </w:rPr>
        <w:t>|</w:t>
      </w:r>
      <w:r>
        <w:rPr>
          <w:rFonts w:hint="default" w:ascii="Times New Roman Italic" w:hAnsi="Times New Roman Italic" w:cs="Times New Roman Italic"/>
          <w:b w:val="0"/>
          <w:bCs w:val="0"/>
          <w:i/>
          <w:iCs w:val="0"/>
          <w:sz w:val="24"/>
          <w:szCs w:val="24"/>
          <w:lang w:val="en-US"/>
        </w:rPr>
        <w:t xml:space="preserve"> </w:t>
      </w:r>
      <w:r>
        <w:rPr>
          <w:rFonts w:hint="default" w:ascii="Times New Roman Italic" w:hAnsi="Times New Roman Italic" w:cs="Times New Roman Italic"/>
          <w:b w:val="0"/>
          <w:bCs w:val="0"/>
          <w:i/>
          <w:iCs w:val="0"/>
          <w:sz w:val="24"/>
          <w:szCs w:val="24"/>
        </w:rPr>
        <w:t>Section C | 2 October 2026</w:t>
      </w:r>
    </w:p>
    <w:p w14:paraId="76CF879C">
      <w:pPr>
        <w:pStyle w:val="3"/>
        <w:spacing w:line="360" w:lineRule="auto"/>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1 Problem and intended outcome</w:t>
      </w:r>
    </w:p>
    <w:p w14:paraId="0F0DBF9F">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HR-Ask is an educational prototype for a manufacturing team leader who needs policy guidance outside HR office hours. It answers questions about fictional leave, attendance and social-insurance policies and prepares a five-field request draft for later human review. The intended journey is to find a relevant rule and prepare a usable draft within three minutes. HR staff benefit when recurring questions are answered consistently and incomplete requests are identified before manual handling.</w:t>
      </w:r>
    </w:p>
    <w:p w14:paraId="0118908E">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system deliberately does not submit requests, approve leave, calculate statutory entitlements, access employee records or decide sensitive disputes. The original proposal used planning assumptions of 8–10 HR hours per week for recurring enquiries and 8–10 minutes for manual forms. These are not observations from a real employer, so neither time saving nor user benefit is claimed as measured.</w:t>
      </w:r>
    </w:p>
    <w:p w14:paraId="0EB214CD">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2 Product design and architecture</w:t>
      </w:r>
    </w:p>
    <w:p w14:paraId="742A7E56">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product accepts an employee question, retrieves evidence from five versioned Markdown policy files, and classifies the request as consultation, draft, clarification or escalation. Consultation returns evidence without a ticket. An explicit draft request is parsed into employee_id, request_type, requested_date, reason and contact_channel. Validation keeps missing values null and reports the fields still required. Sensitive, unsupported or low-evidence requests are escalated to HR.</w:t>
      </w:r>
    </w:p>
    <w:p w14:paraId="46FE7EA8">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local baseline uses Chinese bigrams, English tokens, aliases, TF-IDF and cosine similarity to retrieve up to three policy sections. In optional OpenRouter mode, openai/gpt-4o-mini receives the retrieved evidence and returns answer text, citation IDs and an intent. Python retains control of field extraction and validation. The model has no tool that can execute personnel actions. This build-and-buy split keeps policy handling inspectable while renting language generation rather than training a model for five fictional documents.</w:t>
      </w:r>
    </w:p>
    <w:p w14:paraId="7E0EB31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Course integration is explicit. Class 1 frames a bounded HR-service problem and user journey. Class 2 informs the retrieval, generation and evaluation workflow. Class 3 informs prompt repair, structured output and measured comparisons. Class 5 separates observed model inference cost from human fallback and quarterly rule-maintenance assumptions. Class 6 informs the escalation boundary, fictional data, human review and production-risk discussion. This coverage connects each design choice to a course concept while avoiding a claim that the prototype is ready for operational deployment.</w:t>
      </w:r>
    </w:p>
    <w:p w14:paraId="402AF9A5">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drawing>
          <wp:anchor distT="0" distB="0" distL="114300" distR="114300" simplePos="0" relativeHeight="251659264" behindDoc="0" locked="0" layoutInCell="1" allowOverlap="1">
            <wp:simplePos x="0" y="0"/>
            <wp:positionH relativeFrom="column">
              <wp:posOffset>-363220</wp:posOffset>
            </wp:positionH>
            <wp:positionV relativeFrom="paragraph">
              <wp:posOffset>342900</wp:posOffset>
            </wp:positionV>
            <wp:extent cx="7089140" cy="3954145"/>
            <wp:effectExtent l="0" t="0" r="22860" b="825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7089140" cy="3954145"/>
                    </a:xfrm>
                    <a:prstGeom prst="rect">
                      <a:avLst/>
                    </a:prstGeom>
                  </pic:spPr>
                </pic:pic>
              </a:graphicData>
            </a:graphic>
          </wp:anchor>
        </w:drawing>
      </w:r>
    </w:p>
    <w:p w14:paraId="7F69A1FB">
      <w:pPr>
        <w:spacing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i/>
          <w:sz w:val="24"/>
          <w:szCs w:val="24"/>
        </w:rPr>
        <w:t>Figure 1. Evidence retrieval, safe routing and unsubmitted ticket drafting.</w:t>
      </w:r>
    </w:p>
    <w:p w14:paraId="00CA8F2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3 Evaluation design</w:t>
      </w:r>
    </w:p>
    <w:p w14:paraId="10BA586A">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main development set contains 30 labelled synthetic cases across leave, attendance, social insurance and workflow boundaries. A 12-case challenge set adds ambiguity, negation, invalid dates and unfamiliar wording. Both sets were created during development and are not independent holdouts. Results preserve source, policy and dataset hashes in the saved files. Automated checks verify routing, retrieval IDs, citation IDs, field formats and safety; they do not establish that every answer is policy-correct.</w:t>
      </w:r>
    </w:p>
    <w:p w14:paraId="6A4963D1">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Answer quality is therefore scored separately. A retrospective AI-assisted review assessed 25 eligible saved policy answers, while a documented student manual spot check assessed a stratified random sample of 10. The manual review is evidence of a student check, not independent HR validation. The saved live run used the revised prompt draft-intent-v2; five workflow cases were handled locally and 25 used the model without recorded API errors.</w:t>
      </w:r>
    </w:p>
    <w:p w14:paraId="56F0A7A0">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4 Results and critique</w:t>
      </w:r>
    </w:p>
    <w:tbl>
      <w:tblPr>
        <w:tblStyle w:val="33"/>
        <w:tblW w:w="101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0"/>
        <w:gridCol w:w="1082"/>
        <w:gridCol w:w="6158"/>
      </w:tblGrid>
      <w:tr w14:paraId="7C1315C8">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54D7BC2">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Measure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056FE0B">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Result</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FB28085">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Interpretation</w:t>
            </w:r>
          </w:p>
        </w:tc>
      </w:tr>
      <w:tr w14:paraId="287D5F64">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C69C0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Ticket structural pass rate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B8B92F">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8/8 (100%)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3D6BE33">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Valid JSON, five fields and correct request type.</w:t>
            </w:r>
          </w:p>
        </w:tc>
      </w:tr>
      <w:tr w14:paraId="7F795B90">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902DF5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First-turn complete drafts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59BAF22">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5/8 (62.5%)</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7C54A0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Below the proposal target of more than 85%.</w:t>
            </w:r>
          </w:p>
        </w:tc>
      </w:tr>
      <w:tr w14:paraId="57646E46">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7069CC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AI-assisted answer review</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67759A">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22/25 (88%)</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2750B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Retrospective review of saved model answers.</w:t>
            </w:r>
          </w:p>
        </w:tc>
      </w:tr>
      <w:tr w14:paraId="63C9491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702FEC4">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Manual student spot check</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2764E8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8/10 (80%)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C9C3AB">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Separate quality signal; not independent HR review.</w:t>
            </w:r>
          </w:p>
        </w:tc>
      </w:tr>
      <w:tr w14:paraId="204CC32F">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4BEAF3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Engineering checks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6CF17B9">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30/30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0C10E5E">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Program behaviour, not policy correctness.</w:t>
            </w:r>
          </w:p>
        </w:tc>
      </w:tr>
      <w:tr w14:paraId="7F759DC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ED57B5">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Informal offline diagnostic</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3C633D4">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7/12</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81340C0">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Weak handling of abbreviations and informal wording.</w:t>
            </w:r>
          </w:p>
        </w:tc>
      </w:tr>
    </w:tbl>
    <w:p w14:paraId="6B458B5C">
      <w:pPr>
        <w:spacing w:after="20" w:line="360" w:lineRule="auto"/>
        <w:jc w:val="both"/>
        <w:rPr>
          <w:rFonts w:hint="default" w:ascii="Times New Roman Regular" w:hAnsi="Times New Roman Regular" w:cs="Times New Roman Regular"/>
          <w:sz w:val="24"/>
          <w:szCs w:val="24"/>
        </w:rPr>
      </w:pPr>
    </w:p>
    <w:p w14:paraId="19A5B50E">
      <w:pPr>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strongest result is structural reliability after prompt repair. Before repair, the model interpreted drafting as execution and produced no valid drafts; after the prompt explicitly allowed an unsubmitted draft, all eight ticket-intent outputs had the required schema and type. This improvement is a before-and-after observation on one development run, not a repeated controlled experiment. Structured output and Python validation make the 8/8 result narrower than an overall success claim.</w:t>
      </w:r>
    </w:p>
    <w:p w14:paraId="429B66A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main weakness is first-turn completion: only five of eight draft cases were complete. The three incomplete drafts safely preserved unknown fields and asked for details, but a safe incomplete draft is not a completed ticket. Answer quality also requires separate scrutiny. One observed output requested a name although all five fields were already present; another said that leave tomorrow was impossible while omitting the policy emergency route through a supervisor. The informal offline cases also missed expressions such as “tmr” and attendance wording outside the keyword gate. Correct section IDs or valid JSON do not guarantee a correct conclusion.</w:t>
      </w:r>
    </w:p>
    <w:p w14:paraId="16AC6092">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5 Cost and operational trade offs</w:t>
      </w:r>
    </w:p>
    <w:p w14:paraId="01AF80F8">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saved 25 openai/gpt-4o-mini responses averaged 666.32 input tokens, 73.68 output tokens and USD 0.000144156 provider-reported variable inference cost per query. At 400 comparable queries, inference is about USD 0.0577 per month. This is model cost per query, not total cost per successfully resolved HR case.</w:t>
      </w:r>
    </w:p>
    <w:p w14:paraId="179D817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service model separately includes human fallback and recurring rule maintenance. Following instructor feedback, it assumes 15–20 regex rules rewritten each quarter; the midpoint of 17.5 rules, 20 minutes per rule and USD 25 per hour gives USD 48.61 monthly maintenance. A hypothetical unsuccessful enquiry needs five HR minutes, or USD 2.0833. At useful-resolution rates of 20%, 50% and 80%, illustrative cost per useful resolution is USD 8.94, USD 2.33 and USD 0.67. Only the 80% scenario produces a positive estimated monthly value. These are transparent assumptions, not observed business results.</w:t>
      </w:r>
    </w:p>
    <w:p w14:paraId="382A327A">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6 Responsible use and next steps</w:t>
      </w:r>
    </w:p>
    <w:p w14:paraId="4690EFC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prototype is loopback-only and uses fictional data. It has no authentication, multi-turn memory, production connector, security penetration test, independent policy review or real-user study. API questions and excerpts may be sent to the selected provider, so a production system would require access controls, retention rules, redaction, monitoring and explicit confirmation before any submission action. HR retains policy interpretation and employment decisions.</w:t>
      </w:r>
    </w:p>
    <w:p w14:paraId="68F564E6">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Before a pilot, the next priorities are to align answer wording with the validated draft status, collect missing fields through a guided multi-turn flow, broaden informal-language coverage, and obtain HR review of a locked policy snapshot and independent test set. These steps address the gap between successful engineering checks and trustworthy HR service outcomes.</w:t>
      </w:r>
    </w:p>
    <w:p w14:paraId="3C05AAD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7 Reproduction and deliverables</w:t>
      </w:r>
    </w:p>
    <w:p w14:paraId="2A055A1F">
      <w:pPr>
        <w:spacing w:after="0" w:line="360" w:lineRule="auto"/>
        <w:ind w:firstLine="240" w:firstLineChars="100"/>
        <w:jc w:val="both"/>
        <w:rPr>
          <w:rFonts w:hint="default" w:ascii="Times New Roman Regular" w:hAnsi="Times New Roman Regular" w:cs="Times New Roman Regular"/>
          <w:b w:val="0"/>
          <w:sz w:val="24"/>
          <w:szCs w:val="24"/>
        </w:rPr>
      </w:pPr>
      <w:r>
        <w:rPr>
          <w:rFonts w:hint="default" w:ascii="Times New Roman Regular" w:hAnsi="Times New Roman Regular" w:cs="Times New Roman Regular"/>
          <w:b w:val="0"/>
          <w:sz w:val="24"/>
          <w:szCs w:val="24"/>
        </w:rPr>
        <w:t xml:space="preserve">The repository contains the policy corpus, labelled test cases, frozen evidence, source code, BPMN workflow and English demo video. The README defines the intended user, inputs, outputs, safety boundary and local setup. Repository: </w:t>
      </w:r>
      <w:r>
        <w:rPr>
          <w:rFonts w:hint="default" w:ascii="Times New Roman Bold" w:hAnsi="Times New Roman Bold" w:cs="Times New Roman Bold"/>
          <w:b/>
          <w:bCs w:val="0"/>
          <w:color w:val="auto"/>
          <w:sz w:val="24"/>
          <w:szCs w:val="24"/>
        </w:rPr>
        <w:fldChar w:fldCharType="begin"/>
      </w:r>
      <w:r>
        <w:rPr>
          <w:rFonts w:hint="default" w:ascii="Times New Roman Bold" w:hAnsi="Times New Roman Bold" w:cs="Times New Roman Bold"/>
          <w:b/>
          <w:bCs w:val="0"/>
          <w:color w:val="auto"/>
          <w:sz w:val="24"/>
          <w:szCs w:val="24"/>
        </w:rPr>
        <w:instrText xml:space="preserve"> HYPERLINK "https://github.com/kxy-creator/PE6201-End-of-project" \h </w:instrText>
      </w:r>
      <w:r>
        <w:rPr>
          <w:rFonts w:hint="default" w:ascii="Times New Roman Bold" w:hAnsi="Times New Roman Bold" w:cs="Times New Roman Bold"/>
          <w:b/>
          <w:bCs w:val="0"/>
          <w:color w:val="auto"/>
          <w:sz w:val="24"/>
          <w:szCs w:val="24"/>
        </w:rPr>
        <w:fldChar w:fldCharType="separate"/>
      </w:r>
      <w:r>
        <w:rPr>
          <w:rFonts w:hint="default" w:ascii="Times New Roman Bold" w:hAnsi="Times New Roman Bold" w:cs="Times New Roman Bold"/>
          <w:b/>
          <w:bCs w:val="0"/>
          <w:color w:val="auto"/>
          <w:sz w:val="24"/>
          <w:szCs w:val="24"/>
          <w:u w:val="single"/>
        </w:rPr>
        <w:t>https://github.com/kxy-creator/PE6201-End-of-project</w:t>
      </w:r>
      <w:r>
        <w:rPr>
          <w:rFonts w:hint="default" w:ascii="Times New Roman Bold" w:hAnsi="Times New Roman Bold" w:cs="Times New Roman Bold"/>
          <w:b/>
          <w:bCs w:val="0"/>
          <w:color w:val="auto"/>
          <w:sz w:val="24"/>
          <w:szCs w:val="24"/>
          <w:u w:val="single"/>
        </w:rPr>
        <w:fldChar w:fldCharType="end"/>
      </w:r>
      <w:r>
        <w:rPr>
          <w:rFonts w:hint="default" w:ascii="Times New Roman Bold" w:hAnsi="Times New Roman Bold" w:cs="Times New Roman Bold"/>
          <w:b/>
          <w:bCs w:val="0"/>
          <w:color w:val="auto"/>
          <w:sz w:val="24"/>
          <w:szCs w:val="24"/>
        </w:rPr>
        <w:br w:type="textWrapping"/>
      </w:r>
      <w:r>
        <w:rPr>
          <w:rFonts w:hint="default" w:ascii="Times New Roman Regular" w:hAnsi="Times New Roman Regular" w:cs="Times New Roman Regular"/>
          <w:b w:val="0"/>
          <w:sz w:val="24"/>
          <w:szCs w:val="24"/>
        </w:rPr>
        <w:t>Run python3 server.py and open http://127.0.0.1:8765. Run python3 -m unittest discover -s tests -v for regression checks. evaluate.py, co</w:t>
      </w:r>
      <w:bookmarkStart w:id="0" w:name="_GoBack"/>
      <w:bookmarkEnd w:id="0"/>
      <w:r>
        <w:rPr>
          <w:rFonts w:hint="default" w:ascii="Times New Roman Regular" w:hAnsi="Times New Roman Regular" w:cs="Times New Roman Regular"/>
          <w:b w:val="0"/>
          <w:sz w:val="24"/>
          <w:szCs w:val="24"/>
        </w:rPr>
        <w:t>mpare.py and scripts/summarize_evidence.py reproduce the evidence summaries. Optional OpenRouter mode uses a local API key that is not stored in the repository.</w:t>
      </w:r>
    </w:p>
    <w:p w14:paraId="53CD18CF">
      <w:pPr>
        <w:spacing w:after="0" w:line="360" w:lineRule="auto"/>
        <w:ind w:firstLine="240" w:firstLineChars="100"/>
        <w:jc w:val="both"/>
        <w:rPr>
          <w:rFonts w:hint="default" w:ascii="Times New Roman Regular" w:hAnsi="Times New Roman Regular" w:cs="Times New Roman Regular"/>
          <w:b w:val="0"/>
          <w:sz w:val="24"/>
          <w:szCs w:val="24"/>
        </w:rPr>
      </w:pPr>
      <w:r>
        <w:rPr>
          <w:rFonts w:hint="default" w:ascii="Times New Roman Regular" w:hAnsi="Times New Roman Regular" w:cs="Times New Roman Regular"/>
          <w:b w:val="0"/>
          <w:sz w:val="24"/>
          <w:szCs w:val="24"/>
        </w:rPr>
        <w:t>Final delivery includes this report, the repository, the recorded demonstration and the required self-appraisal cover document. AI assistance supported implementation and materials; the student reviewed the evidence and remains responsible for the claims.</w:t>
      </w:r>
    </w:p>
    <w:sectPr>
      <w:footerReference r:id="rId5" w:type="default"/>
      <w:pgSz w:w="12240" w:h="15840"/>
      <w:pgMar w:top="1008" w:right="1152" w:bottom="1008"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Aptos">
    <w:altName w:val="Helvetica Neue"/>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Times New Roman Regular">
    <w:panose1 w:val="02020603050405020304"/>
    <w:charset w:val="00"/>
    <w:family w:val="auto"/>
    <w:pitch w:val="default"/>
    <w:sig w:usb0="E0002AEF" w:usb1="C0007841" w:usb2="00000009" w:usb3="00000000" w:csb0="400001FF" w:csb1="FFFF0000"/>
  </w:font>
  <w:font w:name="Times New Roman Italic">
    <w:panose1 w:val="02020603050405020304"/>
    <w:charset w:val="00"/>
    <w:family w:val="auto"/>
    <w:pitch w:val="default"/>
    <w:sig w:usb0="E0002AEF" w:usb1="C0007841" w:usb2="00000009" w:usb3="00000000" w:csb0="400001FF" w:csb1="FFFF0000"/>
  </w:font>
  <w:font w:name="Times New Roman Bold">
    <w:panose1 w:val="02020603050405020304"/>
    <w:charset w:val="00"/>
    <w:family w:val="auto"/>
    <w:pitch w:val="default"/>
    <w:sig w:usb0="E0002AEF" w:usb1="C0007841" w:usb2="00000009" w:usb3="00000000" w:csb0="400001FF" w:csb1="FFFF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冬青黑体简体中文 W3">
    <w:panose1 w:val="020B0300000000000000"/>
    <w:charset w:val="86"/>
    <w:family w:val="auto"/>
    <w:pitch w:val="default"/>
    <w:sig w:usb0="A00002BF" w:usb1="1ACF7CFA" w:usb2="00000016" w:usb3="00000000" w:csb0="000600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85D84">
    <w:pPr>
      <w:pStyle w:val="24"/>
      <w:jc w:val="center"/>
    </w:pPr>
    <w:r>
      <w:rPr>
        <w:color w:val="505050"/>
        <w:sz w:val="16"/>
      </w:rPr>
      <w:t>HR-Ask | PE6201 End-of-Course Project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BF4FFF8"/>
    <w:rsid w:val="3BFBBDDA"/>
    <w:rsid w:val="3DFFF358"/>
    <w:rsid w:val="6A71CBB5"/>
    <w:rsid w:val="6B6E6347"/>
    <w:rsid w:val="6FD7E406"/>
    <w:rsid w:val="6FFB5BBF"/>
    <w:rsid w:val="76BEBB28"/>
    <w:rsid w:val="77FB77B2"/>
    <w:rsid w:val="7BBF3C6A"/>
    <w:rsid w:val="7DFFD292"/>
    <w:rsid w:val="7FC1E8B3"/>
    <w:rsid w:val="7FE6ACB0"/>
    <w:rsid w:val="9E774864"/>
    <w:rsid w:val="CEF60AA8"/>
    <w:rsid w:val="D6F71574"/>
    <w:rsid w:val="DFDF6E23"/>
    <w:rsid w:val="DFF737ED"/>
    <w:rsid w:val="DFFF5953"/>
    <w:rsid w:val="EBF8F1E0"/>
    <w:rsid w:val="F197E0FC"/>
    <w:rsid w:val="FEF31436"/>
    <w:rsid w:val="FF27A434"/>
    <w:rsid w:val="FF7C127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Aptos" w:hAnsi="Aptos" w:eastAsia="Aptos" w:cstheme="minorBidi"/>
      <w:sz w:val="21"/>
      <w:szCs w:val="22"/>
      <w:lang w:val="en-US" w:eastAsia="en-US" w:bidi="ar-SA"/>
    </w:rPr>
  </w:style>
  <w:style w:type="paragraph" w:styleId="3">
    <w:name w:val="heading 1"/>
    <w:basedOn w:val="1"/>
    <w:next w:val="1"/>
    <w:link w:val="138"/>
    <w:qFormat/>
    <w:uiPriority w:val="9"/>
    <w:pPr>
      <w:keepNext/>
      <w:keepLines/>
      <w:spacing w:before="200" w:after="100"/>
      <w:outlineLvl w:val="0"/>
    </w:pPr>
    <w:rPr>
      <w:rFonts w:asciiTheme="majorHAnsi" w:hAnsiTheme="majorHAnsi" w:eastAsiaTheme="majorEastAsia" w:cstheme="majorBidi"/>
      <w:b/>
      <w:bCs/>
      <w:color w:val="000000"/>
      <w:sz w:val="26"/>
      <w:szCs w:val="28"/>
    </w:rPr>
  </w:style>
  <w:style w:type="paragraph" w:styleId="4">
    <w:name w:val="heading 2"/>
    <w:basedOn w:val="1"/>
    <w:next w:val="1"/>
    <w:link w:val="139"/>
    <w:unhideWhenUsed/>
    <w:qFormat/>
    <w:uiPriority w:val="9"/>
    <w:pPr>
      <w:keepNext/>
      <w:keepLines/>
      <w:spacing w:before="200" w:after="100"/>
      <w:outlineLvl w:val="1"/>
    </w:pPr>
    <w:rPr>
      <w:rFonts w:asciiTheme="majorHAnsi" w:hAnsiTheme="majorHAnsi" w:eastAsiaTheme="majorEastAsia" w:cstheme="majorBidi"/>
      <w:b/>
      <w:bCs/>
      <w:color w:val="000000"/>
      <w:sz w:val="22"/>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冬青黑体简体中文 W3" w:hAnsi="冬青黑体简体中文 W3"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before="0" w:after="100" w:line="240" w:lineRule="auto"/>
      <w:contextualSpacing/>
    </w:pPr>
    <w:rPr>
      <w:rFonts w:asciiTheme="majorHAnsi" w:hAnsiTheme="majorHAnsi" w:eastAsiaTheme="majorEastAsia" w:cstheme="majorBidi"/>
      <w:b/>
      <w:color w:val="000000"/>
      <w:spacing w:val="5"/>
      <w:kern w:val="28"/>
      <w:sz w:val="4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冬青黑体简体中文 W3" w:hAnsi="冬青黑体简体中文 W3"/>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5</TotalTime>
  <ScaleCrop>false</ScaleCrop>
  <LinksUpToDate>false</LinksUpToDate>
  <CharactersWithSpaces>0</CharactersWithSpaces>
  <Application>WPS Office_12.1.22553.22553_F1E327BC-269C-435d-A152-05C5408002CA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2013-12-25T05:15:00Z</dcterms:created>
  <dc:creator>python-docx</dc:creator>
  <dc:description>generated by python-docx</dc:description>
  <cp:lastModifiedBy>苏黎世的雨樱花</cp:lastModifiedBy>
  <dcterms:modified xsi:type="dcterms:W3CDTF">2026-10-02T17:31:32Z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6A4E37D2C6B6B6F3A24BBE6A5436F23C_42</vt:lpwstr>
  </property>
</Properties>
</file>