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DE9B4">
      <w:pPr>
        <w:pStyle w:val="31"/>
        <w:spacing w:line="360" w:lineRule="auto"/>
        <w:jc w:val="cente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HR Ask Policy Assistant</w:t>
      </w:r>
    </w:p>
    <w:p w14:paraId="1F1EF2CD">
      <w:pPr>
        <w:spacing w:line="360" w:lineRule="auto"/>
        <w:jc w:val="center"/>
        <w:rPr>
          <w:rFonts w:hint="default" w:ascii="Times New Roman Italic" w:hAnsi="Times New Roman Italic" w:cs="Times New Roman Italic"/>
          <w:b w:val="0"/>
          <w:bCs w:val="0"/>
          <w:i/>
          <w:iCs w:val="0"/>
          <w:sz w:val="24"/>
          <w:szCs w:val="24"/>
        </w:rPr>
      </w:pPr>
      <w:r>
        <w:rPr>
          <w:rFonts w:hint="default" w:ascii="Times New Roman Italic" w:hAnsi="Times New Roman Italic" w:cs="Times New Roman Italic"/>
          <w:b w:val="0"/>
          <w:bCs w:val="0"/>
          <w:i/>
          <w:iCs w:val="0"/>
          <w:sz w:val="24"/>
          <w:szCs w:val="24"/>
        </w:rPr>
        <w:t>End of Course Project | Kang Xingyao | Section C | 2 October 2026</w:t>
      </w:r>
    </w:p>
    <w:p w14:paraId="76CF879C">
      <w:pPr>
        <w:pStyle w:val="3"/>
        <w:spacing w:line="360" w:lineRule="auto"/>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1 Problem and intended outcome</w:t>
      </w:r>
    </w:p>
    <w:p w14:paraId="0F0DBF9F">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HR-Ask is an educational prototype for a manufacturing team leader who needs policy guidance outside HR office hours. It answers questions about fictional leave, attendance and social-insurance policies and prepares a five-field request draft for later human review. The intended journey is to find a relevant rule and prepare a usable draft within three minutes. HR staff benefit when recurring questions are answered consistently and incomplete requests are identified before manual handling.</w:t>
      </w:r>
    </w:p>
    <w:p w14:paraId="0118908E">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deliberately does not submit requests, approve leave, calculate statutory entitlements, access employee records or decide sensitive disputes. The original proposal used planning assumptions of 8–10 HR hours per week for recurring enquiries and 8–10 minutes for manual forms. These are not observations from a real employer, so neither time saving nor user benefit is claimed as measured.</w:t>
      </w:r>
    </w:p>
    <w:p w14:paraId="0EB214CD">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2 Product design and architecture</w:t>
      </w:r>
    </w:p>
    <w:p w14:paraId="742A7E56">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product accepts an employee question, retrieves evidence from five versioned Markdown policy files, and classifies the request as consultation, draft, clarification or escalation. Consultation returns evidence without a ticket. An explicit draft request is parsed into employee_id, request_type, requested_date, reason and contact_channel. Validation keeps missing values null and reports the fields still required. Sensitive, unsupported or low-evidence requests are escalated to HR.</w:t>
      </w:r>
    </w:p>
    <w:p w14:paraId="46FE7EA8">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local baseline uses Chinese bigrams, English tokens, aliases, TF-IDF and cosine similarity to retrieve up to three policy sections. In optional OpenRouter mode, openai/gpt-4o-mini receives the retrieved evidence and returns answer text, citation IDs and an intent. Python retains control of field extraction and validation. The model has no tool that can execute personnel actions. This build-and-buy split keeps policy handling inspectable while renting language generation rather than training a model for five fictional documents.</w:t>
      </w:r>
    </w:p>
    <w:p w14:paraId="7E0EB31B">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Course integration is explicit. Class 1 frames a bounded HR-service problem and user journey. Class 2 informs the retrieval, generation and evaluation workflow. Class 3 informs prompt repair, structured output and measured comparisons. Class 5 separates observed model inference cost from human fallback and quarterly rule-maintenance assumptions. Class 6 informs the escalation boundary, fictional data, human review and production-risk discussion. This coverage connects each design choice to a course concept while avoiding a claim that the prototype is ready for operational deployment.</w:t>
      </w:r>
    </w:p>
    <w:p w14:paraId="402AF9A5">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anchor distT="0" distB="0" distL="114300" distR="114300" simplePos="0" relativeHeight="251659264" behindDoc="0" locked="0" layoutInCell="1" allowOverlap="1">
            <wp:simplePos x="0" y="0"/>
            <wp:positionH relativeFrom="column">
              <wp:posOffset>-363220</wp:posOffset>
            </wp:positionH>
            <wp:positionV relativeFrom="paragraph">
              <wp:posOffset>342900</wp:posOffset>
            </wp:positionV>
            <wp:extent cx="7089140" cy="3954145"/>
            <wp:effectExtent l="0" t="0" r="2286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7089140" cy="3954145"/>
                    </a:xfrm>
                    <a:prstGeom prst="rect">
                      <a:avLst/>
                    </a:prstGeom>
                  </pic:spPr>
                </pic:pic>
              </a:graphicData>
            </a:graphic>
          </wp:anchor>
        </w:drawing>
      </w:r>
    </w:p>
    <w:p w14:paraId="7F69A1FB">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i/>
          <w:sz w:val="24"/>
          <w:szCs w:val="24"/>
        </w:rPr>
        <w:t>Figure 1. Evidence retrieval, safe routing and unsubmitted ticket drafting.</w:t>
      </w:r>
    </w:p>
    <w:p w14:paraId="00CA8F23">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3 Evaluation design</w:t>
      </w:r>
    </w:p>
    <w:p w14:paraId="10BA586A">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main development set contains 30 labelled synthetic cases across leave, attendance, social insurance and workflow boundaries. A 12-case challenge set adds ambiguity, negation, invalid dates and unfamiliar wording. Both sets were created during development and are not independent holdouts. Results preserve source, policy and dataset hashes in the saved files. Automated checks verify routing, retrieval IDs, citation IDs, field formats and safety; they do not establish that every answer is policy-correct.</w:t>
      </w:r>
    </w:p>
    <w:p w14:paraId="6A4963D1">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Answer quality is therefore scored separately. A retrospective AI-assisted review assessed 25 eligible saved policy answers, while a documented student manual spot check assessed a stratified random sample of 10. The manual review is evidence of a student check, not independent HR validation. The saved live run used the revised prompt draft-intent-v2; five workflow cases were handled locally and 25 used the model without recorded API errors.</w:t>
      </w:r>
    </w:p>
    <w:p w14:paraId="56F0A7A0">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4 Results and critique</w:t>
      </w:r>
    </w:p>
    <w:tbl>
      <w:tblPr>
        <w:tblStyle w:val="33"/>
        <w:tblW w:w="101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0"/>
        <w:gridCol w:w="1082"/>
        <w:gridCol w:w="6158"/>
      </w:tblGrid>
      <w:tr w14:paraId="7C1315C8">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654D7BC2">
            <w:pPr>
              <w:spacing w:line="36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Measure</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4056FE0B">
            <w:pPr>
              <w:spacing w:line="36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Result</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FB28085">
            <w:pPr>
              <w:spacing w:line="36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Interpretation</w:t>
            </w:r>
          </w:p>
        </w:tc>
      </w:tr>
      <w:tr w14:paraId="287D5F64">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C69C00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Ticket structural pass rate</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5AB8B92F">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8/8 (100%)</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3D6BE3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Valid JSON, five fields and correct request type.</w:t>
            </w:r>
          </w:p>
        </w:tc>
      </w:tr>
      <w:tr w14:paraId="7F795B90">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902DF5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First-turn complete drafts</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559BAF22">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5/8 (62.5%)</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7C54A0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Below the proposal target of more than 85%.</w:t>
            </w:r>
          </w:p>
        </w:tc>
      </w:tr>
      <w:tr w14:paraId="57646E46">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47069CC6">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AI-assisted answer review</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367759A">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22/25 (88%)</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02750B0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Retrospective review of saved model answers.</w:t>
            </w:r>
          </w:p>
        </w:tc>
      </w:tr>
      <w:tr w14:paraId="63C94913">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702FEC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Manual student spot check</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2764E8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8/10 (80%)</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5AC9C3AB">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Separate quality signal; not independent HR review.</w:t>
            </w:r>
          </w:p>
        </w:tc>
      </w:tr>
      <w:tr w14:paraId="204CC32F">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64BEAF36">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Engineering checks</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16CF17B9">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30/30</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00C10E5E">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Program behaviour, not policy correctness.</w:t>
            </w:r>
          </w:p>
        </w:tc>
      </w:tr>
      <w:tr w14:paraId="7F759DC3">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3ED57B5">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Informal offline diagnostic</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13C633D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7/12</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181340C0">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Weak handling of abbreviations and informal wording.</w:t>
            </w:r>
          </w:p>
        </w:tc>
      </w:tr>
    </w:tbl>
    <w:p w14:paraId="6B458B5C">
      <w:pPr>
        <w:spacing w:after="20" w:line="360" w:lineRule="auto"/>
        <w:jc w:val="both"/>
        <w:rPr>
          <w:rFonts w:hint="default" w:ascii="Times New Roman Regular" w:hAnsi="Times New Roman Regular" w:cs="Times New Roman Regular"/>
          <w:sz w:val="24"/>
          <w:szCs w:val="24"/>
        </w:rPr>
      </w:pPr>
    </w:p>
    <w:p w14:paraId="19A5B50E">
      <w:pPr>
        <w:spacing w:after="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strongest result is structural reliability after prompt repair. Before repair, the model interpreted drafting as execution and produced no valid drafts; after the prompt explicitly allowed an unsubmitted draft, all eight ticket-intent outputs had the required schema and type. This improvement is a before-and-after observation on one development run, not a repeated controlled experiment. Structured output and Python validation make the 8/8 result narrower than an overall success claim.</w:t>
      </w:r>
    </w:p>
    <w:p w14:paraId="429B66AB">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main weakness is first-turn completion: only five of eight draft cases were complete. The three incomplete drafts safely preserved unknown fields and asked for details, but a safe incomplete draft is not a completed ticket. Answer quality also req</w:t>
      </w:r>
      <w:bookmarkStart w:id="0" w:name="_GoBack"/>
      <w:bookmarkEnd w:id="0"/>
      <w:r>
        <w:rPr>
          <w:rFonts w:hint="default" w:ascii="Times New Roman Regular" w:hAnsi="Times New Roman Regular" w:cs="Times New Roman Regular"/>
          <w:sz w:val="24"/>
          <w:szCs w:val="24"/>
        </w:rPr>
        <w:t>uires separate scrutiny. One observed output requested a name although all five fields were already present; another said that leave tomorrow was impossible while omitting the policy emergency route through a supervisor. The informal offline cases also missed expressions such as “tmr” and attendance wording outside the keyword gate. Correct section IDs or valid JSON do not guarantee a correct conclusion.</w:t>
      </w:r>
    </w:p>
    <w:p w14:paraId="16AC6092">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5 Cost and operational trade offs</w:t>
      </w:r>
    </w:p>
    <w:p w14:paraId="01AF80F8">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saved 25 openai/gpt-4o-mini responses averaged 666.32 input tokens, 73.68 output tokens and USD 0.000144156 provider-reported variable inference cost per query. At 400 comparable queries, inference is about USD 0.0577 per month. This is model cost per query, not total cost per successfully resolved HR case.</w:t>
      </w:r>
    </w:p>
    <w:p w14:paraId="179D817B">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service model separately includes human fallback and recurring rule maintenance. Following instructor feedback, it assumes 15–20 regex rules rewritten each quarter; the midpoint of 17.5 rules, 20 minutes per rule and USD 25 per hour gives USD 48.61 monthly maintenance. A hypothetical unsuccessful enquiry needs five HR minutes, or USD 2.0833. At useful-resolution rates of 20%, 50% and 80%, illustrative cost per useful resolution is USD 8.94, USD 2.33 and USD 0.67. Only the 80% scenario produces a positive estimated monthly value. These are transparent assumptions, not observed business results.</w:t>
      </w:r>
    </w:p>
    <w:p w14:paraId="382A327A">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6 Responsible use and next steps</w:t>
      </w:r>
    </w:p>
    <w:p w14:paraId="4690EFCB">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prototype is loopback-only and uses fictional data. It has no authentication, multi-turn memory, production connector, security penetration test, independent policy review or real-user study. API questions and excerpts may be sent to the selected provider, so a production system would require access controls, retention rules, redaction, monitoring and explicit confirmation before any submission action. HR retains policy interpretation and employment decisions.</w:t>
      </w:r>
    </w:p>
    <w:p w14:paraId="68F564E6">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Before a pilot, the next priorities are to align answer wording with the validated draft status, collect missing fields through a guided multi-turn flow, broaden informal-language coverage, and obtain HR review of a locked policy snapshot and independent test set. These steps address the gap between successful engineering checks and trustworthy HR service outcomes.</w:t>
      </w:r>
    </w:p>
    <w:p w14:paraId="3C05AAD3">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7 Reproduction and deliverables</w:t>
      </w:r>
    </w:p>
    <w:p w14:paraId="2A055A1F">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Run python3 server.py and open http://127.0.0.1:8765 for the local demonstration. Run python3 -m unittest discover-s tests-v for regression tests, evaluate.py for offline cases, compare.py for the retrieval baseline, and scripts/summarize_evidence.py for outcome and cost aggregation. OpenRouter mode is optional and requires a locally entered API key that must never be committed. The repository contains the policy files, labelled datasets, review protocol, frozen results, code, README, BPMN diagram and final English demo video.</w:t>
      </w:r>
    </w:p>
    <w:p w14:paraId="3397FC9E">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final delivery comprises this report, the GitHub repository, the recorded demonstration and the required self-appraisal cover document. AI assistance supported implementation, synthetic data, analysis and report/video materials. The final video uses the student’s recorded English narration with actual application screenshots and synchronized English subtitles; the student remains responsible for understanding and submitting the work.</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85D84">
    <w:pPr>
      <w:pStyle w:val="24"/>
      <w:jc w:val="center"/>
    </w:pPr>
    <w:r>
      <w:rPr>
        <w:color w:val="505050"/>
        <w:sz w:val="16"/>
      </w:rPr>
      <w:t>HR-Ask | PE6201 End-of-Course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E6ACB0"/>
    <w:rsid w:val="9E7748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Aptos" w:cstheme="minorBidi"/>
      <w:sz w:val="21"/>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before="0" w:after="10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2013-12-24T14:15:00Z</dcterms:created>
  <dc:creator>python-docx</dc:creator>
  <dc:description>generated by python-docx</dc:description>
  <cp:lastModifiedBy>苏黎世的雨樱花</cp:lastModifiedBy>
  <dcterms:modified xsi:type="dcterms:W3CDTF">2026-10-02T01:55:49Z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6A4E37D2C6B6B6F3A24BBE6A5436F23C_42</vt:lpwstr>
  </property>
</Properties>
</file>