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23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The answer-quality result is not a completed human spot check.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 [2]</w:t>
      </w:r>
    </w:p>
    <w:p>
      <w:pPr>
        <w:pStyle w:val="Heading2"/>
      </w:pPr>
      <w:r>
        <w:t>Original target and current outcome</w:t>
      </w:r>
    </w:p>
    <w:p>
      <w: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complete ticket generation and answer quality must therefore be reported separately. The saved answer-quality result is 22/25 in an AI-assisted retrospective review; it is not a completed human spot check. A guided follow-up form is a proposed improvement; multi-turn field collection is not implemented.</w:t>
      </w:r>
    </w:p>
    <w:p>
      <w:pPr>
        <w:pStyle w:val="Heading1"/>
        <w:pageBreakBefore/>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p>
    <w:tbl>
      <w:tblPr>
        <w:tblW w:type="auto" w:w="0"/>
        <w:tblLayout w:type="fixed"/>
        <w:tblLook w:firstColumn="1" w:firstRow="1" w:lastColumn="0" w:lastRow="0" w:noHBand="0" w:noVBand="1" w:val="04A0"/>
      </w:tblPr>
      <w:tblGrid>
        <w:gridCol w:w="1944"/>
        <w:gridCol w:w="7272"/>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Component</w:t>
            </w:r>
          </w:p>
        </w:tc>
        <w:tc>
          <w:tcPr>
            <w:tcW w:type="dxa" w:w="72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Implemented behavior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knowledge</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Five Markdown policy files with 20 sections. Effective-date and version checks select usable policies; equal-date conflicts stop loading.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Retrieval</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Chinese bigrams, English tokens, aliases, TF-IDF and cosine similarity. Retrieve up to three relevant sections with source IDs.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Routing</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Consult, draft, clarify or escalate. A local gate restricts drafting; the model can retain drafting or route more conservatively.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Generation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validation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pPr/>
      <w:r>
        <w:t>Course coverage</w:t>
        <w:b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p>
    <w:p>
      <w:r>
        <w:br w:type="page"/>
      </w:r>
    </w:p>
    <w:p>
      <w:pPr>
        <w:pStyle w:val="Heading1"/>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0" w:noVBand="1" w:val="04A0"/>
      </w:tblPr>
      <w:tblGrid>
        <w:gridCol w:w="4032"/>
        <w:gridCol w:w="1656"/>
        <w:gridCol w:w="1656"/>
        <w:gridCol w:w="1872"/>
      </w:tblGrid>
      <w:tr>
        <w:trPr>
          <w:tblHeader/>
        </w:trPr>
        <w:tc>
          <w:tcPr>
            <w:tcW w:type="dxa" w:w="403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Metric</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before</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revised</w:t>
            </w:r>
          </w:p>
        </w:tc>
        <w:tc>
          <w:tcPr>
            <w:tcW w:type="dxa" w:w="18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Offline challenge</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Actual model responses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Gold section in top three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8/10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Citation IDs from retrieved sections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9/9</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Ticket structural pass rate (JSON, five fields, type)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Exact five-field match</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labelled</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fully specified tickets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eligible cases</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Safe incomplete drafts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0/3</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across all ticket inputs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All applicable task checks pass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bl>
    <w:p/>
    <w:p>
      <w: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0" w:noVBand="1" w:val="04A0"/>
      </w:tblPr>
      <w:tblGrid>
        <w:gridCol w:w="936"/>
        <w:gridCol w:w="4536"/>
        <w:gridCol w:w="3744"/>
      </w:tblGrid>
      <w:tr>
        <w:trPr>
          <w:tblHeader/>
        </w:trPr>
        <w:tc>
          <w:tcPr>
            <w:tcW w:type="dxa" w:w="9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Case</w:t>
            </w:r>
          </w:p>
        </w:tc>
        <w:tc>
          <w:tcPr>
            <w:tcW w:type="dxa" w:w="45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Observed issue</w:t>
            </w:r>
          </w:p>
        </w:tc>
        <w:tc>
          <w:tcPr>
            <w:tcW w:type="dxa" w:w="37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Implication</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T07 and complete-draft demo</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requests a name and other personal details even though all five draft fields are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Text and draft status disagree; extra information is unnecessary.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T08</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asks whether a draft is wanted even though the request is explicit and a draft is already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 redundant confirmation reduces clarity.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T10</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says tomorrow’s leave cannot be requested, omitting the policy’s emergency route via the supervisor.</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pPr/>
      <w: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 [1, 4]</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pPr/>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For the fallback scenario, each unsuccessfully resolved enquiry is assumed to require five HR minutes at USD 25 per hour, or USD 2.0833. This is an illustrative fallback assumption, not a measured handling time, and is distinct from the five net minutes saved by a useful resolution. Assume 400 eligible enquiries per month, USD 2,000 initial setup, and one model call per enquiry at the observed mean, giving about USD 0.0577 monthly API cost. Monthly operating cost = API cost + maintenance cost + 400 × (1 − useful-resolution rate) × USD 2.0833. Cost per useful resolution = monthly operating cost ÷ (400 × useful-resolution rate).</w:t>
      </w:r>
    </w:p>
    <w:tbl>
      <w:tblPr>
        <w:tblW w:type="auto" w:w="0"/>
        <w:tblLayout w:type="fixed"/>
        <w:tblLook w:firstColumn="1" w:firstRow="1" w:lastColumn="0" w:lastRow="0" w:noHBand="0" w:noVBand="1" w:val="04A0"/>
      </w:tblPr>
      <w:tblGrid>
        <w:gridCol w:w="3168"/>
        <w:gridCol w:w="3024"/>
        <w:gridCol w:w="3024"/>
      </w:tblGrid>
      <w:tr>
        <w:trPr>
          <w:tblHeader/>
        </w:trPr>
        <w:tc>
          <w:tcPr>
            <w:tcW w:type="dxa" w:w="3168"/>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r>
              <w:t>Useful resolution assumption</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r>
              <w:t>Cost per useful resolution</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r>
              <w:t>Net value per month</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20%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8.94</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negative USD 548.67</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50%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2.33</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negative USD 48.67</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80%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0.67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451.33</w:t>
            </w:r>
          </w:p>
        </w:tc>
      </w:tr>
    </w:tbl>
    <w:p/>
    <w:p>
      <w:pPr/>
      <w:r>
        <w:t>At 20%, 50% and 80% useful resolution, operating cost per useful resolution is USD 8.94, USD 2.33 and USD 0.67 respectively. Net monthly value is negative USD 548.67, negative USD 48.67 and USD 451.33; only the 80% scenario repays USD 2,000 setup, in about 4.4 months. Useful resolution covers the estimated 8–10 weekly answer hours and must use human spot checks, not the 8/8 ticket structural pass rate, 30/30 task score or 5/8 completion rate. Other costs could eliminate the benefit.</w:t>
      </w:r>
    </w:p>
    <w:p>
      <w:pPr>
        <w:pStyle w:val="Heading1"/>
      </w:pPr>
      <w:r>
        <w:t>6 Responsible use and remaining limits</w:t>
      </w:r>
    </w:p>
    <w:tbl>
      <w:tblPr>
        <w:tblW w:type="auto" w:w="0"/>
        <w:tblLayout w:type="fixed"/>
        <w:tblLook w:firstColumn="1" w:firstRow="1" w:lastColumn="0" w:lastRow="0" w:noHBand="0" w:noVBand="1" w:val="04A0"/>
      </w:tblPr>
      <w:tblGrid>
        <w:gridCol w:w="1944"/>
        <w:gridCol w:w="3312"/>
        <w:gridCol w:w="3960"/>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Risk</w:t>
            </w:r>
          </w:p>
        </w:tc>
        <w:tc>
          <w:tcPr>
            <w:tcW w:type="dxa" w:w="331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Current control</w:t>
            </w:r>
          </w:p>
        </w:tc>
        <w:tc>
          <w:tcPr>
            <w:tcW w:type="dxa" w:w="396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Remaining limit</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errors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Version checks, retrieved evidence and source IDs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independent HR approval; cited answers can still be misleading.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Unwanted action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Conservative routing and unsubmitted drafts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authenticated production confirmation or HR connector.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Invented personal fields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Explicit extraction, nulls and format checks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Narrow input patterns; no guided collection of missing fields.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Prompt injection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Instruction boundary and blocked patterns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exhaustive; no penetration test or hostile-document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Sensitive information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Fictional data and visible input warning</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Questions and excerpts are sent to the selected API provider; no comprehensive redaction.</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Provider failure</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Visible API errors and local fallback</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outage, concurrency or sustained-load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Automation bias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notices and explicit limits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pPr/>
      <w:r>
        <w:t>The server is loopback only. Production requires authentication, access controls, retention rules, monitoring and explicit confirmation before any submission connector. HR retains policy interpretation and employment decisions.</w:t>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pPr>
        <w:pStyle w:val="Heading2"/>
      </w:pPr>
      <w:r>
        <w:t>Deliverable and evidence map</w:t>
      </w:r>
    </w:p>
    <w:tbl>
      <w:tblPr>
        <w:tblW w:type="auto" w:w="0"/>
        <w:tblLayout w:type="fixed"/>
        <w:tblLook w:firstColumn="1" w:firstRow="1" w:lastColumn="0" w:lastRow="0" w:noHBand="0" w:noVBand="1" w:val="04A0"/>
      </w:tblPr>
      <w:tblGrid>
        <w:gridCol w:w="2376"/>
        <w:gridCol w:w="6840"/>
      </w:tblGrid>
      <w:tr>
        <w:trPr>
          <w:tblHeader/>
        </w:trPr>
        <w:tc>
          <w:tcPr>
            <w:tcW w:type="dxa" w:w="237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Item</w:t>
            </w:r>
          </w:p>
        </w:tc>
        <w:tc>
          <w:tcPr>
            <w:tcW w:type="dxa" w:w="684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Location or status</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Current report</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docs/Final_Report.docx; the single current report in this package.</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Live results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results/openrouter.json and openrouter_before_prompt_v2.json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Baseline and cost evidence</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results/comparison.json, challenge.json and report_cost_summary.json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Code and tests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src/hrask.py, evaluate.py, server.py, policies/ and tests/; GitHub publication not verified.</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English demonstration</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docs/HR_Ask_English_Demo.mp4; actual application screenshots with synthetic English narration and subtitles; updated assessment segment.</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Self appraisal</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pPr/>
      <w:r>
        <w:t>[4] PE6201 Class 5 Capsule 2, What does it actually cost, supplied course material. Used for the cost-to-serve method: per-task variable cost, expected human fallback and fixed maintenance.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0" w:noVBand="1" w:val="04A0"/>
      </w:tblPr>
      <w:tblGrid>
        <w:gridCol w:w="2952"/>
        <w:gridCol w:w="1584"/>
        <w:gridCol w:w="4680"/>
      </w:tblGrid>
      <w:tr>
        <w:trPr>
          <w:tblHeader/>
        </w:trPr>
        <w:tc>
          <w:tcPr>
            <w:tcW w:type="dxa" w:w="295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Separate measure</w:t>
            </w:r>
          </w:p>
        </w:tc>
        <w:tc>
          <w:tcPr>
            <w:tcW w:type="dxa" w:w="158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Result</w:t>
            </w:r>
          </w:p>
        </w:tc>
        <w:tc>
          <w:tcPr>
            <w:tcW w:type="dxa" w:w="468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Scope</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Answer-quality review</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22/25 (88%)</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AI-assisted retrospective review; human spot check pending</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Ticket structural pass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8/8 (100%)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Valid JSON, five fields and correct request type; first-turn completion is separately 5/8</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Known development cases; model and local gate combined</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Escalation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3/30 (10%)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T28, T29, T30; no API errors</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Clarification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2/30 (6.67%)</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T11, T19; separate from escalation</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Informal diagnostics</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7/12</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Student and independent HR verification remain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t>Ticket structural pass rate is 8/8 for valid JSON, five fields and correct request type. First-turn complete tickets are 5/8. Policy answer quality is 22/25 in an AI-assisted retrospective review, with human spot checking still pending.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