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72369">
      <w:pPr>
        <w:spacing w:after="20"/>
      </w:pPr>
      <w:r>
        <w:rPr>
          <w:b/>
          <w:bCs/>
          <w:color w:val="2E5496"/>
          <w:sz w:val="16"/>
          <w:szCs w:val="16"/>
        </w:rPr>
        <w:t>END-OF-COURSE PROJECT · MILESTONE 1</w:t>
      </w:r>
    </w:p>
    <w:p w14:paraId="5A165154">
      <w:pPr>
        <w:spacing w:after="26"/>
      </w:pPr>
      <w:r>
        <w:rPr>
          <w:b/>
          <w:bCs/>
          <w:color w:val="1F3864"/>
          <w:sz w:val="34"/>
          <w:szCs w:val="34"/>
        </w:rPr>
        <w:t>Project Problem Statement</w:t>
      </w:r>
    </w:p>
    <w:p w14:paraId="253AE9B8">
      <w:pPr>
        <w:pBdr>
          <w:bottom w:val="single" w:color="1F3864" w:sz="10" w:space="0"/>
        </w:pBdr>
        <w:spacing w:after="80"/>
        <w:rPr>
          <w:i/>
          <w:iCs/>
          <w:color w:val="595959"/>
          <w:sz w:val="17"/>
          <w:szCs w:val="17"/>
        </w:rPr>
      </w:pPr>
      <w:r>
        <w:rPr>
          <w:i/>
          <w:iCs/>
          <w:color w:val="595959"/>
          <w:sz w:val="17"/>
          <w:szCs w:val="17"/>
        </w:rPr>
        <w:t>Submit by the end of Week 3 [23 August 23:59 hrs]· ~1</w:t>
      </w:r>
      <w:bookmarkStart w:id="0" w:name="_GoBack"/>
      <w:bookmarkEnd w:id="0"/>
      <w:r>
        <w:rPr>
          <w:i/>
          <w:iCs/>
          <w:color w:val="595959"/>
          <w:sz w:val="17"/>
          <w:szCs w:val="17"/>
        </w:rPr>
        <w:t xml:space="preserve"> page · individual · formative (not graded) — you’ll get written feedback. This seeds your End-of-Course Project (it maps to Project Rubric criteria 1 &amp; 2).</w:t>
      </w:r>
    </w:p>
    <w:p w14:paraId="60E5B9AD">
      <w:pPr>
        <w:pBdr>
          <w:bottom w:val="single" w:color="1F3864" w:sz="10" w:space="0"/>
        </w:pBdr>
        <w:spacing w:after="80"/>
        <w:rPr>
          <w:b/>
          <w:bCs/>
          <w:i/>
          <w:iCs/>
          <w:color w:val="EE0000"/>
          <w:sz w:val="17"/>
          <w:szCs w:val="17"/>
        </w:rPr>
      </w:pPr>
      <w:r>
        <w:rPr>
          <w:b/>
          <w:bCs/>
          <w:i/>
          <w:iCs/>
          <w:color w:val="EE0000"/>
          <w:sz w:val="17"/>
          <w:szCs w:val="17"/>
        </w:rPr>
        <w:t>This submission is NOT graded. However, on time non-submission counts towards incomplete End of course project.</w:t>
      </w:r>
    </w:p>
    <w:p w14:paraId="60250864">
      <w:pPr>
        <w:spacing w:after="60"/>
      </w:pPr>
      <w:r>
        <w:rPr>
          <w:b/>
          <w:bCs/>
          <w:color w:val="1F3864"/>
          <w:sz w:val="19"/>
          <w:szCs w:val="19"/>
        </w:rPr>
        <w:t xml:space="preserve">Name: </w:t>
      </w:r>
      <w:r>
        <w:rPr>
          <w:sz w:val="19"/>
          <w:szCs w:val="19"/>
        </w:rPr>
        <w:t>_____</w:t>
      </w:r>
      <w:r>
        <w:rPr>
          <w:rFonts w:hint="default"/>
          <w:sz w:val="19"/>
          <w:szCs w:val="19"/>
          <w:lang w:val="en-US"/>
        </w:rPr>
        <w:t>K</w:t>
      </w:r>
      <w:r>
        <w:rPr>
          <w:rFonts w:hint="eastAsia" w:eastAsia="宋体"/>
          <w:sz w:val="19"/>
          <w:szCs w:val="19"/>
          <w:lang w:val="en-US" w:eastAsia="zh-CN"/>
        </w:rPr>
        <w:t>ang</w:t>
      </w:r>
      <w:r>
        <w:rPr>
          <w:rFonts w:hint="default" w:eastAsia="宋体"/>
          <w:sz w:val="19"/>
          <w:szCs w:val="19"/>
          <w:lang w:val="en-US" w:eastAsia="zh-CN"/>
        </w:rPr>
        <w:t xml:space="preserve"> Xingyao</w:t>
      </w:r>
      <w:r>
        <w:rPr>
          <w:sz w:val="19"/>
          <w:szCs w:val="19"/>
        </w:rPr>
        <w:t xml:space="preserve">_____   </w:t>
      </w:r>
      <w:r>
        <w:rPr>
          <w:b/>
          <w:bCs/>
          <w:color w:val="1F3864"/>
          <w:sz w:val="19"/>
          <w:szCs w:val="19"/>
        </w:rPr>
        <w:t xml:space="preserve">Section (A / B / C): </w:t>
      </w:r>
      <w:r>
        <w:rPr>
          <w:sz w:val="19"/>
          <w:szCs w:val="19"/>
        </w:rPr>
        <w:t>___</w:t>
      </w:r>
      <w:r>
        <w:rPr>
          <w:rFonts w:hint="default"/>
          <w:sz w:val="19"/>
          <w:szCs w:val="19"/>
          <w:lang w:val="en-US"/>
        </w:rPr>
        <w:t>C</w:t>
      </w:r>
      <w:r>
        <w:rPr>
          <w:sz w:val="19"/>
          <w:szCs w:val="19"/>
        </w:rPr>
        <w:t xml:space="preserve">___     </w:t>
      </w:r>
      <w:r>
        <w:rPr>
          <w:b/>
          <w:bCs/>
          <w:color w:val="1F3864"/>
          <w:sz w:val="19"/>
          <w:szCs w:val="19"/>
        </w:rPr>
        <w:t xml:space="preserve">Date: </w:t>
      </w:r>
      <w:r>
        <w:rPr>
          <w:sz w:val="19"/>
          <w:szCs w:val="19"/>
        </w:rPr>
        <w:t>______</w:t>
      </w:r>
      <w:r>
        <w:rPr>
          <w:rFonts w:hint="eastAsia" w:eastAsia="宋体"/>
          <w:sz w:val="19"/>
          <w:szCs w:val="19"/>
          <w:lang w:val="en-US" w:eastAsia="zh-CN"/>
        </w:rPr>
        <w:t xml:space="preserve">22 </w:t>
      </w:r>
      <w:r>
        <w:rPr>
          <w:rFonts w:hint="default" w:eastAsia="宋体"/>
          <w:sz w:val="19"/>
          <w:szCs w:val="19"/>
          <w:lang w:val="en-US" w:eastAsia="zh-CN"/>
        </w:rPr>
        <w:t>August</w:t>
      </w:r>
      <w:r>
        <w:rPr>
          <w:sz w:val="19"/>
          <w:szCs w:val="19"/>
        </w:rPr>
        <w:t>____</w:t>
      </w:r>
    </w:p>
    <w:p w14:paraId="07BFC849">
      <w:pPr>
        <w:spacing w:before="170" w:after="20"/>
      </w:pPr>
      <w:r>
        <w:rPr>
          <w:b/>
          <w:bCs/>
          <w:color w:val="1F3864"/>
          <w:sz w:val="21"/>
          <w:szCs w:val="21"/>
        </w:rPr>
        <w:t>1 · Working title</w:t>
      </w:r>
    </w:p>
    <w:p w14:paraId="637357D5">
      <w:pPr>
        <w:spacing w:after="40"/>
      </w:pPr>
      <w:r>
        <w:rPr>
          <w:i/>
          <w:iCs/>
          <w:color w:val="595959"/>
          <w:sz w:val="16"/>
          <w:szCs w:val="16"/>
        </w:rPr>
        <w:t>A short, specific name for your project.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2CD5D0">
        <w:tc>
          <w:tcPr>
            <w:tcW w:w="9026" w:type="dxa"/>
            <w:shd w:val="clear" w:color="auto" w:fill="FAFBFD"/>
            <w:tcMar>
              <w:top w:w="60" w:type="dxa"/>
              <w:left w:w="120" w:type="dxa"/>
              <w:bottom w:w="60" w:type="dxa"/>
              <w:right w:w="120" w:type="dxa"/>
            </w:tcMar>
          </w:tcPr>
          <w:p w14:paraId="5AFD72E0">
            <w:pPr/>
            <w:r>
              <w:rPr>
                <w:sz w:val="19"/>
              </w:rPr>
              <w:t>HR-Ask — answers HR policy questions and drafts structured request tickets for staff</w:t>
            </w:r>
          </w:p>
        </w:tc>
      </w:tr>
    </w:tbl>
    <w:p w14:paraId="7B136F9D">
      <w:pPr>
        <w:spacing w:before="170" w:after="20"/>
      </w:pPr>
      <w:r>
        <w:rPr>
          <w:b/>
          <w:bCs/>
          <w:color w:val="1F3864"/>
          <w:sz w:val="21"/>
          <w:szCs w:val="21"/>
        </w:rPr>
        <w:t>2 · The problem, and why it matters</w:t>
      </w:r>
    </w:p>
    <w:p w14:paraId="33ADDF2F">
      <w:pPr>
        <w:spacing w:after="40"/>
      </w:pPr>
      <w:r>
        <w:rPr>
          <w:i/>
          <w:iCs/>
          <w:color w:val="595959"/>
          <w:sz w:val="16"/>
          <w:szCs w:val="16"/>
        </w:rPr>
        <w:t>Who has this problem, and why is it worth solving? 2–3 sentences. (Rubric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F5DC0F">
        <w:tc>
          <w:tcPr>
            <w:tcW w:w="9026" w:type="dxa"/>
            <w:shd w:val="clear" w:color="auto" w:fill="FAFBFD"/>
            <w:tcMar>
              <w:top w:w="60" w:type="dxa"/>
              <w:left w:w="120" w:type="dxa"/>
              <w:bottom w:w="60" w:type="dxa"/>
              <w:right w:w="120" w:type="dxa"/>
            </w:tcMar>
          </w:tcPr>
          <w:p w14:paraId="76B83ABC">
            <w:pPr/>
            <w:r>
              <w:rPr>
                <w:sz w:val="19"/>
              </w:rPr>
              <w:t>The HR team of a medium-sized enterprise spends approximately 8 to 10 hours per week, or around 20 to 25% of working time, repeatedly answering employee questions about leave, attendance, and social security. When employees initiate an HR process, they also need to complete 5 to 8 fields manually, taking about 8 to 10 minutes per request, and incomplete or inconsistent entries can create additional rework.</w:t>
            </w:r>
          </w:p>
        </w:tc>
      </w:tr>
    </w:tbl>
    <w:p w14:paraId="6507E2AB">
      <w:pPr>
        <w:spacing w:before="170" w:after="20"/>
      </w:pPr>
      <w:r>
        <w:rPr>
          <w:b/>
          <w:bCs/>
          <w:color w:val="1F3864"/>
          <w:sz w:val="21"/>
          <w:szCs w:val="21"/>
        </w:rPr>
        <w:t>3 · Who it’s for, and the domain</w:t>
      </w:r>
    </w:p>
    <w:p w14:paraId="7A8FB54D">
      <w:pPr>
        <w:spacing w:after="40"/>
      </w:pPr>
      <w:r>
        <w:rPr>
          <w:i/>
          <w:iCs/>
          <w:color w:val="595959"/>
          <w:sz w:val="16"/>
          <w:szCs w:val="16"/>
        </w:rPr>
        <w:t>Your user / audience and the industry (e.g. banking, healthcare, retail, your employer).</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FF9995">
        <w:trPr>
          <w:trHeight w:val="1149" w:hRule="atLeast"/>
        </w:trPr>
        <w:tc>
          <w:tcPr>
            <w:tcW w:w="9026" w:type="dxa"/>
            <w:shd w:val="clear" w:color="auto" w:fill="FAFBFD"/>
            <w:tcMar>
              <w:top w:w="60" w:type="dxa"/>
              <w:left w:w="120" w:type="dxa"/>
              <w:bottom w:w="60" w:type="dxa"/>
              <w:right w:w="120" w:type="dxa"/>
            </w:tcMar>
          </w:tcPr>
          <w:p w14:paraId="6C4AF863">
            <w:pPr>
              <w:rPr>
                <w:rFonts w:hint="default" w:ascii="Times New Roman Regular" w:hAnsi="Times New Roman Regular" w:cs="Times New Roman Regular"/>
              </w:rPr>
            </w:pPr>
            <w:r>
              <w:rPr>
                <w:sz w:val="19"/>
              </w:rPr>
              <w:t>The main user is Lin Wei, 28 years old, a production team leader in the manufacturing industry. At 10 p.m., he may need to check whether he can take leave the next day and, if appropriate, prepare a request from his mobile phone. He needs a clear policy answer quickly without searching through a 40-page handbook or deciding which HR colleague to contact.</w:t>
            </w:r>
            <w:r>
              <w:rPr>
                <w:sz w:val="19"/>
              </w:rPr>
              <w:br/>
            </w:r>
            <w:r>
              <w:rPr>
                <w:sz w:val="19"/>
              </w:rPr>
              <w:t>Secondary user: an HR administrative specialist who wants request drafts in a consistent format with the required fields.</w:t>
            </w:r>
            <w:r>
              <w:rPr>
                <w:sz w:val="19"/>
              </w:rPr>
              <w:br/>
            </w:r>
            <w:r>
              <w:rPr>
                <w:sz w:val="19"/>
              </w:rPr>
              <w:t>Domain: internal human resource management in a manufacturing enterprise.</w:t>
            </w:r>
          </w:p>
        </w:tc>
      </w:tr>
    </w:tbl>
    <w:p w14:paraId="71B3BD92">
      <w:pPr>
        <w:spacing w:before="170" w:after="20"/>
      </w:pPr>
      <w:r>
        <w:rPr>
          <w:b/>
          <w:bCs/>
          <w:color w:val="1F3864"/>
          <w:sz w:val="21"/>
          <w:szCs w:val="21"/>
        </w:rPr>
        <w:t xml:space="preserve">4 · Why AI — and which kind? Remember, from class 1 workshops, no one size fits all </w:t>
      </w:r>
    </w:p>
    <w:p w14:paraId="177C7F14">
      <w:pPr>
        <w:spacing w:after="40"/>
      </w:pPr>
      <w:r>
        <w:rPr>
          <w:i/>
          <w:iCs/>
          <w:color w:val="595959"/>
          <w:sz w:val="16"/>
          <w:szCs w:val="16"/>
        </w:rPr>
        <w:t>Is AI the right tool here (vs a rule or lookup)? If yes, which type — narrow ML, a foundation model, RAG, an agent? (ILO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C2C356">
        <w:tc>
          <w:tcPr>
            <w:tcW w:w="9026" w:type="dxa"/>
            <w:shd w:val="clear" w:color="auto" w:fill="FAFBFD"/>
            <w:tcMar>
              <w:top w:w="60" w:type="dxa"/>
              <w:left w:w="120" w:type="dxa"/>
              <w:bottom w:w="60" w:type="dxa"/>
              <w:right w:w="120" w:type="dxa"/>
            </w:tcMar>
          </w:tcPr>
          <w:p w14:paraId="793745BB">
            <w:pPr>
              <w:rPr>
                <w:rFonts w:hint="default" w:ascii="Times New Roman Regular" w:hAnsi="Times New Roman Regular" w:eastAsia="宋体" w:cs="Times New Roman Regular"/>
                <w:lang w:val="en-US" w:eastAsia="zh-CN"/>
              </w:rPr>
            </w:pPr>
            <w:r>
              <w:rPr>
                <w:sz w:val="19"/>
              </w:rPr>
              <w:t>Non-AI baseline: a keyword/regular-expression rule engine that matches predefined terms and returns fixed text. This is inexpensive and predictable for standard wording, but policy updates require maintenance: approximately 15 to 20 regex rules may need to be reviewed or rewritten each quarter. It also struggles when employees use informal wording, abbreviations, misspellings, or omit the formal policy term.</w:t>
            </w:r>
            <w:r>
              <w:rPr>
                <w:sz w:val="19"/>
              </w:rPr>
              <w:br/>
            </w:r>
            <w:r>
              <w:rPr>
                <w:sz w:val="19"/>
              </w:rPr>
            </w:r>
            <w:r>
              <w:rPr>
                <w:sz w:val="19"/>
              </w:rPr>
              <w:br/>
            </w:r>
            <w:r>
              <w:rPr>
                <w:sz w:val="19"/>
              </w:rPr>
              <w:t>Selected solution: RAG + a hosted large language model API. RAG retrieves relevant passages from the HR handbook so policy answers are grounded in the simulated company documents, while the LLM handles natural-language interpretation and distinguishes consultation from an action request. The trade-off is higher flexibility and lower rule-maintenance effort in exchange for API cost, retrieval errors, and less deterministic model behaviour.</w:t>
            </w:r>
          </w:p>
        </w:tc>
      </w:tr>
    </w:tbl>
    <w:p w14:paraId="21CC8758">
      <w:pPr>
        <w:spacing w:before="170" w:after="20"/>
      </w:pPr>
      <w:r>
        <w:rPr>
          <w:b/>
          <w:bCs/>
          <w:color w:val="1F3864"/>
          <w:sz w:val="21"/>
          <w:szCs w:val="21"/>
        </w:rPr>
        <w:t>5 · Proposed approach — build vs buy or both!</w:t>
      </w:r>
    </w:p>
    <w:p w14:paraId="3E711149">
      <w:pPr>
        <w:spacing w:after="40"/>
      </w:pPr>
      <w:r>
        <w:rPr>
          <w:i/>
          <w:iCs/>
          <w:color w:val="595959"/>
          <w:sz w:val="16"/>
          <w:szCs w:val="16"/>
        </w:rPr>
        <w:t>What will you build (low-code and/or code)? Which layers will you own vs rent, and why? (Rubric 2, ILO 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BDE0A5A">
        <w:trPr>
          <w:trHeight w:val="90" w:hRule="atLeast"/>
        </w:trPr>
        <w:tc>
          <w:tcPr>
            <w:tcW w:w="9026" w:type="dxa"/>
            <w:shd w:val="clear" w:color="auto" w:fill="FAFBFD"/>
            <w:tcMar>
              <w:top w:w="60" w:type="dxa"/>
              <w:left w:w="120" w:type="dxa"/>
              <w:bottom w:w="60" w:type="dxa"/>
              <w:right w:w="120" w:type="dxa"/>
            </w:tcMar>
          </w:tcPr>
          <w:p>
            <w:r>
              <w:t>I built the application logic and evaluation code while using an existing hosted model API rather than training a foundation model from scratch. The OpenRouter API model mode uses openai/gpt-4o-mini for model calls. The retrieval pipeline reads versioned Markdown policy files and uses document chunks, Chinese bigrams, English tokens, aliases, TF-IDF, and cosine similarity in Python. The final version runs as a local browser application: run python3 server.py and open http://127.0.0.1:8765. It demonstrates the core AI workflow with an English interface rather than a production deployment.</w:t>
              <w:br/>
              <w:br/>
              <w:t>The build-versus-buy trade-off is mixed: I own the HR documents, retrieval workflow, prompts, intent logic, ticket schema, and evaluation, while renting the foundation model through an API. Model cost is tracked as estimated cost per query using actual token usage and applicable API pricing at evaluation time.</w:t>
            </w:r>
          </w:p>
        </w:tc>
      </w:tr>
    </w:tbl>
    <w:p w14:paraId="203FF40A">
      <w:pPr>
        <w:spacing w:before="170" w:after="20"/>
      </w:pPr>
      <w:r>
        <w:rPr>
          <w:b/>
          <w:bCs/>
          <w:color w:val="1F3864"/>
          <w:sz w:val="21"/>
          <w:szCs w:val="21"/>
        </w:rPr>
        <w:t xml:space="preserve">6 · Data – this packs the intelligence ! </w:t>
      </w:r>
    </w:p>
    <w:p w14:paraId="5081F933">
      <w:pPr>
        <w:spacing w:after="40"/>
      </w:pPr>
      <w:r>
        <w:rPr>
          <w:i/>
          <w:iCs/>
          <w:color w:val="595959"/>
          <w:sz w:val="16"/>
          <w:szCs w:val="16"/>
        </w:rPr>
        <w:t>What data do you need, where from, and any access / privacy / residency constraints?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7ADB68">
        <w:tc>
          <w:tcPr>
            <w:tcW w:w="9026" w:type="dxa"/>
            <w:shd w:val="clear" w:color="auto" w:fill="FAFBFD"/>
            <w:tcMar>
              <w:top w:w="60" w:type="dxa"/>
              <w:left w:w="120" w:type="dxa"/>
              <w:bottom w:w="60" w:type="dxa"/>
              <w:right w:w="120" w:type="dxa"/>
            </w:tcMar>
          </w:tcPr>
          <w:p w14:paraId="7E4F3581">
            <w:pPr>
              <w:rPr>
                <w:rFonts w:hint="default" w:ascii="Times New Roman Regular" w:hAnsi="Times New Roman Regular" w:cs="Times New Roman Regular"/>
              </w:rPr>
            </w:pPr>
            <w:r>
              <w:rPr>
                <w:sz w:val="19"/>
              </w:rPr>
              <w:t>The first category is the knowledge base: five fictional HR documents covering the employee handbook, leave procedures, attendance, social security, and HR process rules, approximately 30 to 50 pages in total. These documents are simulated and contain no real employee personal data.</w:t>
            </w:r>
            <w:r>
              <w:rPr>
                <w:sz w:val="19"/>
              </w:rPr>
              <w:br/>
            </w:r>
            <w:r>
              <w:rPr>
                <w:sz w:val="19"/>
              </w:rPr>
            </w:r>
            <w:r>
              <w:rPr>
                <w:sz w:val="19"/>
              </w:rPr>
              <w:br/>
            </w:r>
            <w:r>
              <w:rPr>
                <w:sz w:val="19"/>
              </w:rPr>
              <w:t>The second category is a set of 30 test cases covering leave, attendance, and social security. Each case will be labelled as either a policy consultation or an action request that requires a ticket draft. To avoid making retrieval artificially easy, the test questions will not simply repeat the handbook's wording. They will imitate how the target user, Lin Wei, might actually text at 10 p.m.: short sentences, informal wording, abbreviations or misspellings, and questions that may omit the formal policy term. Some cases will also be ambiguous or intentionally incomplete. Expected answers, relevant source passages, expected intent, and expected ticket fields will be defined before testing.</w:t>
            </w:r>
          </w:p>
        </w:tc>
      </w:tr>
    </w:tbl>
    <w:p w14:paraId="713FF986">
      <w:pPr>
        <w:spacing w:before="170" w:after="20"/>
      </w:pPr>
      <w:r>
        <w:rPr>
          <w:b/>
          <w:bCs/>
          <w:color w:val="1F3864"/>
          <w:sz w:val="21"/>
          <w:szCs w:val="21"/>
        </w:rPr>
        <w:t>7 · Success metric &amp; how you’ll evaluate it</w:t>
      </w:r>
    </w:p>
    <w:p w14:paraId="3E54743A">
      <w:pPr>
        <w:spacing w:after="40"/>
      </w:pPr>
      <w:r>
        <w:rPr>
          <w:i/>
          <w:iCs/>
          <w:color w:val="595959"/>
          <w:sz w:val="16"/>
          <w:szCs w:val="16"/>
        </w:rPr>
        <w:t>One metric that ties to real value, and one check (an eval) you could actually run. (evals thread)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ABF26B">
        <w:tc>
          <w:tcPr>
            <w:tcW w:w="9026" w:type="dxa"/>
            <w:shd w:val="clear" w:color="auto" w:fill="FAFBFD"/>
            <w:tcMar>
              <w:top w:w="60" w:type="dxa"/>
              <w:left w:w="120" w:type="dxa"/>
              <w:bottom w:w="60" w:type="dxa"/>
              <w:right w:w="120" w:type="dxa"/>
            </w:tcMar>
          </w:tcPr>
          <w:p w14:paraId="43A27A27">
            <w:pPr>
              <w:rPr>
                <w:rFonts w:hint="default" w:ascii="Times New Roman Regular" w:hAnsi="Times New Roman Regular" w:cs="Times New Roman Regular"/>
              </w:rPr>
            </w:pPr>
            <w:r>
              <w:rPr>
                <w:sz w:val="19"/>
              </w:rPr>
              <w:t>Evaluation will score the two core functions separately rather than combining them into one pass rate.</w:t>
            </w:r>
            <w:r>
              <w:rPr>
                <w:sz w:val="19"/>
              </w:rPr>
              <w:br/>
            </w:r>
            <w:r>
              <w:rPr>
                <w:sz w:val="19"/>
              </w:rPr>
            </w:r>
            <w:r>
              <w:rPr>
                <w:sz w:val="19"/>
              </w:rPr>
              <w:br/>
            </w:r>
            <w:r>
              <w:rPr>
                <w:sz w:val="19"/>
              </w:rPr>
              <w:t>(1) Policy-answer performance: each relevant test case will be checked against a predefined expected answer and gold source passage. A policy answer passes when it retrieves the relevant policy evidence, gives the correct policy conclusion, and does not introduce unsupported policy claims. Policy-answer pass rate will be reported separately.</w:t>
            </w:r>
            <w:r>
              <w:rPr>
                <w:sz w:val="19"/>
              </w:rPr>
              <w:br/>
            </w:r>
            <w:r>
              <w:rPr>
                <w:sz w:val="19"/>
              </w:rPr>
            </w:r>
            <w:r>
              <w:rPr>
                <w:sz w:val="19"/>
              </w:rPr>
              <w:br/>
            </w:r>
            <w:r>
              <w:rPr>
                <w:sz w:val="19"/>
              </w:rPr>
              <w:t>(2) Ticket-generation performance: for action-request cases, a ticket passes when the output is valid JSON, contains all five required fields in the required format, uses the correct ticket type, and correctly reflects the employee's intent and information provided. Ticket pass rate will be reported separately, with an initial target above 85%.</w:t>
            </w:r>
            <w:r>
              <w:rPr>
                <w:sz w:val="19"/>
              </w:rPr>
              <w:br/>
            </w:r>
            <w:r>
              <w:rPr>
                <w:sz w:val="19"/>
              </w:rPr>
            </w:r>
            <w:r>
              <w:rPr>
                <w:sz w:val="19"/>
              </w:rPr>
              <w:br/>
            </w:r>
            <w:r>
              <w:rPr>
                <w:sz w:val="19"/>
              </w:rPr>
              <w:t>Across all 30 cases, intent-classification accuracy, policy-answer pass rate, ticket pass rate, and rejection/escalation rate will be calculated. If retrieval confidence is below the selected threshold, the system should avoid forcing a policy answer and instead direct the employee to HR. The threshold will be validated during testing rather than treated as proof of correctness by itself.</w:t>
            </w:r>
          </w:p>
        </w:tc>
      </w:tr>
    </w:tbl>
    <w:p w14:paraId="687FACA3">
      <w:pPr>
        <w:spacing w:before="170" w:after="20"/>
      </w:pPr>
      <w:r>
        <w:rPr>
          <w:b/>
          <w:bCs/>
          <w:color w:val="1F3864"/>
          <w:sz w:val="21"/>
          <w:szCs w:val="21"/>
        </w:rPr>
        <w:t>8 · Risks, limitations &amp; responsible use</w:t>
      </w:r>
    </w:p>
    <w:p w14:paraId="050EEB25">
      <w:pPr>
        <w:spacing w:after="40"/>
      </w:pPr>
      <w:r>
        <w:rPr>
          <w:i/>
          <w:iCs/>
          <w:color w:val="595959"/>
          <w:sz w:val="16"/>
          <w:szCs w:val="16"/>
        </w:rPr>
        <w:t>What could go wrong (incl. silent failure), and who might it affect?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DF975A">
        <w:trPr>
          <w:trHeight w:val="1600" w:hRule="atLeast"/>
        </w:trPr>
        <w:tc>
          <w:tcPr>
            <w:tcW w:w="9026" w:type="dxa"/>
            <w:shd w:val="clear" w:color="auto" w:fill="FAFBFD"/>
            <w:tcMar>
              <w:top w:w="60" w:type="dxa"/>
              <w:left w:w="120" w:type="dxa"/>
              <w:bottom w:w="60" w:type="dxa"/>
              <w:right w:w="120" w:type="dxa"/>
            </w:tcMar>
          </w:tcPr>
          <w:p w14:paraId="72935C2B">
            <w:pPr>
              <w:rPr>
                <w:rFonts w:hint="default" w:ascii="Times New Roman Regular" w:hAnsi="Times New Roman Regular" w:cs="Times New Roman Regular"/>
              </w:rPr>
            </w:pPr>
            <w:r>
              <w:rPr>
                <w:sz w:val="19"/>
              </w:rPr>
              <w:t>The first risk is retrieval of an outdated or irrelevant policy passage, followed by a confident but incorrect answer. To reduce this risk, answers should be grounded in retrieved evidence and low-confidence cases should be escalated to HR.</w:t>
            </w:r>
            <w:r>
              <w:rPr>
                <w:sz w:val="19"/>
              </w:rPr>
              <w:br/>
            </w:r>
            <w:r>
              <w:rPr>
                <w:sz w:val="19"/>
              </w:rPr>
            </w:r>
            <w:r>
              <w:rPr>
                <w:sz w:val="19"/>
              </w:rPr>
              <w:br/>
            </w:r>
            <w:r>
              <w:rPr>
                <w:sz w:val="19"/>
              </w:rPr>
              <w:t>The second risk is intent misclassification, such as interpreting a policy question as an action request and generating an unnecessary or incorrect ticket draft. The system therefore creates a draft only; it does not submit or approve HR actions automatically.</w:t>
            </w:r>
            <w:r>
              <w:rPr>
                <w:sz w:val="19"/>
              </w:rPr>
              <w:br/>
            </w:r>
            <w:r>
              <w:rPr>
                <w:sz w:val="19"/>
              </w:rPr>
            </w:r>
            <w:r>
              <w:rPr>
                <w:sz w:val="19"/>
              </w:rPr>
              <w:br/>
            </w:r>
            <w:r>
              <w:rPr>
                <w:sz w:val="19"/>
              </w:rPr>
              <w:t>The third risk is over-reliance. Employees may treat an AI response as a final HR decision, especially for leave, pay, or other employment-related matters. The prototype should clearly state that it provides policy guidance and draft requests, while authoritative decisions remain with HR and the company's formal systems.</w:t>
            </w:r>
          </w:p>
        </w:tc>
      </w:tr>
    </w:tbl>
    <w:p w14:paraId="44BE459D">
      <w:pPr>
        <w:spacing w:before="170" w:after="20"/>
      </w:pPr>
      <w:r>
        <w:rPr>
          <w:b/>
          <w:bCs/>
          <w:color w:val="1F3864"/>
          <w:sz w:val="21"/>
          <w:szCs w:val="21"/>
        </w:rPr>
        <w:t>9 · Smallest first version (optional)</w:t>
      </w:r>
    </w:p>
    <w:p w14:paraId="528183C8">
      <w:pPr>
        <w:spacing w:after="40"/>
      </w:pPr>
      <w:r>
        <w:rPr>
          <w:i/>
          <w:iCs/>
          <w:color w:val="595959"/>
          <w:sz w:val="16"/>
          <w:szCs w:val="16"/>
        </w:rPr>
        <w:t>The tiniest end-to-end slice you could build first.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8A5571">
        <w:tc>
          <w:tcPr>
            <w:tcW w:w="9026" w:type="dxa"/>
            <w:shd w:val="clear" w:color="auto" w:fill="FAFBFD"/>
            <w:tcMar>
              <w:top w:w="60" w:type="dxa"/>
              <w:left w:w="120" w:type="dxa"/>
              <w:bottom w:w="60" w:type="dxa"/>
              <w:right w:w="120" w:type="dxa"/>
            </w:tcMar>
          </w:tcPr>
          <w:p w14:paraId="18181B2A">
            <w:pPr>
              <w:rPr>
                <w:rFonts w:hint="default" w:ascii="Times New Roman Regular" w:hAnsi="Times New Roman Regular" w:cs="Times New Roman Regular"/>
              </w:rPr>
            </w:pPr>
            <w:r>
              <w:rPr>
                <w:sz w:val="19"/>
              </w:rPr>
              <w:t>Smallest first version: leave-related questions and requests. When an employee writes, for example, “need leave tmr, family thing”, the system retrieves the relevant leave-policy passages and uses the LLM to classify the message as consultation or action request. It then returns a grounded policy answer. If it is an action request, the system additionally produces a five-field ticket draft in JSON format, filling only information supported by the user's message and marking missing information as “To be supplemented”. The prototype stops at drafting; it does not submit or approve the request.</w:t>
            </w:r>
          </w:p>
        </w:tc>
      </w:tr>
    </w:tbl>
    <w:p w14:paraId="6CFC77D6">
      <w:pPr>
        <w:spacing w:before="170" w:after="40"/>
      </w:pPr>
      <w:r>
        <w:rPr>
          <w:b/>
          <w:bCs/>
          <w:color w:val="1F3864"/>
        </w:rPr>
        <w:t>How this is used</w:t>
      </w:r>
    </w:p>
    <w:p w14:paraId="2C8E37E4">
      <w:pPr>
        <w:spacing w:after="40"/>
      </w:pPr>
      <w:r>
        <w:rPr>
          <w:sz w:val="18"/>
          <w:szCs w:val="18"/>
        </w:rPr>
        <w:t>This milestone is not graded — it’s to give you fast, written feedback while there’s still time to change direction. A strong problem statement makes criteria 1 (problem &amp; significance) and 2 (business &amp; technical trade-offs) and helps you start on a strong footing. Bring questions during class breakouts or email the course account or WA text me</w:t>
      </w:r>
    </w:p>
    <w:p w14:paraId="6702F5ED">
      <w:pPr>
        <w:pBdr>
          <w:bottom w:val="single" w:color="D51A47" w:sz="8" w:space="0"/>
        </w:pBdr>
        <w:spacing w:before="200"/>
      </w:pPr>
    </w:p>
    <w:p w14:paraId="77A1659A">
      <w:pPr>
        <w:spacing w:before="120" w:after="6"/>
      </w:pPr>
      <w:r>
        <w:rPr>
          <w:b/>
          <w:bCs/>
          <w:color w:val="D51A47"/>
          <w:sz w:val="16"/>
          <w:szCs w:val="16"/>
        </w:rPr>
        <w:t>INSTRUCTOR FEEDBACK</w:t>
      </w:r>
    </w:p>
    <w:p w14:paraId="05C3C35A">
      <w:pPr>
        <w:spacing w:after="40"/>
      </w:pPr>
      <w:r>
        <w:rPr>
          <w:i/>
          <w:iCs/>
          <w:color w:val="595959"/>
          <w:sz w:val="16"/>
          <w:szCs w:val="16"/>
        </w:rPr>
        <w:t>For marker use — formative comments on the problem &amp; significance (criterion 1) and the business/technical trade-offs (criterion 2), plus one thing to strengthen before the final project.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729D86">
        <w:tc>
          <w:tcPr>
            <w:tcW w:w="9026" w:type="dxa"/>
            <w:shd w:val="clear" w:color="auto" w:fill="FAFBFD"/>
            <w:tcMar>
              <w:top w:w="60" w:type="dxa"/>
              <w:left w:w="120" w:type="dxa"/>
              <w:bottom w:w="60" w:type="dxa"/>
              <w:right w:w="120" w:type="dxa"/>
            </w:tcMar>
          </w:tcPr>
          <w:p w14:paraId="422A17A8"/>
          <w:p w14:paraId="63DA5834"/>
          <w:p w14:paraId="4A76AA5E"/>
          <w:p w14:paraId="4572AC11"/>
          <w:p w14:paraId="5B3FF2CC"/>
          <w:p w14:paraId="3F526828"/>
        </w:tc>
      </w:tr>
    </w:tbl>
    <w:p w14:paraId="6311F319"/>
    <w:sectPr>
      <w:headerReference r:id="rId3" w:type="default"/>
      <w:footerReference r:id="rId4" w:type="default"/>
      <w:pgSz w:w="11906" w:h="16838"/>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4CDC6">
    <w:pPr>
      <w:pBdr>
        <w:top w:val="single" w:color="BFC9DA" w:sz="6" w:space="0"/>
      </w:pBdr>
      <w:spacing w:before="40"/>
    </w:pPr>
    <w:r>
      <w:rPr>
        <w:color w:val="595959"/>
        <w:sz w:val="15"/>
        <w:szCs w:val="15"/>
      </w:rPr>
      <w:t>Nanyang Technological University · MSc Enterprise AI · T1 AY2026–27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8C1A">
    <w:pPr>
      <w:pBdr>
        <w:bottom w:val="single" w:color="BFC9DA" w:sz="6" w:space="0"/>
      </w:pBdr>
      <w:spacing w:after="60"/>
    </w:pPr>
    <w:r>
      <w:rPr>
        <w:b/>
        <w:bCs/>
        <w:color w:val="1F3864"/>
        <w:sz w:val="15"/>
        <w:szCs w:val="15"/>
      </w:rPr>
      <w:t>PE6201 · EMERGING AI TECHNOLOGIES</w:t>
    </w:r>
    <w:r>
      <w:ptab w:relativeTo="margin" w:alignment="right" w:leader="none"/>
    </w:r>
    <w:r>
      <w:rPr>
        <w:color w:val="595959"/>
        <w:sz w:val="15"/>
        <w:szCs w:val="15"/>
      </w:rPr>
      <w:t>Project · Problem Statement (Wk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A47"/>
    <w:rsid w:val="0012333F"/>
    <w:rsid w:val="0014668C"/>
    <w:rsid w:val="001B223B"/>
    <w:rsid w:val="002E737D"/>
    <w:rsid w:val="00672AE8"/>
    <w:rsid w:val="00932A47"/>
    <w:rsid w:val="00A332D7"/>
    <w:rsid w:val="00DD4069"/>
    <w:rsid w:val="0BFE0B36"/>
    <w:rsid w:val="3B7DDAA7"/>
    <w:rsid w:val="3EECEA6B"/>
    <w:rsid w:val="3FBE4330"/>
    <w:rsid w:val="4DF1FA5A"/>
    <w:rsid w:val="4EB72474"/>
    <w:rsid w:val="4FCD64AF"/>
    <w:rsid w:val="57778AC8"/>
    <w:rsid w:val="5CFFF4EA"/>
    <w:rsid w:val="5FDFDED0"/>
    <w:rsid w:val="5FF32AAB"/>
    <w:rsid w:val="5FFA5662"/>
    <w:rsid w:val="67878994"/>
    <w:rsid w:val="6EF3FB99"/>
    <w:rsid w:val="6EF70352"/>
    <w:rsid w:val="6FEF6BA6"/>
    <w:rsid w:val="736FE018"/>
    <w:rsid w:val="767B2F26"/>
    <w:rsid w:val="77C7BC48"/>
    <w:rsid w:val="77DF68EA"/>
    <w:rsid w:val="7CFF8C8F"/>
    <w:rsid w:val="7D173C5E"/>
    <w:rsid w:val="7DD5D368"/>
    <w:rsid w:val="7ECFDB63"/>
    <w:rsid w:val="7F5BAC0B"/>
    <w:rsid w:val="7F7DBDBA"/>
    <w:rsid w:val="9DFF4DBC"/>
    <w:rsid w:val="9F77BFE2"/>
    <w:rsid w:val="ADF33CC8"/>
    <w:rsid w:val="BB7D4026"/>
    <w:rsid w:val="BE9B67C1"/>
    <w:rsid w:val="BF7D3062"/>
    <w:rsid w:val="D77B00B9"/>
    <w:rsid w:val="DAED5543"/>
    <w:rsid w:val="DDF76027"/>
    <w:rsid w:val="DF9AE68F"/>
    <w:rsid w:val="DFEC023C"/>
    <w:rsid w:val="EAE3F9BD"/>
    <w:rsid w:val="EBB38E59"/>
    <w:rsid w:val="EFFD9CC2"/>
    <w:rsid w:val="F27601DE"/>
    <w:rsid w:val="F6FE73E1"/>
    <w:rsid w:val="FBFF2098"/>
    <w:rsid w:val="FCBDF60B"/>
    <w:rsid w:val="FE1574CA"/>
    <w:rsid w:val="FE7DD7F4"/>
    <w:rsid w:val="FEFB6623"/>
    <w:rsid w:val="FF5F714D"/>
    <w:rsid w:val="FFCF875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lang w:val="en-SG" w:eastAsia="en-GB" w:bidi="ar-SA"/>
    </w:rPr>
  </w:style>
  <w:style w:type="paragraph" w:styleId="2">
    <w:name w:val="heading 1"/>
    <w:qFormat/>
    <w:uiPriority w:val="9"/>
    <w:pPr>
      <w:outlineLvl w:val="0"/>
    </w:pPr>
    <w:rPr>
      <w:rFonts w:ascii="Calibri" w:hAnsi="Calibri" w:eastAsia="Calibri" w:cs="Calibri"/>
      <w:color w:val="2E74B5"/>
      <w:sz w:val="32"/>
      <w:szCs w:val="32"/>
      <w:lang w:val="en-SG" w:eastAsia="en-GB"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SG" w:eastAsia="en-GB"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SG" w:eastAsia="en-GB" w:bidi="ar-SA"/>
    </w:rPr>
  </w:style>
  <w:style w:type="paragraph" w:styleId="5">
    <w:name w:val="heading 4"/>
    <w:semiHidden/>
    <w:unhideWhenUsed/>
    <w:qFormat/>
    <w:uiPriority w:val="9"/>
    <w:pPr>
      <w:outlineLvl w:val="3"/>
    </w:pPr>
    <w:rPr>
      <w:rFonts w:ascii="Calibri" w:hAnsi="Calibri" w:eastAsia="Calibri" w:cs="Calibri"/>
      <w:i/>
      <w:iCs/>
      <w:color w:val="2E74B5"/>
      <w:lang w:val="en-SG" w:eastAsia="en-GB" w:bidi="ar-SA"/>
    </w:rPr>
  </w:style>
  <w:style w:type="paragraph" w:styleId="6">
    <w:name w:val="heading 5"/>
    <w:semiHidden/>
    <w:unhideWhenUsed/>
    <w:qFormat/>
    <w:uiPriority w:val="9"/>
    <w:pPr>
      <w:outlineLvl w:val="4"/>
    </w:pPr>
    <w:rPr>
      <w:rFonts w:ascii="Calibri" w:hAnsi="Calibri" w:eastAsia="Calibri" w:cs="Calibri"/>
      <w:color w:val="2E74B5"/>
      <w:lang w:val="en-SG" w:eastAsia="en-GB" w:bidi="ar-SA"/>
    </w:rPr>
  </w:style>
  <w:style w:type="paragraph" w:styleId="7">
    <w:name w:val="heading 6"/>
    <w:semiHidden/>
    <w:unhideWhenUsed/>
    <w:qFormat/>
    <w:uiPriority w:val="9"/>
    <w:pPr>
      <w:outlineLvl w:val="5"/>
    </w:pPr>
    <w:rPr>
      <w:rFonts w:ascii="Calibri" w:hAnsi="Calibri" w:eastAsia="Calibri" w:cs="Calibri"/>
      <w:color w:val="1F4D78"/>
      <w:lang w:val="en-SG" w:eastAsia="en-GB"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Calibri" w:hAnsi="Calibri" w:eastAsia="Calibri" w:cs="Calibri"/>
      <w:color w:val="1A1A1A"/>
      <w:lang w:val="en-SG" w:eastAsia="en-GB" w:bidi="ar-SA"/>
    </w:rPr>
  </w:style>
  <w:style w:type="paragraph" w:styleId="9">
    <w:name w:val="footnote text"/>
    <w:link w:val="18"/>
    <w:semiHidden/>
    <w:unhideWhenUsed/>
    <w:uiPriority w:val="99"/>
    <w:rPr>
      <w:rFonts w:ascii="Calibri" w:hAnsi="Calibri" w:eastAsia="Calibri" w:cs="Calibri"/>
      <w:color w:val="1A1A1A"/>
      <w:lang w:val="en-SG" w:eastAsia="en-GB" w:bidi="ar-SA"/>
    </w:rPr>
  </w:style>
  <w:style w:type="paragraph" w:styleId="10">
    <w:name w:val="Title"/>
    <w:qFormat/>
    <w:uiPriority w:val="10"/>
    <w:rPr>
      <w:rFonts w:ascii="Calibri" w:hAnsi="Calibri" w:eastAsia="Calibri" w:cs="Calibri"/>
      <w:color w:val="1A1A1A"/>
      <w:sz w:val="56"/>
      <w:szCs w:val="56"/>
      <w:lang w:val="en-SG" w:eastAsia="en-GB" w:bidi="ar-SA"/>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Strong1"/>
    <w:qFormat/>
    <w:uiPriority w:val="0"/>
    <w:rPr>
      <w:rFonts w:ascii="Calibri" w:hAnsi="Calibri" w:eastAsia="Calibri" w:cs="Calibri"/>
      <w:b/>
      <w:bCs/>
      <w:color w:val="1A1A1A"/>
      <w:lang w:val="en-SG" w:eastAsia="en-GB" w:bidi="ar-SA"/>
    </w:rPr>
  </w:style>
  <w:style w:type="paragraph" w:styleId="17">
    <w:name w:val="List Paragraph"/>
    <w:qFormat/>
    <w:uiPriority w:val="0"/>
    <w:rPr>
      <w:rFonts w:ascii="Calibri" w:hAnsi="Calibri" w:eastAsia="Calibri" w:cs="Calibri"/>
      <w:color w:val="1A1A1A"/>
      <w:lang w:val="en-SG" w:eastAsia="en-GB" w:bidi="ar-SA"/>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384</Words>
  <Characters>1826</Characters>
  <Lines>62</Lines>
  <Paragraphs>33</Paragraphs>
  <TotalTime>45</TotalTime>
  <ScaleCrop>false</ScaleCrop>
  <LinksUpToDate>false</LinksUpToDate>
  <CharactersWithSpaces>2177</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2026-08-12T13:05:00Z</dcterms:created>
  <dc:creator>Un-named</dc:creator>
  <cp:lastModifiedBy>苏黎世的雨樱花</cp:lastModifiedBy>
  <dcterms:modified xsi:type="dcterms:W3CDTF">2026-08-22T13:08:42Z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25CDFA3175BA1CFFDA2E896A39CEFE48_43</vt:lpwstr>
  </property>
</Properties>
</file>