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sz w:val="34"/>
          <w:szCs w:val="34"/>
          <w:rtl w:val="0"/>
        </w:rPr>
        <w:t xml:space="preserve">Название фона (Тот, что с машиной): Chapter Start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sz w:val="34"/>
          <w:szCs w:val="34"/>
          <w:rtl w:val="0"/>
        </w:rPr>
        <w:t xml:space="preserve">На табличке в слове VINS отсутсвует буква I  - дорисовать.</w:t>
      </w:r>
    </w:p>
    <w:p w:rsidR="00000000" w:rsidDel="00000000" w:rsidP="00000000" w:rsidRDefault="00000000" w:rsidRPr="00000000" w14:paraId="00000004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sz w:val="34"/>
          <w:szCs w:val="34"/>
          <w:rtl w:val="0"/>
        </w:rPr>
        <w:t xml:space="preserve">2. На машине нет зеркал. Дорисовать. Они обычно небольшие круглые.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