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맑은 고딕" w:cs="맑은 고딕" w:eastAsia="맑은 고딕" w:hAnsi="맑은 고딕"/>
          <w:b/>
          <w:bCs/>
          <w:color w:val="6C8A78"/>
          <w:sz w:val="22"/>
          <w:szCs w:val="22"/>
        </w:rPr>
        <w:t xml:space="preserve">상품개발 보고서</w:t>
      </w:r>
    </w:p>
    <w:p>
      <w:pPr>
        <w:spacing w:after="0" w:before="200"/>
        <w:jc w:val="center"/>
      </w:pPr>
      <w:r>
        <w:rPr>
          <w:rFonts w:ascii="맑은 고딕" w:cs="맑은 고딕" w:eastAsia="맑은 고딕" w:hAnsi="맑은 고딕"/>
          <w:b/>
          <w:bCs/>
          <w:color w:val="1B4332"/>
          <w:sz w:val="52"/>
          <w:szCs w:val="52"/>
        </w:rPr>
        <w:t xml:space="preserve">AI 전문가 서비스</w:t>
      </w:r>
    </w:p>
    <w:p>
      <w:pPr>
        <w:spacing w:after="0" w:before="120"/>
        <w:jc w:val="center"/>
      </w:pPr>
      <w:r>
        <w:rPr>
          <w:rFonts w:ascii="맑은 고딕" w:cs="맑은 고딕" w:eastAsia="맑은 고딕" w:hAnsi="맑은 고딕"/>
          <w:color w:val="2D6A4F"/>
          <w:sz w:val="30"/>
          <w:szCs w:val="30"/>
        </w:rPr>
        <w:t xml:space="preserve">2단계 상품 개편 및 론칭 전략</w:t>
      </w:r>
    </w:p>
    <w:p>
      <w:pPr>
        <w:pBdr>
          <w:top w:val="single" w:color="95D5B2" w:sz="10" w:space="14"/>
        </w:pBdr>
        <w:spacing w:after="0" w:before="400"/>
        <w:jc w:val="center"/>
      </w:pPr>
      <w:r>
        <w:rPr>
          <w:rFonts w:ascii="맑은 고딕" w:cs="맑은 고딕" w:eastAsia="맑은 고딕" w:hAnsi="맑은 고딕"/>
          <w:sz w:val="20"/>
          <w:szCs w:val="20"/>
        </w:rPr>
        <w:t xml:space="preserve"/>
      </w:r>
    </w:p>
    <w:p>
      <w:pPr>
        <w:spacing w:after="0" w:before="500"/>
        <w:jc w:val="center"/>
      </w:pPr>
      <w:r>
        <w:rPr>
          <w:rFonts w:ascii="맑은 고딕" w:cs="맑은 고딕" w:eastAsia="맑은 고딕" w:hAnsi="맑은 고딕"/>
          <w:color w:val="5A6B60"/>
          <w:sz w:val="20"/>
          <w:szCs w:val="20"/>
        </w:rPr>
        <w:t xml:space="preserve">작성일 2026년 8월 16일</w:t>
      </w:r>
    </w:p>
    <w:p>
      <w:pPr>
        <w:spacing w:after="0" w:before="60"/>
        <w:jc w:val="center"/>
      </w:pPr>
      <w:r>
        <w:rPr>
          <w:rFonts w:ascii="맑은 고딕" w:cs="맑은 고딕" w:eastAsia="맑은 고딕" w:hAnsi="맑은 고딕"/>
          <w:color w:val="5A6B60"/>
          <w:sz w:val="20"/>
          <w:szCs w:val="20"/>
        </w:rPr>
        <w:t xml:space="preserve">대상 서비스  Borderless 글로벌 GTM 플랫폼</w:t>
      </w:r>
    </w:p>
    <w:p>
      <w:pPr>
        <w:spacing w:after="0" w:before="60"/>
        <w:jc w:val="center"/>
      </w:pPr>
      <w:r>
        <w:rPr>
          <w:rFonts w:ascii="맑은 고딕" w:cs="맑은 고딕" w:eastAsia="맑은 고딕" w:hAnsi="맑은 고딕"/>
          <w:b/>
          <w:bCs/>
          <w:color w:val="9C4221"/>
          <w:sz w:val="20"/>
          <w:szCs w:val="20"/>
        </w:rPr>
        <w:t xml:space="preserve">문서 상태  승인 대기 (Pending Approval)</w:t>
      </w:r>
    </w:p>
    <w:p>
      <w:r>
        <w:br w:type="page"/>
      </w:r>
    </w:p>
    <w:p>
      <w:pPr>
        <w:pStyle w:val="Heading1"/>
        <w:spacing w:after="160" w:before="320"/>
      </w:pPr>
      <w:r>
        <w:rPr>
          <w:rFonts w:ascii="맑은 고딕" w:cs="맑은 고딕" w:eastAsia="맑은 고딕" w:hAnsi="맑은 고딕"/>
          <w:b/>
          <w:bCs/>
          <w:color w:val="1B4332"/>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맑은 고딕" w:cs="맑은 고딕" w:eastAsia="맑은 고딕" w:hAnsi="맑은 고딕"/>
          <w:b/>
          <w:bCs/>
          <w:color w:val="1B4332"/>
          <w:sz w:val="30"/>
          <w:szCs w:val="30"/>
        </w:rPr>
        <w:t xml:space="preserve">1. 요약</w:t>
      </w:r>
    </w:p>
    <w:p>
      <w:pPr>
        <w:spacing w:after="60" w:before="60" w:line="300"/>
      </w:pPr>
      <w:r>
        <w:rPr>
          <w:rFonts w:ascii="맑은 고딕" w:cs="맑은 고딕" w:eastAsia="맑은 고딕" w:hAnsi="맑은 고딕"/>
          <w:sz w:val="20"/>
          <w:szCs w:val="20"/>
        </w:rPr>
        <w:t xml:space="preserve">본 보고서는 Borderless 글로벌 GTM 플랫폼의 유료 서비스 상품을 전면 재편하고, 두 단계에 걸쳐 시장에 출시하기 위한 기획안이다. 핵심은 상품을 주제가 아니라 사람 개입 정도에 따라 재분류하고, 그 분류에 원가 구조가 다른 두 가지 가격 정책을 각각 적용하는 것이다.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2166"/>
        <w:gridCol w:w="6860"/>
      </w:tblGrid>
      <w:tr>
        <w:trPr>
          <w:tblHeader/>
        </w:trPr>
        <w:tc>
          <w:tcPr>
            <w:tcW w:type="dxa" w:w="216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구분</w:t>
            </w:r>
          </w:p>
        </w:tc>
        <w:tc>
          <w:tcPr>
            <w:tcW w:type="dxa" w:w="6860"/>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내용</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개편 방향</w:t>
            </w:r>
          </w:p>
        </w:tc>
        <w:tc>
          <w:tcPr>
            <w:tcW w:type="dxa" w:w="686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상품을 AI 개입 정도(A·B·C·D·M 5계층)로 재분류</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1차 론칭</w:t>
            </w:r>
          </w:p>
        </w:tc>
        <w:tc>
          <w:tcPr>
            <w:tcW w:type="dxa" w:w="686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 단독 완결 상품 9종 · 낱개 50,000원 균일 · 유입 목적</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2차 론칭</w:t>
            </w:r>
          </w:p>
        </w:tc>
        <w:tc>
          <w:tcPr>
            <w:tcW w:type="dxa" w:w="686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사람 전문가 결합 상품 8종 · 120,000~950,000원 · 수익 목적</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2차 착수 조건</w:t>
            </w:r>
          </w:p>
        </w:tc>
        <w:tc>
          <w:tcPr>
            <w:tcW w:type="dxa" w:w="686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날짜가 아닌 공급 기준 (전문가 계약 + 누적 결제 200건)</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기대 효과</w:t>
            </w:r>
          </w:p>
        </w:tc>
        <w:tc>
          <w:tcPr>
            <w:tcW w:type="dxa" w:w="686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 구매 고객이 2차 고가 상품의 검증된 리드가 되는 전환 구조 확보</w:t>
            </w:r>
          </w:p>
        </w:tc>
      </w:tr>
    </w:tbl>
    <w:p>
      <w:pPr>
        <w:spacing w:after="120" w:before="0"/>
      </w:pPr>
      <w:r>
        <w:rPr>
          <w:rFonts w:ascii="맑은 고딕" w:cs="맑은 고딕" w:eastAsia="맑은 고딕" w:hAnsi="맑은 고딕"/>
          <w:sz w:val="20"/>
          <w:szCs w:val="20"/>
        </w:rPr>
        <w:t xml:space="preserve"/>
      </w:r>
    </w:p>
    <w:p>
      <w:pPr>
        <w:spacing w:after="60" w:before="60" w:line="300"/>
      </w:pPr>
      <w:r>
        <w:rPr>
          <w:rFonts w:ascii="맑은 고딕" w:cs="맑은 고딕" w:eastAsia="맑은 고딕" w:hAnsi="맑은 고딕"/>
          <w:b/>
          <w:bCs/>
          <w:sz w:val="20"/>
          <w:szCs w:val="20"/>
        </w:rPr>
        <w:t xml:space="preserve">핵심 판단 근거</w:t>
      </w:r>
    </w:p>
    <w:p>
      <w:pPr>
        <w:pStyle w:val="ListParagraph"/>
        <w:numPr>
          <w:ilvl w:val="0"/>
          <w:numId w:val="2"/>
        </w:numPr>
        <w:spacing w:after="40" w:before="40" w:line="300"/>
      </w:pPr>
      <w:r>
        <w:rPr>
          <w:rFonts w:ascii="맑은 고딕" w:cs="맑은 고딕" w:eastAsia="맑은 고딕" w:hAnsi="맑은 고딕"/>
          <w:sz w:val="20"/>
          <w:szCs w:val="20"/>
        </w:rPr>
        <w:t xml:space="preserve">AI 산출물은 한계비용이 낮아 저가 유입이 가능하나, 건당 정액 비용 5,100원이 존재하여 50,000원이 사실상 가격 하한이다.</w:t>
      </w:r>
    </w:p>
    <w:p>
      <w:pPr>
        <w:pStyle w:val="ListParagraph"/>
        <w:numPr>
          <w:ilvl w:val="0"/>
          <w:numId w:val="2"/>
        </w:numPr>
        <w:spacing w:after="40" w:before="40" w:line="300"/>
      </w:pPr>
      <w:r>
        <w:rPr>
          <w:rFonts w:ascii="맑은 고딕" w:cs="맑은 고딕" w:eastAsia="맑은 고딕" w:hAnsi="맑은 고딕"/>
          <w:sz w:val="20"/>
          <w:szCs w:val="20"/>
        </w:rPr>
        <w:t xml:space="preserve">사람 시간이 원가인 상품은 묶음 할인의 재원이 없어 패키지화가 성립하지 않는다.</w:t>
      </w:r>
    </w:p>
    <w:p>
      <w:pPr>
        <w:pStyle w:val="ListParagraph"/>
        <w:numPr>
          <w:ilvl w:val="0"/>
          <w:numId w:val="2"/>
        </w:numPr>
        <w:spacing w:after="40" w:before="40" w:line="300"/>
      </w:pPr>
      <w:r>
        <w:rPr>
          <w:rFonts w:ascii="맑은 고딕" w:cs="맑은 고딕" w:eastAsia="맑은 고딕" w:hAnsi="맑은 고딕"/>
          <w:sz w:val="20"/>
          <w:szCs w:val="20"/>
        </w:rPr>
        <w:t xml:space="preserve">현재 7개 상품 중 3개는 이름이 사람의 개입을 약속하나 실제 산출물은 AI 조사 결과에 그쳐 기대 격차가 존재한다.</w:t>
      </w:r>
    </w:p>
    <w:p>
      <w:r>
        <w:br w:type="page"/>
      </w:r>
    </w:p>
    <w:p>
      <w:pPr>
        <w:pStyle w:val="Heading1"/>
        <w:spacing w:after="160" w:before="320"/>
      </w:pPr>
      <w:r>
        <w:rPr>
          <w:rFonts w:ascii="맑은 고딕" w:cs="맑은 고딕" w:eastAsia="맑은 고딕" w:hAnsi="맑은 고딕"/>
          <w:b/>
          <w:bCs/>
          <w:color w:val="1B4332"/>
          <w:sz w:val="30"/>
          <w:szCs w:val="30"/>
        </w:rPr>
        <w:t xml:space="preserve">2. 추진 배경 및 목적</w:t>
      </w:r>
    </w:p>
    <w:p>
      <w:pPr>
        <w:pStyle w:val="Heading2"/>
        <w:spacing w:after="110" w:before="220"/>
      </w:pPr>
      <w:r>
        <w:rPr>
          <w:rFonts w:ascii="맑은 고딕" w:cs="맑은 고딕" w:eastAsia="맑은 고딕" w:hAnsi="맑은 고딕"/>
          <w:b/>
          <w:bCs/>
          <w:color w:val="2D6A4F"/>
          <w:sz w:val="24"/>
          <w:szCs w:val="24"/>
        </w:rPr>
        <w:t xml:space="preserve">2.1 현황</w:t>
      </w:r>
    </w:p>
    <w:p>
      <w:pPr>
        <w:spacing w:after="60" w:before="60" w:line="300"/>
      </w:pPr>
      <w:r>
        <w:rPr>
          <w:rFonts w:ascii="맑은 고딕" w:cs="맑은 고딕" w:eastAsia="맑은 고딕" w:hAnsi="맑은 고딕"/>
          <w:sz w:val="20"/>
          <w:szCs w:val="20"/>
        </w:rPr>
        <w:t xml:space="preserve">현재 플랫폼은 AI가 생성하는 시장진출 보고서 7종과 이를 묶은 패키지 4종, 총 11개 상품을 판매하고 있다. 가격은 129,000원에서 1,190,000원까지 분포한다.</w:t>
      </w:r>
    </w:p>
    <w:p>
      <w:pPr>
        <w:pStyle w:val="Heading2"/>
        <w:spacing w:after="110" w:before="220"/>
      </w:pPr>
      <w:r>
        <w:rPr>
          <w:rFonts w:ascii="맑은 고딕" w:cs="맑은 고딕" w:eastAsia="맑은 고딕" w:hAnsi="맑은 고딕"/>
          <w:b/>
          <w:bCs/>
          <w:color w:val="2D6A4F"/>
          <w:sz w:val="24"/>
          <w:szCs w:val="24"/>
        </w:rPr>
        <w:t xml:space="preserve">2.2 확인된 문제</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1444"/>
        <w:gridCol w:w="4152"/>
        <w:gridCol w:w="3430"/>
      </w:tblGrid>
      <w:tr>
        <w:trPr>
          <w:tblHeader/>
        </w:trPr>
        <w:tc>
          <w:tcPr>
            <w:tcW w:type="dxa" w:w="1444"/>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구분</w:t>
            </w:r>
          </w:p>
        </w:tc>
        <w:tc>
          <w:tcPr>
            <w:tcW w:type="dxa" w:w="4152"/>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문제</w:t>
            </w:r>
          </w:p>
        </w:tc>
        <w:tc>
          <w:tcPr>
            <w:tcW w:type="dxa" w:w="3430"/>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영향</w:t>
            </w:r>
          </w:p>
        </w:tc>
      </w:tr>
      <w:tr>
        <w:tc>
          <w:tcPr>
            <w:tcW w:type="dxa" w:w="144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가격 구조</w:t>
            </w:r>
          </w:p>
        </w:tc>
        <w:tc>
          <w:tcPr>
            <w:tcW w:type="dxa" w:w="415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4개 패키지 중 2개가 구성 상품 낱개 합계보다 비쌈</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묶어 사면 손해인 상품이 판매 중</w:t>
            </w:r>
          </w:p>
        </w:tc>
      </w:tr>
      <w:tr>
        <w:tc>
          <w:tcPr>
            <w:tcW w:type="dxa" w:w="144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상품 분류</w:t>
            </w:r>
          </w:p>
        </w:tc>
        <w:tc>
          <w:tcPr>
            <w:tcW w:type="dxa" w:w="415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주제 기준 묶음이라 AI 완결 상품과 사람 필요 상품이 혼재</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가격·기대·전달 방식이 상품마다 어긋남</w:t>
            </w:r>
          </w:p>
        </w:tc>
      </w:tr>
      <w:tr>
        <w:tc>
          <w:tcPr>
            <w:tcW w:type="dxa" w:w="144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기대 관리</w:t>
            </w:r>
          </w:p>
        </w:tc>
        <w:tc>
          <w:tcPr>
            <w:tcW w:type="dxa" w:w="415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'네트워크', '검증' 등 사람 개입을 암시하는 명칭 사용</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실제 산출물은 조사 목록으로 기대 격차 발생</w:t>
            </w:r>
          </w:p>
        </w:tc>
      </w:tr>
      <w:tr>
        <w:tc>
          <w:tcPr>
            <w:tcW w:type="dxa" w:w="144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원가 인식</w:t>
            </w:r>
          </w:p>
        </w:tc>
        <w:tc>
          <w:tcPr>
            <w:tcW w:type="dxa" w:w="415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원가를 모델 비용만으로 계산하여 실제의 1/5로 과소 추정</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가격 하한 판단 근거 부재</w:t>
            </w:r>
          </w:p>
        </w:tc>
      </w:tr>
      <w:tr>
        <w:tc>
          <w:tcPr>
            <w:tcW w:type="dxa" w:w="144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운영 구조</w:t>
            </w:r>
          </w:p>
        </w:tc>
        <w:tc>
          <w:tcPr>
            <w:tcW w:type="dxa" w:w="415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상품 정의가 코드 4개 위치에 분산</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가격 변경 시 누락 위험</w:t>
            </w:r>
          </w:p>
        </w:tc>
      </w:tr>
    </w:tbl>
    <w:p>
      <w:pPr>
        <w:pStyle w:val="Heading2"/>
        <w:spacing w:after="110" w:before="220"/>
      </w:pPr>
      <w:r>
        <w:rPr>
          <w:rFonts w:ascii="맑은 고딕" w:cs="맑은 고딕" w:eastAsia="맑은 고딕" w:hAnsi="맑은 고딕"/>
          <w:b/>
          <w:bCs/>
          <w:color w:val="2D6A4F"/>
          <w:sz w:val="24"/>
          <w:szCs w:val="24"/>
        </w:rPr>
        <w:t xml:space="preserve">2.3 목적</w:t>
      </w:r>
    </w:p>
    <w:p>
      <w:pPr>
        <w:pStyle w:val="ListParagraph"/>
        <w:numPr>
          <w:ilvl w:val="0"/>
          <w:numId w:val="2"/>
        </w:numPr>
        <w:spacing w:after="40" w:before="40" w:line="300"/>
      </w:pPr>
      <w:r>
        <w:rPr>
          <w:rFonts w:ascii="맑은 고딕" w:cs="맑은 고딕" w:eastAsia="맑은 고딕" w:hAnsi="맑은 고딕"/>
          <w:sz w:val="20"/>
          <w:szCs w:val="20"/>
        </w:rPr>
        <w:t xml:space="preserve">사람 개입 정도에 따른 상품 재분류로 가격 정책의 논리적 일관성 확보</w:t>
      </w:r>
    </w:p>
    <w:p>
      <w:pPr>
        <w:pStyle w:val="ListParagraph"/>
        <w:numPr>
          <w:ilvl w:val="0"/>
          <w:numId w:val="2"/>
        </w:numPr>
        <w:spacing w:after="40" w:before="40" w:line="300"/>
      </w:pPr>
      <w:r>
        <w:rPr>
          <w:rFonts w:ascii="맑은 고딕" w:cs="맑은 고딕" w:eastAsia="맑은 고딕" w:hAnsi="맑은 고딕"/>
          <w:sz w:val="20"/>
          <w:szCs w:val="20"/>
        </w:rPr>
        <w:t xml:space="preserve">저가 AI 상품으로 초기 유입을 만들고, 사람 결합 상품으로 수익을 내는 2단계 수익 구조 수립</w:t>
      </w:r>
    </w:p>
    <w:p>
      <w:pPr>
        <w:pStyle w:val="ListParagraph"/>
        <w:numPr>
          <w:ilvl w:val="0"/>
          <w:numId w:val="2"/>
        </w:numPr>
        <w:spacing w:after="40" w:before="40" w:line="300"/>
      </w:pPr>
      <w:r>
        <w:rPr>
          <w:rFonts w:ascii="맑은 고딕" w:cs="맑은 고딕" w:eastAsia="맑은 고딕" w:hAnsi="맑은 고딕"/>
          <w:sz w:val="20"/>
          <w:szCs w:val="20"/>
        </w:rPr>
        <w:t xml:space="preserve">상품·가격 정의를 단일 관리 지점으로 통합하여 운영 리스크 제거</w:t>
      </w:r>
    </w:p>
    <w:p>
      <w:r>
        <w:br w:type="page"/>
      </w:r>
    </w:p>
    <w:p>
      <w:pPr>
        <w:pStyle w:val="Heading1"/>
        <w:spacing w:after="160" w:before="320"/>
      </w:pPr>
      <w:r>
        <w:rPr>
          <w:rFonts w:ascii="맑은 고딕" w:cs="맑은 고딕" w:eastAsia="맑은 고딕" w:hAnsi="맑은 고딕"/>
          <w:b/>
          <w:bCs/>
          <w:color w:val="1B4332"/>
          <w:sz w:val="30"/>
          <w:szCs w:val="30"/>
        </w:rPr>
        <w:t xml:space="preserve">3. 상품 기획</w:t>
      </w:r>
    </w:p>
    <w:p>
      <w:pPr>
        <w:pStyle w:val="Heading2"/>
        <w:spacing w:after="110" w:before="220"/>
      </w:pPr>
      <w:r>
        <w:rPr>
          <w:rFonts w:ascii="맑은 고딕" w:cs="맑은 고딕" w:eastAsia="맑은 고딕" w:hAnsi="맑은 고딕"/>
          <w:b/>
          <w:bCs/>
          <w:color w:val="2D6A4F"/>
          <w:sz w:val="24"/>
          <w:szCs w:val="24"/>
        </w:rPr>
        <w:t xml:space="preserve">3.1 개입 계층 정의</w:t>
      </w:r>
    </w:p>
    <w:p>
      <w:pPr>
        <w:spacing w:after="60" w:before="60" w:line="300"/>
      </w:pPr>
      <w:r>
        <w:rPr>
          <w:rFonts w:ascii="맑은 고딕" w:cs="맑은 고딕" w:eastAsia="맑은 고딕" w:hAnsi="맑은 고딕"/>
          <w:sz w:val="20"/>
          <w:szCs w:val="20"/>
        </w:rPr>
        <w:t xml:space="preserve">분류 기준은 '사람이 필요한가'가 아니라 '그 사람의 인건비를 우리가 부담하는가'이다. 고객 자신이 정보를 제공하거나 실행하는 경우는 우리 원가가 발생하지 않으므로 저가 정책이 성립한다.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1986"/>
        <w:gridCol w:w="3791"/>
        <w:gridCol w:w="1083"/>
        <w:gridCol w:w="903"/>
        <w:gridCol w:w="1263"/>
      </w:tblGrid>
      <w:tr>
        <w:trPr>
          <w:tblHeader/>
        </w:trPr>
        <w:tc>
          <w:tcPr>
            <w:tcW w:type="dxa" w:w="198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계층</w:t>
            </w:r>
          </w:p>
        </w:tc>
        <w:tc>
          <w:tcPr>
            <w:tcW w:type="dxa" w:w="3791"/>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정의</w:t>
            </w:r>
          </w:p>
        </w:tc>
        <w:tc>
          <w:tcPr>
            <w:tcW w:type="dxa" w:w="108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인건비</w:t>
            </w:r>
          </w:p>
        </w:tc>
        <w:tc>
          <w:tcPr>
            <w:tcW w:type="dxa" w:w="90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할인</w:t>
            </w:r>
          </w:p>
        </w:tc>
        <w:tc>
          <w:tcPr>
            <w:tcW w:type="dxa" w:w="126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출시</w:t>
            </w:r>
          </w:p>
        </w:tc>
      </w:tr>
      <w:tr>
        <w:tc>
          <w:tcPr>
            <w:tcW w:type="dxa" w:w="198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A · 전적인 AI</w:t>
            </w:r>
          </w:p>
        </w:tc>
        <w:tc>
          <w:tcPr>
            <w:tcW w:type="dxa" w:w="379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공개 정보의 수집·계산·구조화. 결제 후 자동 완성</w:t>
            </w:r>
          </w:p>
        </w:tc>
        <w:tc>
          <w:tcPr>
            <w:tcW w:type="dxa" w:w="108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없음</w:t>
            </w:r>
          </w:p>
        </w:tc>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가능</w:t>
            </w:r>
          </w:p>
        </w:tc>
        <w:tc>
          <w:tcPr>
            <w:tcW w:type="dxa" w:w="126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w:t>
            </w:r>
          </w:p>
        </w:tc>
      </w:tr>
      <w:tr>
        <w:tc>
          <w:tcPr>
            <w:tcW w:type="dxa" w:w="198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B · AI + 고객 확인</w:t>
            </w:r>
          </w:p>
        </w:tc>
        <w:tc>
          <w:tcPr>
            <w:tcW w:type="dxa" w:w="3791"/>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AI가 완성하고 고객 자신이 수치·조직 정보 제공</w:t>
            </w:r>
          </w:p>
        </w:tc>
        <w:tc>
          <w:tcPr>
            <w:tcW w:type="dxa" w:w="108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없음</w:t>
            </w:r>
          </w:p>
        </w:tc>
        <w:tc>
          <w:tcPr>
            <w:tcW w:type="dxa" w:w="90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가능</w:t>
            </w:r>
          </w:p>
        </w:tc>
        <w:tc>
          <w:tcPr>
            <w:tcW w:type="dxa" w:w="126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w:t>
            </w:r>
          </w:p>
        </w:tc>
      </w:tr>
      <w:tr>
        <w:tc>
          <w:tcPr>
            <w:tcW w:type="dxa" w:w="198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C · AI + 전문가 검토</w:t>
            </w:r>
          </w:p>
        </w:tc>
        <w:tc>
          <w:tcPr>
            <w:tcW w:type="dxa" w:w="379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자격자가 검토·확정해야 사용 가능</w:t>
            </w:r>
          </w:p>
        </w:tc>
        <w:tc>
          <w:tcPr>
            <w:tcW w:type="dxa" w:w="108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발생</w:t>
            </w:r>
          </w:p>
        </w:tc>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불가</w:t>
            </w:r>
          </w:p>
        </w:tc>
        <w:tc>
          <w:tcPr>
            <w:tcW w:type="dxa" w:w="126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w:t>
            </w:r>
          </w:p>
        </w:tc>
      </w:tr>
      <w:tr>
        <w:tc>
          <w:tcPr>
            <w:tcW w:type="dxa" w:w="198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D · 전문가 주축</w:t>
            </w:r>
          </w:p>
        </w:tc>
        <w:tc>
          <w:tcPr>
            <w:tcW w:type="dxa" w:w="3791"/>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사람의 행위 자체가 산출물</w:t>
            </w:r>
          </w:p>
        </w:tc>
        <w:tc>
          <w:tcPr>
            <w:tcW w:type="dxa" w:w="108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발생</w:t>
            </w:r>
          </w:p>
        </w:tc>
        <w:tc>
          <w:tcPr>
            <w:tcW w:type="dxa" w:w="90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불가</w:t>
            </w:r>
          </w:p>
        </w:tc>
        <w:tc>
          <w:tcPr>
            <w:tcW w:type="dxa" w:w="126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w:t>
            </w:r>
          </w:p>
        </w:tc>
      </w:tr>
      <w:tr>
        <w:tc>
          <w:tcPr>
            <w:tcW w:type="dxa" w:w="198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M · 멘토</w:t>
            </w:r>
          </w:p>
        </w:tc>
        <w:tc>
          <w:tcPr>
            <w:tcW w:type="dxa" w:w="379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사람 시간 단위 상담</w:t>
            </w:r>
          </w:p>
        </w:tc>
        <w:tc>
          <w:tcPr>
            <w:tcW w:type="dxa" w:w="108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발생</w:t>
            </w:r>
          </w:p>
        </w:tc>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불가</w:t>
            </w:r>
          </w:p>
        </w:tc>
        <w:tc>
          <w:tcPr>
            <w:tcW w:type="dxa" w:w="126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w:t>
            </w:r>
          </w:p>
        </w:tc>
      </w:tr>
    </w:tbl>
    <w:p>
      <w:pPr>
        <w:spacing w:after="120" w:before="0"/>
      </w:pPr>
      <w:r>
        <w:rPr>
          <w:rFonts w:ascii="맑은 고딕" w:cs="맑은 고딕" w:eastAsia="맑은 고딕" w:hAnsi="맑은 고딕"/>
          <w:sz w:val="20"/>
          <w:szCs w:val="20"/>
        </w:rPr>
        <w:t xml:space="preserve"/>
      </w:r>
    </w:p>
    <w:p>
      <w:pPr>
        <w:pStyle w:val="Heading2"/>
        <w:spacing w:after="110" w:before="220"/>
      </w:pPr>
      <w:r>
        <w:rPr>
          <w:rFonts w:ascii="맑은 고딕" w:cs="맑은 고딕" w:eastAsia="맑은 고딕" w:hAnsi="맑은 고딕"/>
          <w:b/>
          <w:bCs/>
          <w:color w:val="2D6A4F"/>
          <w:sz w:val="24"/>
          <w:szCs w:val="24"/>
        </w:rPr>
        <w:t xml:space="preserve">3.2 1차 출시 상품 (AI 전용)</w:t>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2708"/>
        <w:gridCol w:w="903"/>
        <w:gridCol w:w="1173"/>
        <w:gridCol w:w="4242"/>
      </w:tblGrid>
      <w:tr>
        <w:trPr>
          <w:tblHeader/>
        </w:trPr>
        <w:tc>
          <w:tcPr>
            <w:tcW w:type="dxa" w:w="2708"/>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상품명</w:t>
            </w:r>
          </w:p>
        </w:tc>
        <w:tc>
          <w:tcPr>
            <w:tcW w:type="dxa" w:w="90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계층</w:t>
            </w:r>
          </w:p>
        </w:tc>
        <w:tc>
          <w:tcPr>
            <w:tcW w:type="dxa" w:w="117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가격</w:t>
            </w:r>
          </w:p>
        </w:tc>
        <w:tc>
          <w:tcPr>
            <w:tcW w:type="dxa" w:w="4242"/>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주요 산출물</w:t>
            </w:r>
          </w:p>
        </w:tc>
      </w:tr>
      <w:tr>
        <w:tc>
          <w:tcPr>
            <w:tcW w:type="dxa" w:w="270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심층 시장조사</w:t>
            </w:r>
          </w:p>
        </w:tc>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w:t>
            </w:r>
          </w:p>
        </w:tc>
        <w:tc>
          <w:tcPr>
            <w:tcW w:type="dxa" w:w="117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50,000</w:t>
            </w:r>
          </w:p>
        </w:tc>
        <w:tc>
          <w:tcPr>
            <w:tcW w:type="dxa" w:w="424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후보 국가 비교, TAM·SAM·SOM·교두보 시장, 경쟁 구도</w:t>
            </w:r>
          </w:p>
        </w:tc>
      </w:tr>
      <w:tr>
        <w:tc>
          <w:tcPr>
            <w:tcW w:type="dxa" w:w="270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규제 요건 조사</w:t>
            </w:r>
          </w:p>
        </w:tc>
        <w:tc>
          <w:tcPr>
            <w:tcW w:type="dxa" w:w="90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w:t>
            </w:r>
          </w:p>
        </w:tc>
        <w:tc>
          <w:tcPr>
            <w:tcW w:type="dxa" w:w="117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50,000</w:t>
            </w:r>
          </w:p>
        </w:tc>
        <w:tc>
          <w:tcPr>
            <w:tcW w:type="dxa" w:w="424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공식 자료 기준 요건표, 미확인 위험과 재확인 시점</w:t>
            </w:r>
          </w:p>
        </w:tc>
      </w:tr>
      <w:tr>
        <w:tc>
          <w:tcPr>
            <w:tcW w:type="dxa" w:w="270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파트너·생태계 조사</w:t>
            </w:r>
          </w:p>
        </w:tc>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w:t>
            </w:r>
          </w:p>
        </w:tc>
        <w:tc>
          <w:tcPr>
            <w:tcW w:type="dxa" w:w="117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50,000</w:t>
            </w:r>
          </w:p>
        </w:tc>
        <w:tc>
          <w:tcPr>
            <w:tcW w:type="dxa" w:w="424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생태계 지도, 파트너 후보, 접촉 시 질문</w:t>
            </w:r>
          </w:p>
        </w:tc>
      </w:tr>
      <w:tr>
        <w:tc>
          <w:tcPr>
            <w:tcW w:type="dxa" w:w="270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고객 검증 설계</w:t>
            </w:r>
          </w:p>
        </w:tc>
        <w:tc>
          <w:tcPr>
            <w:tcW w:type="dxa" w:w="90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B</w:t>
            </w:r>
          </w:p>
        </w:tc>
        <w:tc>
          <w:tcPr>
            <w:tcW w:type="dxa" w:w="117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50,000</w:t>
            </w:r>
          </w:p>
        </w:tc>
        <w:tc>
          <w:tcPr>
            <w:tcW w:type="dxa" w:w="424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고객 근거 점검, 인터뷰·시범판매 설계, 중단 기준</w:t>
            </w:r>
          </w:p>
        </w:tc>
      </w:tr>
      <w:tr>
        <w:tc>
          <w:tcPr>
            <w:tcW w:type="dxa" w:w="270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현지화 사업모델 설계</w:t>
            </w:r>
          </w:p>
        </w:tc>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B</w:t>
            </w:r>
          </w:p>
        </w:tc>
        <w:tc>
          <w:tcPr>
            <w:tcW w:type="dxa" w:w="117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50,000</w:t>
            </w:r>
          </w:p>
        </w:tc>
        <w:tc>
          <w:tcPr>
            <w:tcW w:type="dxa" w:w="424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현지 사업모델 9개 항목, 유지·변경·시험 항목</w:t>
            </w:r>
          </w:p>
        </w:tc>
      </w:tr>
      <w:tr>
        <w:tc>
          <w:tcPr>
            <w:tcW w:type="dxa" w:w="270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진입 비용·자금 계획</w:t>
            </w:r>
          </w:p>
        </w:tc>
        <w:tc>
          <w:tcPr>
            <w:tcW w:type="dxa" w:w="90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B</w:t>
            </w:r>
          </w:p>
        </w:tc>
        <w:tc>
          <w:tcPr>
            <w:tcW w:type="dxa" w:w="117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50,000</w:t>
            </w:r>
          </w:p>
        </w:tc>
        <w:tc>
          <w:tcPr>
            <w:tcW w:type="dxa" w:w="424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총 진입비용, 자금 유지 기간, 시나리오 손익</w:t>
            </w:r>
          </w:p>
        </w:tc>
      </w:tr>
      <w:tr>
        <w:tc>
          <w:tcPr>
            <w:tcW w:type="dxa" w:w="270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GTM 실행·운영 설계</w:t>
            </w:r>
          </w:p>
        </w:tc>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B</w:t>
            </w:r>
          </w:p>
        </w:tc>
        <w:tc>
          <w:tcPr>
            <w:tcW w:type="dxa" w:w="117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50,000</w:t>
            </w:r>
          </w:p>
        </w:tc>
        <w:tc>
          <w:tcPr>
            <w:tcW w:type="dxa" w:w="424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GTM 요약, 역할·책임 분담표, 30·60·90일 계획</w:t>
            </w:r>
          </w:p>
        </w:tc>
      </w:tr>
      <w:tr>
        <w:tc>
          <w:tcPr>
            <w:tcW w:type="dxa" w:w="270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진출 가능성 진단 (패키지)</w:t>
            </w:r>
          </w:p>
        </w:tc>
        <w:tc>
          <w:tcPr>
            <w:tcW w:type="dxa" w:w="90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A×3</w:t>
            </w:r>
          </w:p>
        </w:tc>
        <w:tc>
          <w:tcPr>
            <w:tcW w:type="dxa" w:w="117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119,000</w:t>
            </w:r>
          </w:p>
        </w:tc>
        <w:tc>
          <w:tcPr>
            <w:tcW w:type="dxa" w:w="424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A계층 3종 통합</w:t>
            </w:r>
          </w:p>
        </w:tc>
      </w:tr>
      <w:tr>
        <w:tc>
          <w:tcPr>
            <w:tcW w:type="dxa" w:w="270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진출 설계 (패키지)</w:t>
            </w:r>
          </w:p>
        </w:tc>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A+B</w:t>
            </w:r>
          </w:p>
        </w:tc>
        <w:tc>
          <w:tcPr>
            <w:tcW w:type="dxa" w:w="117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249,000</w:t>
            </w:r>
          </w:p>
        </w:tc>
        <w:tc>
          <w:tcPr>
            <w:tcW w:type="dxa" w:w="424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전 7종 통합</w:t>
            </w:r>
          </w:p>
        </w:tc>
      </w:tr>
    </w:tbl>
    <w:p>
      <w:pPr>
        <w:pBdr>
          <w:left w:val="single" w:color="95D5B2" w:sz="12" w:space="8"/>
        </w:pBdr>
        <w:spacing w:after="140" w:before="100" w:line="300"/>
        <w:ind w:left="220"/>
      </w:pPr>
      <w:r>
        <w:rPr>
          <w:rFonts w:ascii="맑은 고딕" w:cs="맑은 고딕" w:eastAsia="맑은 고딕" w:hAnsi="맑은 고딕"/>
          <w:color w:val="40573F"/>
          <w:sz w:val="18"/>
          <w:szCs w:val="18"/>
        </w:rPr>
        <w:t xml:space="preserve">기존 대비 변경: 규제 상품에서 '제품 분류 가설'을 분리하여 2차 전문가 상품으로 이관. '현지 생태계·네트워크'는 '파트너·생태계 조사'로 개명하여 소개 서비스로 오인되지 않도록 함. 계층이 혼재된 기존 패키지 4종은 폐지.</w:t>
      </w:r>
    </w:p>
    <w:p>
      <w:pPr>
        <w:pStyle w:val="Heading2"/>
        <w:spacing w:after="110" w:before="220"/>
      </w:pPr>
      <w:r>
        <w:rPr>
          <w:rFonts w:ascii="맑은 고딕" w:cs="맑은 고딕" w:eastAsia="맑은 고딕" w:hAnsi="맑은 고딕"/>
          <w:b/>
          <w:bCs/>
          <w:color w:val="2D6A4F"/>
          <w:sz w:val="24"/>
          <w:szCs w:val="24"/>
        </w:rPr>
        <w:t xml:space="preserve">3.3 2차 출시 상품 (전문가 결합)</w:t>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2888"/>
        <w:gridCol w:w="812"/>
        <w:gridCol w:w="1715"/>
        <w:gridCol w:w="1805"/>
        <w:gridCol w:w="1806"/>
      </w:tblGrid>
      <w:tr>
        <w:trPr>
          <w:tblHeader/>
        </w:trPr>
        <w:tc>
          <w:tcPr>
            <w:tcW w:type="dxa" w:w="2888"/>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상품명</w:t>
            </w:r>
          </w:p>
        </w:tc>
        <w:tc>
          <w:tcPr>
            <w:tcW w:type="dxa" w:w="812"/>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계층</w:t>
            </w:r>
          </w:p>
        </w:tc>
        <w:tc>
          <w:tcPr>
            <w:tcW w:type="dxa" w:w="1715"/>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전문가·시간</w:t>
            </w:r>
          </w:p>
        </w:tc>
        <w:tc>
          <w:tcPr>
            <w:tcW w:type="dxa" w:w="1805"/>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가격</w:t>
            </w:r>
          </w:p>
        </w:tc>
        <w:tc>
          <w:tcPr>
            <w:tcW w:type="dxa" w:w="180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전문가 수취</w:t>
            </w:r>
          </w:p>
        </w:tc>
      </w:tr>
      <w:tr>
        <w:tc>
          <w:tcPr>
            <w:tcW w:type="dxa" w:w="288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제품 분류·인허가 확정 (기본)</w:t>
            </w:r>
          </w:p>
        </w:tc>
        <w:tc>
          <w:tcPr>
            <w:tcW w:type="dxa" w:w="81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C</w:t>
            </w:r>
          </w:p>
        </w:tc>
        <w:tc>
          <w:tcPr>
            <w:tcW w:type="dxa" w:w="171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관세사 1.5h</w:t>
            </w:r>
          </w:p>
        </w:tc>
        <w:tc>
          <w:tcPr>
            <w:tcW w:type="dxa" w:w="1805"/>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410,000</w:t>
            </w:r>
          </w:p>
        </w:tc>
        <w:tc>
          <w:tcPr>
            <w:tcW w:type="dxa" w:w="1806"/>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306,000</w:t>
            </w:r>
          </w:p>
        </w:tc>
      </w:tr>
      <w:tr>
        <w:tc>
          <w:tcPr>
            <w:tcW w:type="dxa" w:w="288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제품 분류·인허가 확정 (심화)</w:t>
            </w:r>
          </w:p>
        </w:tc>
        <w:tc>
          <w:tcPr>
            <w:tcW w:type="dxa" w:w="81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C</w:t>
            </w:r>
          </w:p>
        </w:tc>
        <w:tc>
          <w:tcPr>
            <w:tcW w:type="dxa" w:w="171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관세사 3h</w:t>
            </w:r>
          </w:p>
        </w:tc>
        <w:tc>
          <w:tcPr>
            <w:tcW w:type="dxa" w:w="1805"/>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760,000</w:t>
            </w:r>
          </w:p>
        </w:tc>
        <w:tc>
          <w:tcPr>
            <w:tcW w:type="dxa" w:w="1806"/>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603,500</w:t>
            </w:r>
          </w:p>
        </w:tc>
      </w:tr>
      <w:tr>
        <w:tc>
          <w:tcPr>
            <w:tcW w:type="dxa" w:w="288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GTM 실행계획 검토·코칭</w:t>
            </w:r>
          </w:p>
        </w:tc>
        <w:tc>
          <w:tcPr>
            <w:tcW w:type="dxa" w:w="81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C</w:t>
            </w:r>
          </w:p>
        </w:tc>
        <w:tc>
          <w:tcPr>
            <w:tcW w:type="dxa" w:w="171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GTM 2h</w:t>
            </w:r>
          </w:p>
        </w:tc>
        <w:tc>
          <w:tcPr>
            <w:tcW w:type="dxa" w:w="1805"/>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410,000</w:t>
            </w:r>
          </w:p>
        </w:tc>
        <w:tc>
          <w:tcPr>
            <w:tcW w:type="dxa" w:w="1806"/>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306,000</w:t>
            </w:r>
          </w:p>
        </w:tc>
      </w:tr>
      <w:tr>
        <w:tc>
          <w:tcPr>
            <w:tcW w:type="dxa" w:w="288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파트너 실재·평판 검증</w:t>
            </w:r>
          </w:p>
        </w:tc>
        <w:tc>
          <w:tcPr>
            <w:tcW w:type="dxa" w:w="81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D</w:t>
            </w:r>
          </w:p>
        </w:tc>
        <w:tc>
          <w:tcPr>
            <w:tcW w:type="dxa" w:w="171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현지 2h</w:t>
            </w:r>
          </w:p>
        </w:tc>
        <w:tc>
          <w:tcPr>
            <w:tcW w:type="dxa" w:w="1805"/>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480,000</w:t>
            </w:r>
          </w:p>
        </w:tc>
        <w:tc>
          <w:tcPr>
            <w:tcW w:type="dxa" w:w="1806"/>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408,000</w:t>
            </w:r>
          </w:p>
        </w:tc>
      </w:tr>
      <w:tr>
        <w:tc>
          <w:tcPr>
            <w:tcW w:type="dxa" w:w="288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파트너 접촉·소개</w:t>
            </w:r>
          </w:p>
        </w:tc>
        <w:tc>
          <w:tcPr>
            <w:tcW w:type="dxa" w:w="81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D</w:t>
            </w:r>
          </w:p>
        </w:tc>
        <w:tc>
          <w:tcPr>
            <w:tcW w:type="dxa" w:w="171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현지 4h</w:t>
            </w:r>
          </w:p>
        </w:tc>
        <w:tc>
          <w:tcPr>
            <w:tcW w:type="dxa" w:w="1805"/>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950,000</w:t>
            </w:r>
          </w:p>
        </w:tc>
        <w:tc>
          <w:tcPr>
            <w:tcW w:type="dxa" w:w="1806"/>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807,500</w:t>
            </w:r>
          </w:p>
        </w:tc>
      </w:tr>
      <w:tr>
        <w:tc>
          <w:tcPr>
            <w:tcW w:type="dxa" w:w="288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현지 고객 인터뷰 대행</w:t>
            </w:r>
          </w:p>
        </w:tc>
        <w:tc>
          <w:tcPr>
            <w:tcW w:type="dxa" w:w="81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D</w:t>
            </w:r>
          </w:p>
        </w:tc>
        <w:tc>
          <w:tcPr>
            <w:tcW w:type="dxa" w:w="171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현지 3h</w:t>
            </w:r>
          </w:p>
        </w:tc>
        <w:tc>
          <w:tcPr>
            <w:tcW w:type="dxa" w:w="1805"/>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710,000</w:t>
            </w:r>
          </w:p>
        </w:tc>
        <w:tc>
          <w:tcPr>
            <w:tcW w:type="dxa" w:w="1806"/>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603,500</w:t>
            </w:r>
          </w:p>
        </w:tc>
      </w:tr>
      <w:tr>
        <w:tc>
          <w:tcPr>
            <w:tcW w:type="dxa" w:w="2888"/>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멘토 상담 1시간</w:t>
            </w:r>
          </w:p>
        </w:tc>
        <w:tc>
          <w:tcPr>
            <w:tcW w:type="dxa" w:w="81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M</w:t>
            </w:r>
          </w:p>
        </w:tc>
        <w:tc>
          <w:tcPr>
            <w:tcW w:type="dxa" w:w="171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멘토 1h</w:t>
            </w:r>
          </w:p>
        </w:tc>
        <w:tc>
          <w:tcPr>
            <w:tcW w:type="dxa" w:w="1805"/>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120,000</w:t>
            </w:r>
          </w:p>
        </w:tc>
        <w:tc>
          <w:tcPr>
            <w:tcW w:type="dxa" w:w="1806"/>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102,000</w:t>
            </w:r>
          </w:p>
        </w:tc>
      </w:tr>
      <w:tr>
        <w:tc>
          <w:tcPr>
            <w:tcW w:type="dxa" w:w="288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멘토 상담 2시간</w:t>
            </w:r>
          </w:p>
        </w:tc>
        <w:tc>
          <w:tcPr>
            <w:tcW w:type="dxa" w:w="81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M</w:t>
            </w:r>
          </w:p>
        </w:tc>
        <w:tc>
          <w:tcPr>
            <w:tcW w:type="dxa" w:w="171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멘토 2h</w:t>
            </w:r>
          </w:p>
        </w:tc>
        <w:tc>
          <w:tcPr>
            <w:tcW w:type="dxa" w:w="1805"/>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240,000</w:t>
            </w:r>
          </w:p>
        </w:tc>
        <w:tc>
          <w:tcPr>
            <w:tcW w:type="dxa" w:w="1806"/>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204,000</w:t>
            </w:r>
          </w:p>
        </w:tc>
      </w:tr>
    </w:tbl>
    <w:p>
      <w:pPr>
        <w:pBdr>
          <w:left w:val="single" w:color="95D5B2" w:sz="12" w:space="8"/>
        </w:pBdr>
        <w:spacing w:after="140" w:before="100" w:line="300"/>
        <w:ind w:left="220"/>
      </w:pPr>
      <w:r>
        <w:rPr>
          <w:rFonts w:ascii="맑은 고딕" w:cs="맑은 고딕" w:eastAsia="맑은 고딕" w:hAnsi="맑은 고딕"/>
          <w:color w:val="40573F"/>
          <w:sz w:val="18"/>
          <w:szCs w:val="18"/>
        </w:rPr>
        <w:t xml:space="preserve">2차에는 패키지를 두지 않는다. 인건비는 묶어도 줄지 않아 할인 재원이 없으며, 인건비를 보전하는 수준으로 가격을 맞추면 낱개 합계와의 차이가 2% 미만이 되어 패키지로서 의미가 없다. 대신 이미 구매한 AI 상품이 전문가 상품에 포함될 경우 해당 AI 부분(50,000원)을 1회 차감한다.</w:t>
      </w:r>
    </w:p>
    <w:p>
      <w:r>
        <w:br w:type="page"/>
      </w:r>
    </w:p>
    <w:p>
      <w:pPr>
        <w:pStyle w:val="Heading1"/>
        <w:spacing w:after="160" w:before="320"/>
      </w:pPr>
      <w:r>
        <w:rPr>
          <w:rFonts w:ascii="맑은 고딕" w:cs="맑은 고딕" w:eastAsia="맑은 고딕" w:hAnsi="맑은 고딕"/>
          <w:b/>
          <w:bCs/>
          <w:color w:val="1B4332"/>
          <w:sz w:val="30"/>
          <w:szCs w:val="30"/>
        </w:rPr>
        <w:t xml:space="preserve">4. 가격 정책</w:t>
      </w:r>
    </w:p>
    <w:p>
      <w:pPr>
        <w:pStyle w:val="Heading2"/>
        <w:spacing w:after="110" w:before="220"/>
      </w:pPr>
      <w:r>
        <w:rPr>
          <w:rFonts w:ascii="맑은 고딕" w:cs="맑은 고딕" w:eastAsia="맑은 고딕" w:hAnsi="맑은 고딕"/>
          <w:b/>
          <w:bCs/>
          <w:color w:val="2D6A4F"/>
          <w:sz w:val="24"/>
          <w:szCs w:val="24"/>
        </w:rPr>
        <w:t xml:space="preserve">4.1 원가 구조</w:t>
      </w:r>
    </w:p>
    <w:p>
      <w:pPr>
        <w:spacing w:after="60" w:before="60" w:line="300"/>
      </w:pPr>
      <w:r>
        <w:rPr>
          <w:rFonts w:ascii="맑은 고딕" w:cs="맑은 고딕" w:eastAsia="맑은 고딕" w:hAnsi="맑은 고딕"/>
          <w:sz w:val="20"/>
          <w:szCs w:val="20"/>
        </w:rPr>
        <w:t xml:space="preserve">AI 상품의 건당 변동비는 모델·도구 비용, 결제 수수료, 지원·보관 정액 비용으로 구성된다. 이 중 지원·보관비는 판매가와 무관한 정액이므로 저가 상품일수록 비중이 커진다.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1805"/>
        <w:gridCol w:w="993"/>
        <w:gridCol w:w="993"/>
        <w:gridCol w:w="1083"/>
        <w:gridCol w:w="993"/>
        <w:gridCol w:w="993"/>
        <w:gridCol w:w="903"/>
        <w:gridCol w:w="1263"/>
      </w:tblGrid>
      <w:tr>
        <w:trPr>
          <w:tblHeader/>
        </w:trPr>
        <w:tc>
          <w:tcPr>
            <w:tcW w:type="dxa" w:w="1805"/>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상품</w:t>
            </w:r>
          </w:p>
        </w:tc>
        <w:tc>
          <w:tcPr>
            <w:tcW w:type="dxa" w:w="99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공급가</w:t>
            </w:r>
          </w:p>
        </w:tc>
        <w:tc>
          <w:tcPr>
            <w:tcW w:type="dxa" w:w="99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모델·도구</w:t>
            </w:r>
          </w:p>
        </w:tc>
        <w:tc>
          <w:tcPr>
            <w:tcW w:type="dxa" w:w="108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결제 수수료</w:t>
            </w:r>
          </w:p>
        </w:tc>
        <w:tc>
          <w:tcPr>
            <w:tcW w:type="dxa" w:w="99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지원·보관</w:t>
            </w:r>
          </w:p>
        </w:tc>
        <w:tc>
          <w:tcPr>
            <w:tcW w:type="dxa" w:w="99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변동비 계</w:t>
            </w:r>
          </w:p>
        </w:tc>
        <w:tc>
          <w:tcPr>
            <w:tcW w:type="dxa" w:w="90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원가율</w:t>
            </w:r>
          </w:p>
        </w:tc>
        <w:tc>
          <w:tcPr>
            <w:tcW w:type="dxa" w:w="126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기여이익</w:t>
            </w:r>
          </w:p>
        </w:tc>
      </w:tr>
      <w:tr>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낱개</w:t>
            </w:r>
          </w:p>
        </w:tc>
        <w:tc>
          <w:tcPr>
            <w:tcW w:type="dxa" w:w="99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50,000</w:t>
            </w:r>
          </w:p>
        </w:tc>
        <w:tc>
          <w:tcPr>
            <w:tcW w:type="dxa" w:w="99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1,547</w:t>
            </w:r>
          </w:p>
        </w:tc>
        <w:tc>
          <w:tcPr>
            <w:tcW w:type="dxa" w:w="108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1,815</w:t>
            </w:r>
          </w:p>
        </w:tc>
        <w:tc>
          <w:tcPr>
            <w:tcW w:type="dxa" w:w="99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5,100</w:t>
            </w:r>
          </w:p>
        </w:tc>
        <w:tc>
          <w:tcPr>
            <w:tcW w:type="dxa" w:w="99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8,462</w:t>
            </w:r>
          </w:p>
        </w:tc>
        <w:tc>
          <w:tcPr>
            <w:tcW w:type="dxa" w:w="90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16.9%</w:t>
            </w:r>
          </w:p>
        </w:tc>
        <w:tc>
          <w:tcPr>
            <w:tcW w:type="dxa" w:w="126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41,538</w:t>
            </w:r>
          </w:p>
        </w:tc>
      </w:tr>
      <w:tr>
        <w:tc>
          <w:tcPr>
            <w:tcW w:type="dxa" w:w="180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진출 가능성 진단</w:t>
            </w:r>
          </w:p>
        </w:tc>
        <w:tc>
          <w:tcPr>
            <w:tcW w:type="dxa" w:w="99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119,000</w:t>
            </w:r>
          </w:p>
        </w:tc>
        <w:tc>
          <w:tcPr>
            <w:tcW w:type="dxa" w:w="99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2,503</w:t>
            </w:r>
          </w:p>
        </w:tc>
        <w:tc>
          <w:tcPr>
            <w:tcW w:type="dxa" w:w="108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4,320</w:t>
            </w:r>
          </w:p>
        </w:tc>
        <w:tc>
          <w:tcPr>
            <w:tcW w:type="dxa" w:w="99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5,100</w:t>
            </w:r>
          </w:p>
        </w:tc>
        <w:tc>
          <w:tcPr>
            <w:tcW w:type="dxa" w:w="99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11,923</w:t>
            </w:r>
          </w:p>
        </w:tc>
        <w:tc>
          <w:tcPr>
            <w:tcW w:type="dxa" w:w="90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10.0%</w:t>
            </w:r>
          </w:p>
        </w:tc>
        <w:tc>
          <w:tcPr>
            <w:tcW w:type="dxa" w:w="1263"/>
            <w:shd w:fill="F6F8F7"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107,077</w:t>
            </w:r>
          </w:p>
        </w:tc>
      </w:tr>
      <w:tr>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진출 설계</w:t>
            </w:r>
          </w:p>
        </w:tc>
        <w:tc>
          <w:tcPr>
            <w:tcW w:type="dxa" w:w="99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249,000</w:t>
            </w:r>
          </w:p>
        </w:tc>
        <w:tc>
          <w:tcPr>
            <w:tcW w:type="dxa" w:w="99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3,007</w:t>
            </w:r>
          </w:p>
        </w:tc>
        <w:tc>
          <w:tcPr>
            <w:tcW w:type="dxa" w:w="108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9,039</w:t>
            </w:r>
          </w:p>
        </w:tc>
        <w:tc>
          <w:tcPr>
            <w:tcW w:type="dxa" w:w="99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5,100</w:t>
            </w:r>
          </w:p>
        </w:tc>
        <w:tc>
          <w:tcPr>
            <w:tcW w:type="dxa" w:w="99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17,146</w:t>
            </w:r>
          </w:p>
        </w:tc>
        <w:tc>
          <w:tcPr>
            <w:tcW w:type="dxa" w:w="90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6.9%</w:t>
            </w:r>
          </w:p>
        </w:tc>
        <w:tc>
          <w:tcPr>
            <w:tcW w:type="dxa" w:w="1263"/>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7"/>
                <w:szCs w:val="17"/>
              </w:rPr>
              <w:t xml:space="preserve">231,854</w:t>
            </w:r>
          </w:p>
        </w:tc>
      </w:tr>
    </w:tbl>
    <w:p>
      <w:pPr>
        <w:pBdr>
          <w:left w:val="single" w:color="95D5B2" w:sz="12" w:space="8"/>
        </w:pBdr>
        <w:spacing w:after="140" w:before="100" w:line="300"/>
        <w:ind w:left="220"/>
      </w:pPr>
      <w:r>
        <w:rPr>
          <w:rFonts w:ascii="맑은 고딕" w:cs="맑은 고딕" w:eastAsia="맑은 고딕" w:hAnsi="맑은 고딕"/>
          <w:color w:val="40573F"/>
          <w:sz w:val="18"/>
          <w:szCs w:val="18"/>
        </w:rPr>
        <w:t xml:space="preserve">기존 기획안은 원가율을 3%로 추정했으나 이는 모델 비용만 계산한 값이었다. 실제 원가율은 16.9%이며, 기여이익 83%로 저가 전략은 여전히 성립한다. 다만 정액 비용 구조상 50,000원 미만 가격은 수익성이 급격히 악화되므로 이를 하한으로 설정한다.</w:t>
      </w:r>
    </w:p>
    <w:p>
      <w:pPr>
        <w:pStyle w:val="Heading2"/>
        <w:spacing w:after="110" w:before="220"/>
      </w:pPr>
      <w:r>
        <w:rPr>
          <w:rFonts w:ascii="맑은 고딕" w:cs="맑은 고딕" w:eastAsia="맑은 고딕" w:hAnsi="맑은 고딕"/>
          <w:b/>
          <w:bCs/>
          <w:color w:val="2D6A4F"/>
          <w:sz w:val="24"/>
          <w:szCs w:val="24"/>
        </w:rPr>
        <w:t xml:space="preserve">4.2 가격 결정 원칙</w:t>
      </w:r>
    </w:p>
    <w:p>
      <w:pPr>
        <w:pStyle w:val="ListParagraph"/>
        <w:numPr>
          <w:ilvl w:val="0"/>
          <w:numId w:val="2"/>
        </w:numPr>
        <w:spacing w:after="40" w:before="40" w:line="300"/>
      </w:pPr>
      <w:r>
        <w:rPr>
          <w:rFonts w:ascii="맑은 고딕" w:cs="맑은 고딕" w:eastAsia="맑은 고딕" w:hAnsi="맑은 고딕"/>
          <w:sz w:val="20"/>
          <w:szCs w:val="20"/>
        </w:rPr>
        <w:t xml:space="preserve">AI 완결 상품은 한계비용이 낮으므로 유입 목적의 저가를 적용한다. 단 정액 비용으로 인한 하한이 존재한다.</w:t>
      </w:r>
    </w:p>
    <w:p>
      <w:pPr>
        <w:pStyle w:val="ListParagraph"/>
        <w:numPr>
          <w:ilvl w:val="0"/>
          <w:numId w:val="2"/>
        </w:numPr>
        <w:spacing w:after="40" w:before="40" w:line="300"/>
      </w:pPr>
      <w:r>
        <w:rPr>
          <w:rFonts w:ascii="맑은 고딕" w:cs="맑은 고딕" w:eastAsia="맑은 고딕" w:hAnsi="맑은 고딕"/>
          <w:sz w:val="20"/>
          <w:szCs w:val="20"/>
        </w:rPr>
        <w:t xml:space="preserve">사람 시간이 원가인 상품은 할인하지 않는다. 진입 문턱은 할인이 아니라 제공 시간 축소로 낮춘다.</w:t>
      </w:r>
    </w:p>
    <w:p>
      <w:pPr>
        <w:pStyle w:val="ListParagraph"/>
        <w:numPr>
          <w:ilvl w:val="0"/>
          <w:numId w:val="2"/>
        </w:numPr>
        <w:spacing w:after="40" w:before="40" w:line="300"/>
      </w:pPr>
      <w:r>
        <w:rPr>
          <w:rFonts w:ascii="맑은 고딕" w:cs="맑은 고딕" w:eastAsia="맑은 고딕" w:hAnsi="맑은 고딕"/>
          <w:sz w:val="20"/>
          <w:szCs w:val="20"/>
        </w:rPr>
        <w:t xml:space="preserve">패키지 가격은 구성 상품의 낱개 합계보다 항상 낮으며, 포함 종수가 많을수록 높다.</w:t>
      </w:r>
    </w:p>
    <w:p>
      <w:pPr>
        <w:pStyle w:val="ListParagraph"/>
        <w:numPr>
          <w:ilvl w:val="0"/>
          <w:numId w:val="2"/>
        </w:numPr>
        <w:spacing w:after="40" w:before="40" w:line="300"/>
      </w:pPr>
      <w:r>
        <w:rPr>
          <w:rFonts w:ascii="맑은 고딕" w:cs="맑은 고딕" w:eastAsia="맑은 고딕" w:hAnsi="맑은 고딕"/>
          <w:sz w:val="20"/>
          <w:szCs w:val="20"/>
        </w:rPr>
        <w:t xml:space="preserve">전문가 상품 가격은 인건비를 플랫폼 수수료율로 나눈 값 이상으로 설정하여 전문가 수취액이 인건비를 하회하지 않도록 한다.</w:t>
      </w:r>
    </w:p>
    <w:p>
      <w:pPr>
        <w:pStyle w:val="Heading2"/>
        <w:spacing w:after="110" w:before="220"/>
      </w:pPr>
      <w:r>
        <w:rPr>
          <w:rFonts w:ascii="맑은 고딕" w:cs="맑은 고딕" w:eastAsia="맑은 고딕" w:hAnsi="맑은 고딕"/>
          <w:b/>
          <w:bCs/>
          <w:color w:val="2D6A4F"/>
          <w:sz w:val="24"/>
          <w:szCs w:val="24"/>
        </w:rPr>
        <w:t xml:space="preserve">4.3 가격 사다리</w:t>
      </w:r>
    </w:p>
    <w:p>
      <w:pPr>
        <w:spacing w:after="60" w:before="60" w:line="300"/>
      </w:pPr>
      <w:r>
        <w:rPr>
          <w:rFonts w:ascii="맑은 고딕" w:cs="맑은 고딕" w:eastAsia="맑은 고딕" w:hAnsi="맑은 고딕"/>
          <w:sz w:val="20"/>
          <w:szCs w:val="20"/>
        </w:rPr>
        <w:t xml:space="preserve">두 단계를 합치면 50,000원에서 950,000원까지 연속적인 가격 계단이 형성된다. 멘토 상담 120,000원이 AI 상품과 전문가 상품 사이의 진입 계단 역할을 한다.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1444"/>
        <w:gridCol w:w="3069"/>
        <w:gridCol w:w="4513"/>
      </w:tblGrid>
      <w:tr>
        <w:trPr>
          <w:tblHeader/>
        </w:trPr>
        <w:tc>
          <w:tcPr>
            <w:tcW w:type="dxa" w:w="1444"/>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가격</w:t>
            </w:r>
          </w:p>
        </w:tc>
        <w:tc>
          <w:tcPr>
            <w:tcW w:type="dxa" w:w="3069"/>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상품</w:t>
            </w:r>
          </w:p>
        </w:tc>
        <w:tc>
          <w:tcPr>
            <w:tcW w:type="dxa" w:w="451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성격</w:t>
            </w:r>
          </w:p>
        </w:tc>
      </w:tr>
      <w:tr>
        <w:tc>
          <w:tcPr>
            <w:tcW w:type="dxa" w:w="144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50,000</w:t>
            </w:r>
          </w:p>
        </w:tc>
        <w:tc>
          <w:tcPr>
            <w:tcW w:type="dxa" w:w="3069"/>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 낱개 7종</w:t>
            </w:r>
          </w:p>
        </w:tc>
        <w:tc>
          <w:tcPr>
            <w:tcW w:type="dxa" w:w="451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AI가 끝까지 수행. 유일한 할인 구간</w:t>
            </w:r>
          </w:p>
        </w:tc>
      </w:tr>
      <w:tr>
        <w:tc>
          <w:tcPr>
            <w:tcW w:type="dxa" w:w="144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119,000</w:t>
            </w:r>
          </w:p>
        </w:tc>
        <w:tc>
          <w:tcPr>
            <w:tcW w:type="dxa" w:w="3069"/>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진출 가능성 진단</w:t>
            </w:r>
          </w:p>
        </w:tc>
        <w:tc>
          <w:tcPr>
            <w:tcW w:type="dxa" w:w="451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 패키지</w:t>
            </w:r>
          </w:p>
        </w:tc>
      </w:tr>
      <w:tr>
        <w:tc>
          <w:tcPr>
            <w:tcW w:type="dxa" w:w="144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120,000</w:t>
            </w:r>
          </w:p>
        </w:tc>
        <w:tc>
          <w:tcPr>
            <w:tcW w:type="dxa" w:w="3069"/>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멘토 상담 1시간</w:t>
            </w:r>
          </w:p>
        </w:tc>
        <w:tc>
          <w:tcPr>
            <w:tcW w:type="dxa" w:w="451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사람과 처음 만나는 지점</w:t>
            </w:r>
          </w:p>
        </w:tc>
      </w:tr>
      <w:tr>
        <w:tc>
          <w:tcPr>
            <w:tcW w:type="dxa" w:w="144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249,000</w:t>
            </w:r>
          </w:p>
        </w:tc>
        <w:tc>
          <w:tcPr>
            <w:tcW w:type="dxa" w:w="3069"/>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진출 설계</w:t>
            </w:r>
          </w:p>
        </w:tc>
        <w:tc>
          <w:tcPr>
            <w:tcW w:type="dxa" w:w="451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 전 영역 패키지</w:t>
            </w:r>
          </w:p>
        </w:tc>
      </w:tr>
      <w:tr>
        <w:tc>
          <w:tcPr>
            <w:tcW w:type="dxa" w:w="144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410,000</w:t>
            </w:r>
          </w:p>
        </w:tc>
        <w:tc>
          <w:tcPr>
            <w:tcW w:type="dxa" w:w="3069"/>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규제 확정 · GTM 검토</w:t>
            </w:r>
          </w:p>
        </w:tc>
        <w:tc>
          <w:tcPr>
            <w:tcW w:type="dxa" w:w="451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자격자가 책임지는 지점</w:t>
            </w:r>
          </w:p>
        </w:tc>
      </w:tr>
      <w:tr>
        <w:tc>
          <w:tcPr>
            <w:tcW w:type="dxa" w:w="144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480,000</w:t>
            </w:r>
          </w:p>
        </w:tc>
        <w:tc>
          <w:tcPr>
            <w:tcW w:type="dxa" w:w="3069"/>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파트너 실재·평판 검증</w:t>
            </w:r>
          </w:p>
        </w:tc>
        <w:tc>
          <w:tcPr>
            <w:tcW w:type="dxa" w:w="451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현지 전문가 투입</w:t>
            </w:r>
          </w:p>
        </w:tc>
      </w:tr>
      <w:tr>
        <w:tc>
          <w:tcPr>
            <w:tcW w:type="dxa" w:w="144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950,000</w:t>
            </w:r>
          </w:p>
        </w:tc>
        <w:tc>
          <w:tcPr>
            <w:tcW w:type="dxa" w:w="3069"/>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파트너 접촉·소개</w:t>
            </w:r>
          </w:p>
        </w:tc>
        <w:tc>
          <w:tcPr>
            <w:tcW w:type="dxa" w:w="4513"/>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현지 네트워크가 실제로 움직이는 지점</w:t>
            </w:r>
          </w:p>
        </w:tc>
      </w:tr>
    </w:tbl>
    <w:p>
      <w:r>
        <w:br w:type="page"/>
      </w:r>
    </w:p>
    <w:p>
      <w:pPr>
        <w:pStyle w:val="Heading1"/>
        <w:spacing w:after="160" w:before="320"/>
      </w:pPr>
      <w:r>
        <w:rPr>
          <w:rFonts w:ascii="맑은 고딕" w:cs="맑은 고딕" w:eastAsia="맑은 고딕" w:hAnsi="맑은 고딕"/>
          <w:b/>
          <w:bCs/>
          <w:color w:val="1B4332"/>
          <w:sz w:val="30"/>
          <w:szCs w:val="30"/>
        </w:rPr>
        <w:t xml:space="preserve">5. 론칭 전략</w:t>
      </w:r>
    </w:p>
    <w:p>
      <w:pPr>
        <w:pStyle w:val="Heading2"/>
        <w:spacing w:after="110" w:before="220"/>
      </w:pPr>
      <w:r>
        <w:rPr>
          <w:rFonts w:ascii="맑은 고딕" w:cs="맑은 고딕" w:eastAsia="맑은 고딕" w:hAnsi="맑은 고딕"/>
          <w:b/>
          <w:bCs/>
          <w:color w:val="2D6A4F"/>
          <w:sz w:val="24"/>
          <w:szCs w:val="24"/>
        </w:rPr>
        <w:t xml:space="preserve">5.1 기본 방침</w:t>
      </w:r>
    </w:p>
    <w:p>
      <w:pPr>
        <w:spacing w:after="60" w:before="60" w:line="300"/>
      </w:pPr>
      <w:r>
        <w:rPr>
          <w:rFonts w:ascii="맑은 고딕" w:cs="맑은 고딕" w:eastAsia="맑은 고딕" w:hAnsi="맑은 고딕"/>
          <w:sz w:val="20"/>
          <w:szCs w:val="20"/>
        </w:rPr>
        <w:t xml:space="preserve">1차와 2차는 목적이 다르다. 1차는 매출이 아니라 학습과 유입을 위한 단계이며, 2차가 실질적인 수익 단계이다. 따라서 1차 종료 조건도 매출액이 아니라 누적 고객 수로 설정한다.</w:t>
      </w:r>
    </w:p>
    <w:p>
      <w:pPr>
        <w:pBdr>
          <w:left w:val="single" w:color="95D5B2" w:sz="12" w:space="8"/>
        </w:pBdr>
        <w:spacing w:after="140" w:before="100" w:line="300"/>
        <w:ind w:left="220"/>
      </w:pPr>
      <w:r>
        <w:rPr>
          <w:rFonts w:ascii="맑은 고딕" w:cs="맑은 고딕" w:eastAsia="맑은 고딕" w:hAnsi="맑은 고딕"/>
          <w:color w:val="40573F"/>
          <w:sz w:val="18"/>
          <w:szCs w:val="18"/>
        </w:rPr>
        <w:t xml:space="preserve">저가 정책의 실질 비용은 현금이 아니라 가격 앵커링이다. 50,000원에 구매한 고객과 그 후기를 본 시장은 이후 정가를 비싸게 인식한다. 이 손실은 매출액이 아니라 저가를 경험한 인원 수에 비례하므로, 종료 조건 역시 인원 기준으로 설정하는 것이 타당하다.</w:t>
      </w:r>
    </w:p>
    <w:p>
      <w:pPr>
        <w:pStyle w:val="Heading2"/>
        <w:spacing w:after="110" w:before="220"/>
      </w:pPr>
      <w:r>
        <w:rPr>
          <w:rFonts w:ascii="맑은 고딕" w:cs="맑은 고딕" w:eastAsia="맑은 고딕" w:hAnsi="맑은 고딕"/>
          <w:b/>
          <w:bCs/>
          <w:color w:val="2D6A4F"/>
          <w:sz w:val="24"/>
          <w:szCs w:val="24"/>
        </w:rPr>
        <w:t xml:space="preserve">5.2 단계별 로드맵</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1354"/>
        <w:gridCol w:w="1264"/>
        <w:gridCol w:w="1715"/>
        <w:gridCol w:w="2166"/>
        <w:gridCol w:w="2527"/>
      </w:tblGrid>
      <w:tr>
        <w:trPr>
          <w:tblHeader/>
        </w:trPr>
        <w:tc>
          <w:tcPr>
            <w:tcW w:type="dxa" w:w="1354"/>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단계</w:t>
            </w:r>
          </w:p>
        </w:tc>
        <w:tc>
          <w:tcPr>
            <w:tcW w:type="dxa" w:w="1264"/>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기간</w:t>
            </w:r>
          </w:p>
        </w:tc>
        <w:tc>
          <w:tcPr>
            <w:tcW w:type="dxa" w:w="1715"/>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상품</w:t>
            </w:r>
          </w:p>
        </w:tc>
        <w:tc>
          <w:tcPr>
            <w:tcW w:type="dxa" w:w="216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목적</w:t>
            </w:r>
          </w:p>
        </w:tc>
        <w:tc>
          <w:tcPr>
            <w:tcW w:type="dxa" w:w="2527"/>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핵심 지표</w:t>
            </w:r>
          </w:p>
        </w:tc>
      </w:tr>
      <w:tr>
        <w:tc>
          <w:tcPr>
            <w:tcW w:type="dxa" w:w="135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1차 론칭</w:t>
            </w:r>
          </w:p>
        </w:tc>
        <w:tc>
          <w:tcPr>
            <w:tcW w:type="dxa" w:w="1264"/>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0~6개월</w:t>
            </w:r>
          </w:p>
        </w:tc>
        <w:tc>
          <w:tcPr>
            <w:tcW w:type="dxa" w:w="171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 전용 9종</w:t>
            </w:r>
          </w:p>
        </w:tc>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유입 확보 및 품질 검증</w:t>
            </w:r>
          </w:p>
        </w:tc>
        <w:tc>
          <w:tcPr>
            <w:tcW w:type="dxa" w:w="2527"/>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누적 결제 건수, 보고서 실패율</w:t>
            </w:r>
          </w:p>
        </w:tc>
      </w:tr>
      <w:tr>
        <w:tc>
          <w:tcPr>
            <w:tcW w:type="dxa" w:w="135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전문가 섭외</w:t>
            </w:r>
          </w:p>
        </w:tc>
        <w:tc>
          <w:tcPr>
            <w:tcW w:type="dxa" w:w="126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3개월~</w:t>
            </w:r>
          </w:p>
        </w:tc>
        <w:tc>
          <w:tcPr>
            <w:tcW w:type="dxa" w:w="171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w:t>
            </w:r>
          </w:p>
        </w:tc>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 공급 확보</w:t>
            </w:r>
          </w:p>
        </w:tc>
        <w:tc>
          <w:tcPr>
            <w:tcW w:type="dxa" w:w="2527"/>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카테고리별 계약 전문가 수</w:t>
            </w:r>
          </w:p>
        </w:tc>
      </w:tr>
      <w:tr>
        <w:tc>
          <w:tcPr>
            <w:tcW w:type="dxa" w:w="135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2차 론칭</w:t>
            </w:r>
          </w:p>
        </w:tc>
        <w:tc>
          <w:tcPr>
            <w:tcW w:type="dxa" w:w="1264"/>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6개월~</w:t>
            </w:r>
          </w:p>
        </w:tc>
        <w:tc>
          <w:tcPr>
            <w:tcW w:type="dxa" w:w="171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전문가 8종 추가</w:t>
            </w:r>
          </w:p>
        </w:tc>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수익 실현</w:t>
            </w:r>
          </w:p>
        </w:tc>
        <w:tc>
          <w:tcPr>
            <w:tcW w:type="dxa" w:w="2527"/>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전문가 상품 전환율, 정산 정확도</w:t>
            </w:r>
          </w:p>
        </w:tc>
      </w:tr>
    </w:tbl>
    <w:p>
      <w:pPr>
        <w:spacing w:after="120" w:before="0"/>
      </w:pPr>
      <w:r>
        <w:rPr>
          <w:rFonts w:ascii="맑은 고딕" w:cs="맑은 고딕" w:eastAsia="맑은 고딕" w:hAnsi="맑은 고딕"/>
          <w:sz w:val="20"/>
          <w:szCs w:val="20"/>
        </w:rPr>
        <w:t xml:space="preserve"/>
      </w:r>
    </w:p>
    <w:p>
      <w:pPr>
        <w:pStyle w:val="Heading2"/>
        <w:spacing w:after="110" w:before="220"/>
      </w:pPr>
      <w:r>
        <w:rPr>
          <w:rFonts w:ascii="맑은 고딕" w:cs="맑은 고딕" w:eastAsia="맑은 고딕" w:hAnsi="맑은 고딕"/>
          <w:b/>
          <w:bCs/>
          <w:color w:val="2D6A4F"/>
          <w:sz w:val="24"/>
          <w:szCs w:val="24"/>
        </w:rPr>
        <w:t xml:space="preserve">5.3 1차 론칭 운영 게이트</w:t>
      </w:r>
    </w:p>
    <w:p>
      <w:pPr>
        <w:spacing w:after="60" w:before="60" w:line="300"/>
      </w:pPr>
      <w:r>
        <w:rPr>
          <w:rFonts w:ascii="맑은 고딕" w:cs="맑은 고딕" w:eastAsia="맑은 고딕" w:hAnsi="맑은 고딕"/>
          <w:sz w:val="20"/>
          <w:szCs w:val="20"/>
        </w:rPr>
        <w:t xml:space="preserve">1차 운영은 세 구간으로 나누어 각 구간마다 판단 대상을 달리한다. 구간별 표본 수는 통계적 판별력을 기준으로 산정하였다.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903"/>
        <w:gridCol w:w="1354"/>
        <w:gridCol w:w="3430"/>
        <w:gridCol w:w="3339"/>
      </w:tblGrid>
      <w:tr>
        <w:trPr>
          <w:tblHeader/>
        </w:trPr>
        <w:tc>
          <w:tcPr>
            <w:tcW w:type="dxa" w:w="903"/>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게이트</w:t>
            </w:r>
          </w:p>
        </w:tc>
        <w:tc>
          <w:tcPr>
            <w:tcW w:type="dxa" w:w="1354"/>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누적 결제</w:t>
            </w:r>
          </w:p>
        </w:tc>
        <w:tc>
          <w:tcPr>
            <w:tcW w:type="dxa" w:w="3430"/>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확보하는 정보</w:t>
            </w:r>
          </w:p>
        </w:tc>
        <w:tc>
          <w:tcPr>
            <w:tcW w:type="dxa" w:w="3339"/>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이 구간의 의사결정</w:t>
            </w:r>
          </w:p>
        </w:tc>
      </w:tr>
      <w:tr>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1</w:t>
            </w:r>
          </w:p>
        </w:tc>
        <w:tc>
          <w:tcPr>
            <w:tcW w:type="dxa" w:w="1354"/>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1~30건</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보고서 실패율, 소요시간, 환불 사유</w:t>
            </w:r>
          </w:p>
        </w:tc>
        <w:tc>
          <w:tcPr>
            <w:tcW w:type="dxa" w:w="3339"/>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가격 고정. 품질 문제만 대응</w:t>
            </w:r>
          </w:p>
        </w:tc>
      </w:tr>
      <w:tr>
        <w:tc>
          <w:tcPr>
            <w:tcW w:type="dxa" w:w="903"/>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w:t>
            </w:r>
          </w:p>
        </w:tc>
        <w:tc>
          <w:tcPr>
            <w:tcW w:type="dxa" w:w="135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31~100건</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상품 구성비, 판매 분포</w:t>
            </w:r>
          </w:p>
        </w:tc>
        <w:tc>
          <w:tcPr>
            <w:tcW w:type="dxa" w:w="3339"/>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판매되지 않는 상품 정리</w:t>
            </w:r>
          </w:p>
        </w:tc>
      </w:tr>
      <w:tr>
        <w:tc>
          <w:tcPr>
            <w:tcW w:type="dxa" w:w="903"/>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3</w:t>
            </w:r>
          </w:p>
        </w:tc>
        <w:tc>
          <w:tcPr>
            <w:tcW w:type="dxa" w:w="1354"/>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101~200건</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가격 탄력성 (신규 유입 절반에 인상가 노출)</w:t>
            </w:r>
          </w:p>
        </w:tc>
        <w:tc>
          <w:tcPr>
            <w:tcW w:type="dxa" w:w="3339"/>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200건 도달 시 1차 종료, 2차 착수</w:t>
            </w:r>
          </w:p>
        </w:tc>
      </w:tr>
    </w:tbl>
    <w:p>
      <w:pPr>
        <w:pBdr>
          <w:left w:val="single" w:color="95D5B2" w:sz="12" w:space="8"/>
        </w:pBdr>
        <w:spacing w:after="140" w:before="100" w:line="300"/>
        <w:ind w:left="220"/>
      </w:pPr>
      <w:r>
        <w:rPr>
          <w:rFonts w:ascii="맑은 고딕" w:cs="맑은 고딕" w:eastAsia="맑은 고딕" w:hAnsi="맑은 고딕"/>
          <w:color w:val="40573F"/>
          <w:sz w:val="18"/>
          <w:szCs w:val="18"/>
        </w:rPr>
        <w:t xml:space="preserve">표본 근거: 실패율 5% 관측 시 95% 신뢰구간이 30건에서는 1.2~19.1%로 판단이 불가능하나, 200건에서는 2.7~9.0%로 좁혀진다. 300건으로 늘려도 구간 폭은 1.2%p만 개선되어 추가 학습 효과 대비 앵커링 비용이 커진다.</w:t>
      </w:r>
    </w:p>
    <w:p>
      <w:pPr>
        <w:pStyle w:val="Heading2"/>
        <w:spacing w:after="110" w:before="220"/>
      </w:pPr>
      <w:r>
        <w:rPr>
          <w:rFonts w:ascii="맑은 고딕" w:cs="맑은 고딕" w:eastAsia="맑은 고딕" w:hAnsi="맑은 고딕"/>
          <w:b/>
          <w:bCs/>
          <w:color w:val="2D6A4F"/>
          <w:sz w:val="24"/>
          <w:szCs w:val="24"/>
        </w:rPr>
        <w:t xml:space="preserve">5.4 2차 착수 조건</w:t>
      </w:r>
    </w:p>
    <w:p>
      <w:pPr>
        <w:spacing w:after="60" w:before="60" w:line="300"/>
      </w:pPr>
      <w:r>
        <w:rPr>
          <w:rFonts w:ascii="맑은 고딕" w:cs="맑은 고딕" w:eastAsia="맑은 고딕" w:hAnsi="맑은 고딕"/>
          <w:sz w:val="20"/>
          <w:szCs w:val="20"/>
        </w:rPr>
        <w:t xml:space="preserve">2차는 날짜가 아니라 공급 준비 상태로 개시한다. 전문가가 확보되지 않은 상태에서 상품을 노출하면 주문을 이행할 수 없어 첫 고객에게 신뢰를 잃는다.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722"/>
        <w:gridCol w:w="2888"/>
        <w:gridCol w:w="5416"/>
      </w:tblGrid>
      <w:tr>
        <w:trPr>
          <w:tblHeader/>
        </w:trPr>
        <w:tc>
          <w:tcPr>
            <w:tcW w:type="dxa" w:w="722"/>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번호</w:t>
            </w:r>
          </w:p>
        </w:tc>
        <w:tc>
          <w:tcPr>
            <w:tcW w:type="dxa" w:w="2888"/>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조건</w:t>
            </w:r>
          </w:p>
        </w:tc>
        <w:tc>
          <w:tcPr>
            <w:tcW w:type="dxa" w:w="541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판정 기준</w:t>
            </w:r>
          </w:p>
        </w:tc>
      </w:tr>
      <w:tr>
        <w:tc>
          <w:tcPr>
            <w:tcW w:type="dxa" w:w="722"/>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1</w:t>
            </w:r>
          </w:p>
        </w:tc>
        <w:tc>
          <w:tcPr>
            <w:tcW w:type="dxa" w:w="2888"/>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카테고리별 전문가 확보</w:t>
            </w:r>
          </w:p>
        </w:tc>
        <w:tc>
          <w:tcPr>
            <w:tcW w:type="dxa" w:w="5416"/>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규제·현지·GTM·멘토 각 2인 이상 계약</w:t>
            </w:r>
          </w:p>
        </w:tc>
      </w:tr>
      <w:tr>
        <w:tc>
          <w:tcPr>
            <w:tcW w:type="dxa" w:w="72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w:t>
            </w:r>
          </w:p>
        </w:tc>
        <w:tc>
          <w:tcPr>
            <w:tcW w:type="dxa" w:w="288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정산 체계 확정</w:t>
            </w:r>
          </w:p>
        </w:tc>
        <w:tc>
          <w:tcPr>
            <w:tcW w:type="dxa" w:w="541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세금계산서 처리 및 부가세 귀속 기준 확정</w:t>
            </w:r>
          </w:p>
        </w:tc>
      </w:tr>
      <w:tr>
        <w:tc>
          <w:tcPr>
            <w:tcW w:type="dxa" w:w="722"/>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3</w:t>
            </w:r>
          </w:p>
        </w:tc>
        <w:tc>
          <w:tcPr>
            <w:tcW w:type="dxa" w:w="2888"/>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 수요 검증</w:t>
            </w:r>
          </w:p>
        </w:tc>
        <w:tc>
          <w:tcPr>
            <w:tcW w:type="dxa" w:w="5416"/>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누적 결제 200건 이상</w:t>
            </w:r>
          </w:p>
        </w:tc>
      </w:tr>
      <w:tr>
        <w:tc>
          <w:tcPr>
            <w:tcW w:type="dxa" w:w="72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4</w:t>
            </w:r>
          </w:p>
        </w:tc>
        <w:tc>
          <w:tcPr>
            <w:tcW w:type="dxa" w:w="288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이행 기준 합의</w:t>
            </w:r>
          </w:p>
        </w:tc>
        <w:tc>
          <w:tcPr>
            <w:tcW w:type="dxa" w:w="541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응답 48시간, 완료 2주 SLA</w:t>
            </w:r>
          </w:p>
        </w:tc>
      </w:tr>
    </w:tbl>
    <w:p>
      <w:pPr>
        <w:pBdr>
          <w:left w:val="single" w:color="95D5B2" w:sz="12" w:space="8"/>
        </w:pBdr>
        <w:spacing w:after="140" w:before="100" w:line="300"/>
        <w:ind w:left="220"/>
      </w:pPr>
      <w:r>
        <w:rPr>
          <w:rFonts w:ascii="맑은 고딕" w:cs="맑은 고딕" w:eastAsia="맑은 고딕" w:hAnsi="맑은 고딕"/>
          <w:color w:val="40573F"/>
          <w:sz w:val="18"/>
          <w:szCs w:val="18"/>
        </w:rPr>
        <w:t xml:space="preserve">3번 조건에 시간 분기를 넣지 않는다. '3개월 경과'를 대안 조건으로 두면 10건만 판매된 상태에서도 게이트가 열려, 1차 수요 데이터로 2차를 설계한다는 본 전략의 전제가 무너진다. 3개월이 지나도 200건에 미달하면 2차를 개시하는 것이 아니라 유입 경로를 먼저 점검한다.</w:t>
      </w:r>
    </w:p>
    <w:p>
      <w:pPr>
        <w:pStyle w:val="Heading2"/>
        <w:spacing w:after="110" w:before="220"/>
      </w:pPr>
      <w:r>
        <w:rPr>
          <w:rFonts w:ascii="맑은 고딕" w:cs="맑은 고딕" w:eastAsia="맑은 고딕" w:hAnsi="맑은 고딕"/>
          <w:b/>
          <w:bCs/>
          <w:color w:val="2D6A4F"/>
          <w:sz w:val="24"/>
          <w:szCs w:val="24"/>
        </w:rPr>
        <w:t xml:space="preserve">5.5 전환 경로 설계</w:t>
      </w:r>
    </w:p>
    <w:p>
      <w:pPr>
        <w:spacing w:after="60" w:before="60" w:line="300"/>
      </w:pPr>
      <w:r>
        <w:rPr>
          <w:rFonts w:ascii="맑은 고딕" w:cs="맑은 고딕" w:eastAsia="맑은 고딕" w:hAnsi="맑은 고딕"/>
          <w:sz w:val="20"/>
          <w:szCs w:val="20"/>
        </w:rPr>
        <w:t xml:space="preserve">1차에서 판매한 AI 상품이 2차 고가 상품의 리드가 되는 구조를 설계한다. 플랫폼의 GTM 여정 기능은 이미 각 실행 액션을 '규제 관련', '현장 실행 필요', '전문가 명시 요청'으로 분류하고 있으므로, 이 분류를 상품 계층에 그대로 연결한다.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2166"/>
        <w:gridCol w:w="3249"/>
        <w:gridCol w:w="3611"/>
      </w:tblGrid>
      <w:tr>
        <w:trPr>
          <w:tblHeader/>
        </w:trPr>
        <w:tc>
          <w:tcPr>
            <w:tcW w:type="dxa" w:w="216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여정 액션 분류</w:t>
            </w:r>
          </w:p>
        </w:tc>
        <w:tc>
          <w:tcPr>
            <w:tcW w:type="dxa" w:w="3249"/>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1차 연결 상품</w:t>
            </w:r>
          </w:p>
        </w:tc>
        <w:tc>
          <w:tcPr>
            <w:tcW w:type="dxa" w:w="3611"/>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2차 연결 상품</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규제 관련</w:t>
            </w:r>
          </w:p>
        </w:tc>
        <w:tc>
          <w:tcPr>
            <w:tcW w:type="dxa" w:w="3249"/>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규제 요건 조사 (50,000)</w:t>
            </w:r>
          </w:p>
        </w:tc>
        <w:tc>
          <w:tcPr>
            <w:tcW w:type="dxa" w:w="361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제품 분류·인허가 확정 (410,000)</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현장 실행 필요</w:t>
            </w:r>
          </w:p>
        </w:tc>
        <w:tc>
          <w:tcPr>
            <w:tcW w:type="dxa" w:w="3249"/>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파트너·생태계 조사 (50,000)</w:t>
            </w:r>
          </w:p>
        </w:tc>
        <w:tc>
          <w:tcPr>
            <w:tcW w:type="dxa" w:w="3611"/>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파트너 접촉·소개 (950,000)</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전문가 명시 요청</w:t>
            </w:r>
          </w:p>
        </w:tc>
        <w:tc>
          <w:tcPr>
            <w:tcW w:type="dxa" w:w="3249"/>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해당 AI 상품</w:t>
            </w:r>
          </w:p>
        </w:tc>
        <w:tc>
          <w:tcPr>
            <w:tcW w:type="dxa" w:w="361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멘토 상담 (120,000)</w:t>
            </w:r>
          </w:p>
        </w:tc>
      </w:tr>
    </w:tbl>
    <w:p>
      <w:pPr>
        <w:spacing w:after="120" w:before="0"/>
      </w:pPr>
      <w:r>
        <w:rPr>
          <w:rFonts w:ascii="맑은 고딕" w:cs="맑은 고딕" w:eastAsia="맑은 고딕" w:hAnsi="맑은 고딕"/>
          <w:sz w:val="20"/>
          <w:szCs w:val="20"/>
        </w:rPr>
        <w:t xml:space="preserve"/>
      </w:r>
    </w:p>
    <w:p>
      <w:pPr>
        <w:spacing w:after="60" w:before="60" w:line="300"/>
      </w:pPr>
      <w:r>
        <w:rPr>
          <w:rFonts w:ascii="맑은 고딕" w:cs="맑은 고딕" w:eastAsia="맑은 고딕" w:hAnsi="맑은 고딕"/>
          <w:b/>
          <w:bCs/>
          <w:sz w:val="20"/>
          <w:szCs w:val="20"/>
        </w:rPr>
        <w:t xml:space="preserve">전환 시나리오 예시  </w:t>
      </w:r>
      <w:r>
        <w:rPr>
          <w:rFonts w:ascii="맑은 고딕" w:cs="맑은 고딕" w:eastAsia="맑은 고딕" w:hAnsi="맑은 고딕"/>
          <w:sz w:val="20"/>
          <w:szCs w:val="20"/>
        </w:rPr>
        <w:t xml:space="preserve">준비도 진단 → GTM 계획 수립 → '인증 요건 확인' 액션 도출 → AI 규제 요건 조사 구매(50,000원) → 보고서에 '분류 확정 필요' 표시 → 전문가 분류 확정 구매(410,000원)</w:t>
      </w:r>
    </w:p>
    <w:p>
      <w:pPr>
        <w:pStyle w:val="Heading2"/>
        <w:spacing w:after="110" w:before="220"/>
      </w:pPr>
      <w:r>
        <w:rPr>
          <w:rFonts w:ascii="맑은 고딕" w:cs="맑은 고딕" w:eastAsia="맑은 고딕" w:hAnsi="맑은 고딕"/>
          <w:b/>
          <w:bCs/>
          <w:color w:val="2D6A4F"/>
          <w:sz w:val="24"/>
          <w:szCs w:val="24"/>
        </w:rPr>
        <w:t xml:space="preserve">5.6 1차 기간 중 기대 관리</w:t>
      </w:r>
    </w:p>
    <w:p>
      <w:pPr>
        <w:spacing w:after="60" w:before="60" w:line="300"/>
      </w:pPr>
      <w:r>
        <w:rPr>
          <w:rFonts w:ascii="맑은 고딕" w:cs="맑은 고딕" w:eastAsia="맑은 고딕" w:hAnsi="맑은 고딕"/>
          <w:sz w:val="20"/>
          <w:szCs w:val="20"/>
        </w:rPr>
        <w:t xml:space="preserve">2차 상품이 없는 6개월 동안, 사람의 개입이 필요한 액션에 대해서는 그 사실을 명시한다. AI 상품만으로 해결되는 것처럼 안내하면 1차 구매 고객의 불만이 2차 출시 전에 누적된다.</w:t>
      </w:r>
    </w:p>
    <w:p>
      <w:pPr>
        <w:pStyle w:val="ListParagraph"/>
        <w:numPr>
          <w:ilvl w:val="0"/>
          <w:numId w:val="2"/>
        </w:numPr>
        <w:spacing w:after="40" w:before="40" w:line="300"/>
      </w:pPr>
      <w:r>
        <w:rPr>
          <w:rFonts w:ascii="맑은 고딕" w:cs="맑은 고딕" w:eastAsia="맑은 고딕" w:hAnsi="맑은 고딕"/>
          <w:sz w:val="20"/>
          <w:szCs w:val="20"/>
        </w:rPr>
        <w:t xml:space="preserve">규제·현장 실행 액션에는 '이 액션은 사람 확인이 필요합니다' 문구를 함께 노출한다.</w:t>
      </w:r>
    </w:p>
    <w:p>
      <w:pPr>
        <w:pStyle w:val="ListParagraph"/>
        <w:numPr>
          <w:ilvl w:val="0"/>
          <w:numId w:val="2"/>
        </w:numPr>
        <w:spacing w:after="40" w:before="40" w:line="300"/>
      </w:pPr>
      <w:r>
        <w:rPr>
          <w:rFonts w:ascii="맑은 고딕" w:cs="맑은 고딕" w:eastAsia="맑은 고딕" w:hAnsi="맑은 고딕"/>
          <w:sz w:val="20"/>
          <w:szCs w:val="20"/>
        </w:rPr>
        <w:t xml:space="preserve">규제 요건 조사 산출물에는 '분류 확정은 별도 자격자 검토가 필요합니다'를 명시한다.</w:t>
      </w:r>
    </w:p>
    <w:p>
      <w:pPr>
        <w:pStyle w:val="ListParagraph"/>
        <w:numPr>
          <w:ilvl w:val="0"/>
          <w:numId w:val="2"/>
        </w:numPr>
        <w:spacing w:after="40" w:before="40" w:line="300"/>
      </w:pPr>
      <w:r>
        <w:rPr>
          <w:rFonts w:ascii="맑은 고딕" w:cs="맑은 고딕" w:eastAsia="맑은 고딕" w:hAnsi="맑은 고딕"/>
          <w:sz w:val="20"/>
          <w:szCs w:val="20"/>
        </w:rPr>
        <w:t xml:space="preserve">결제 화면에 법적 판단이 아님을 사전 고지한다.</w:t>
      </w:r>
    </w:p>
    <w:p>
      <w:r>
        <w:br w:type="page"/>
      </w:r>
    </w:p>
    <w:p>
      <w:pPr>
        <w:pStyle w:val="Heading1"/>
        <w:spacing w:after="160" w:before="320"/>
      </w:pPr>
      <w:r>
        <w:rPr>
          <w:rFonts w:ascii="맑은 고딕" w:cs="맑은 고딕" w:eastAsia="맑은 고딕" w:hAnsi="맑은 고딕"/>
          <w:b/>
          <w:bCs/>
          <w:color w:val="1B4332"/>
          <w:sz w:val="30"/>
          <w:szCs w:val="30"/>
        </w:rPr>
        <w:t xml:space="preserve">6. 실행 계획</w:t>
      </w:r>
    </w:p>
    <w:p>
      <w:pPr>
        <w:pStyle w:val="Heading2"/>
        <w:spacing w:after="110" w:before="220"/>
      </w:pPr>
      <w:r>
        <w:rPr>
          <w:rFonts w:ascii="맑은 고딕" w:cs="맑은 고딕" w:eastAsia="맑은 고딕" w:hAnsi="맑은 고딕"/>
          <w:b/>
          <w:bCs/>
          <w:color w:val="2D6A4F"/>
          <w:sz w:val="24"/>
          <w:szCs w:val="24"/>
        </w:rPr>
        <w:t xml:space="preserve">6.1 상품·가격 관리 체계</w:t>
      </w:r>
    </w:p>
    <w:p>
      <w:pPr>
        <w:spacing w:after="60" w:before="60" w:line="300"/>
      </w:pPr>
      <w:r>
        <w:rPr>
          <w:rFonts w:ascii="맑은 고딕" w:cs="맑은 고딕" w:eastAsia="맑은 고딕" w:hAnsi="맑은 고딕"/>
          <w:sz w:val="20"/>
          <w:szCs w:val="20"/>
        </w:rPr>
        <w:t xml:space="preserve">현재 상품 정의가 여러 위치에 분산되어 가격 하나를 변경할 때 누락이 발생할 수 있다. 상품 식별자, 가격, 계층, 인건비 구성, 문구, 실행 규칙을 단일 관리 지점으로 통합한다.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2166"/>
        <w:gridCol w:w="6860"/>
      </w:tblGrid>
      <w:tr>
        <w:trPr>
          <w:tblHeader/>
        </w:trPr>
        <w:tc>
          <w:tcPr>
            <w:tcW w:type="dxa" w:w="216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구성</w:t>
            </w:r>
          </w:p>
        </w:tc>
        <w:tc>
          <w:tcPr>
            <w:tcW w:type="dxa" w:w="6860"/>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역할</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상품 정의</w:t>
            </w:r>
          </w:p>
        </w:tc>
        <w:tc>
          <w:tcPr>
            <w:tcW w:type="dxa" w:w="686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식별자, 계층, 가격, 인건비 구성, 태그, 포함 상품, 출시 단계</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문구</w:t>
            </w:r>
          </w:p>
        </w:tc>
        <w:tc>
          <w:tcPr>
            <w:tcW w:type="dxa" w:w="686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한국어·영어 제목, 설명, 산출물, 필요정보</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실행 규칙</w:t>
            </w:r>
          </w:p>
        </w:tc>
        <w:tc>
          <w:tcPr>
            <w:tcW w:type="dxa" w:w="686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연결 진단 문항, 공식 출처 강제 대상, 생성 지시문</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조회 인터페이스</w:t>
            </w:r>
          </w:p>
        </w:tc>
        <w:tc>
          <w:tcPr>
            <w:tcW w:type="dxa" w:w="686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화면·결제·여정·보고서가 공통으로 사용하는 단일 조회 경로</w:t>
            </w:r>
          </w:p>
        </w:tc>
      </w:tr>
    </w:tbl>
    <w:p>
      <w:pPr>
        <w:pBdr>
          <w:left w:val="single" w:color="95D5B2" w:sz="12" w:space="8"/>
        </w:pBdr>
        <w:spacing w:after="140" w:before="100" w:line="300"/>
        <w:ind w:left="220"/>
      </w:pPr>
      <w:r>
        <w:rPr>
          <w:rFonts w:ascii="맑은 고딕" w:cs="맑은 고딕" w:eastAsia="맑은 고딕" w:hAnsi="맑은 고딕"/>
          <w:color w:val="40573F"/>
          <w:sz w:val="18"/>
          <w:szCs w:val="18"/>
        </w:rPr>
        <w:t xml:space="preserve">이관은 값을 동결한 상태에서 먼저 옮기고, 개명·재가격은 별도 단계로 분리한다. 이렇게 해야 이관 직후 전 항목 대조 검증이 가능하며, 가격이 어긋난 채 결제되는 사고를 방지할 수 있다.</w:t>
      </w:r>
    </w:p>
    <w:p>
      <w:pPr>
        <w:pStyle w:val="Heading2"/>
        <w:spacing w:after="110" w:before="220"/>
      </w:pPr>
      <w:r>
        <w:rPr>
          <w:rFonts w:ascii="맑은 고딕" w:cs="맑은 고딕" w:eastAsia="맑은 고딕" w:hAnsi="맑은 고딕"/>
          <w:b/>
          <w:bCs/>
          <w:color w:val="2D6A4F"/>
          <w:sz w:val="24"/>
          <w:szCs w:val="24"/>
        </w:rPr>
        <w:t xml:space="preserve">6.2 화면 구성</w:t>
      </w:r>
    </w:p>
    <w:p>
      <w:pPr>
        <w:spacing w:after="60" w:before="60" w:line="300"/>
      </w:pPr>
      <w:r>
        <w:rPr>
          <w:rFonts w:ascii="맑은 고딕" w:cs="맑은 고딕" w:eastAsia="맑은 고딕" w:hAnsi="맑은 고딕"/>
          <w:sz w:val="20"/>
          <w:szCs w:val="20"/>
        </w:rPr>
        <w:t xml:space="preserve">현재 상품 카드는 모든 상품에 동일한 제공자 정보를 표시하여 실질 정보량이 없다. 이 영역을 산출물 요약으로 교체하고, 계층 배지를 도입한다.</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1625"/>
        <w:gridCol w:w="3701"/>
        <w:gridCol w:w="3700"/>
      </w:tblGrid>
      <w:tr>
        <w:trPr>
          <w:tblHeader/>
        </w:trPr>
        <w:tc>
          <w:tcPr>
            <w:tcW w:type="dxa" w:w="1625"/>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요소</w:t>
            </w:r>
          </w:p>
        </w:tc>
        <w:tc>
          <w:tcPr>
            <w:tcW w:type="dxa" w:w="3701"/>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1차</w:t>
            </w:r>
          </w:p>
        </w:tc>
        <w:tc>
          <w:tcPr>
            <w:tcW w:type="dxa" w:w="3700"/>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2차</w:t>
            </w:r>
          </w:p>
        </w:tc>
      </w:tr>
      <w:tr>
        <w:tc>
          <w:tcPr>
            <w:tcW w:type="dxa" w:w="1625"/>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계층 배지</w:t>
            </w:r>
          </w:p>
        </w:tc>
        <w:tc>
          <w:tcPr>
            <w:tcW w:type="dxa" w:w="370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 전용', 'AI + 내 정보'</w:t>
            </w:r>
          </w:p>
        </w:tc>
        <w:tc>
          <w:tcPr>
            <w:tcW w:type="dxa" w:w="370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'전문가 검토', '전문가 진행', '멘토' 추가</w:t>
            </w:r>
          </w:p>
        </w:tc>
      </w:tr>
      <w:tr>
        <w:tc>
          <w:tcPr>
            <w:tcW w:type="dxa" w:w="162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카드 본문</w:t>
            </w:r>
          </w:p>
        </w:tc>
        <w:tc>
          <w:tcPr>
            <w:tcW w:type="dxa" w:w="3701"/>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반복되는 제공자 정보를 산출물 2개로 교체</w:t>
            </w:r>
          </w:p>
        </w:tc>
        <w:tc>
          <w:tcPr>
            <w:tcW w:type="dxa" w:w="370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전문가 유형·소요 시간 표기</w:t>
            </w:r>
          </w:p>
        </w:tc>
      </w:tr>
      <w:tr>
        <w:tc>
          <w:tcPr>
            <w:tcW w:type="dxa" w:w="1625"/>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가격 표기</w:t>
            </w:r>
          </w:p>
        </w:tc>
        <w:tc>
          <w:tcPr>
            <w:tcW w:type="dxa" w:w="370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공급가와 '부가세 별도' 병기</w:t>
            </w:r>
          </w:p>
        </w:tc>
        <w:tc>
          <w:tcPr>
            <w:tcW w:type="dxa" w:w="370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배정 일정 안내 추가</w:t>
            </w:r>
          </w:p>
        </w:tc>
      </w:tr>
      <w:tr>
        <w:tc>
          <w:tcPr>
            <w:tcW w:type="dxa" w:w="162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목록 구조</w:t>
            </w:r>
          </w:p>
        </w:tc>
        <w:tc>
          <w:tcPr>
            <w:tcW w:type="dxa" w:w="3701"/>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계층별 섹션 분리, 준비도 영역 필터</w:t>
            </w:r>
          </w:p>
        </w:tc>
        <w:tc>
          <w:tcPr>
            <w:tcW w:type="dxa" w:w="370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 섹션 추가 (총 17개 카드)</w:t>
            </w:r>
          </w:p>
        </w:tc>
      </w:tr>
      <w:tr>
        <w:tc>
          <w:tcPr>
            <w:tcW w:type="dxa" w:w="1625"/>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반응형</w:t>
            </w:r>
          </w:p>
        </w:tc>
        <w:tc>
          <w:tcPr>
            <w:tcW w:type="dxa" w:w="370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3열 고정을 자동 배치로 변경 (태블릿 2열 확보)</w:t>
            </w:r>
          </w:p>
        </w:tc>
        <w:tc>
          <w:tcPr>
            <w:tcW w:type="dxa" w:w="370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동일</w:t>
            </w:r>
          </w:p>
        </w:tc>
      </w:tr>
    </w:tbl>
    <w:p>
      <w:pPr>
        <w:pStyle w:val="Heading2"/>
        <w:spacing w:after="110" w:before="220"/>
      </w:pPr>
      <w:r>
        <w:rPr>
          <w:rFonts w:ascii="맑은 고딕" w:cs="맑은 고딕" w:eastAsia="맑은 고딕" w:hAnsi="맑은 고딕"/>
          <w:b/>
          <w:bCs/>
          <w:color w:val="2D6A4F"/>
          <w:sz w:val="24"/>
          <w:szCs w:val="24"/>
        </w:rPr>
        <w:t xml:space="preserve">6.3 시스템 영향 범위</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1805"/>
        <w:gridCol w:w="3791"/>
        <w:gridCol w:w="3430"/>
      </w:tblGrid>
      <w:tr>
        <w:trPr>
          <w:tblHeader/>
        </w:trPr>
        <w:tc>
          <w:tcPr>
            <w:tcW w:type="dxa" w:w="1805"/>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영역</w:t>
            </w:r>
          </w:p>
        </w:tc>
        <w:tc>
          <w:tcPr>
            <w:tcW w:type="dxa" w:w="3791"/>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1차 작업</w:t>
            </w:r>
          </w:p>
        </w:tc>
        <w:tc>
          <w:tcPr>
            <w:tcW w:type="dxa" w:w="3430"/>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2차 작업</w:t>
            </w:r>
          </w:p>
        </w:tc>
      </w:tr>
      <w:tr>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상품 카탈로그</w:t>
            </w:r>
          </w:p>
        </w:tc>
        <w:tc>
          <w:tcPr>
            <w:tcW w:type="dxa" w:w="379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신규 구축 및 이관</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전문가 상품 추가</w:t>
            </w:r>
          </w:p>
        </w:tc>
      </w:tr>
      <w:tr>
        <w:tc>
          <w:tcPr>
            <w:tcW w:type="dxa" w:w="180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서비스 목록·상세</w:t>
            </w:r>
          </w:p>
        </w:tc>
        <w:tc>
          <w:tcPr>
            <w:tcW w:type="dxa" w:w="3791"/>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문구 교체, 계층 섹션, 필터 복원</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전문가 상품 노출</w:t>
            </w:r>
          </w:p>
        </w:tc>
      </w:tr>
      <w:tr>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결제</w:t>
            </w:r>
          </w:p>
        </w:tc>
        <w:tc>
          <w:tcPr>
            <w:tcW w:type="dxa" w:w="379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수수료 분리 방식 변경</w:t>
            </w:r>
          </w:p>
        </w:tc>
      </w:tr>
      <w:tr>
        <w:tc>
          <w:tcPr>
            <w:tcW w:type="dxa" w:w="180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데이터베이스</w:t>
            </w:r>
          </w:p>
        </w:tc>
        <w:tc>
          <w:tcPr>
            <w:tcW w:type="dxa" w:w="3791"/>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주문 형태 제약 확장 (약 20행)</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정산 필드, 시간 단위 제약 완화</w:t>
            </w:r>
          </w:p>
        </w:tc>
      </w:tr>
      <w:tr>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GTM 여정</w:t>
            </w:r>
          </w:p>
        </w:tc>
        <w:tc>
          <w:tcPr>
            <w:tcW w:type="dxa" w:w="3791"/>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사람 확인 필요 안내 문구</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계층별 상품 라우팅</w:t>
            </w:r>
          </w:p>
        </w:tc>
      </w:tr>
      <w:tr>
        <w:tc>
          <w:tcPr>
            <w:tcW w:type="dxa" w:w="180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테스트</w:t>
            </w:r>
          </w:p>
        </w:tc>
        <w:tc>
          <w:tcPr>
            <w:tcW w:type="dxa" w:w="3791"/>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상품 수·가격·문구 단언 갱신, 신규 가드 3종</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계약 테스트 추가</w:t>
            </w:r>
          </w:p>
        </w:tc>
      </w:tr>
    </w:tbl>
    <w:p>
      <w:pPr>
        <w:pBdr>
          <w:left w:val="single" w:color="95D5B2" w:sz="12" w:space="8"/>
        </w:pBdr>
        <w:spacing w:after="140" w:before="100" w:line="300"/>
        <w:ind w:left="220"/>
      </w:pPr>
      <w:r>
        <w:rPr>
          <w:rFonts w:ascii="맑은 고딕" w:cs="맑은 고딕" w:eastAsia="맑은 고딕" w:hAnsi="맑은 고딕"/>
          <w:color w:val="40573F"/>
          <w:sz w:val="18"/>
          <w:szCs w:val="18"/>
        </w:rPr>
        <w:t xml:space="preserve">1차의 데이터베이스 변경은 주문 형태 제약 완화 한 건뿐이며 데이터 이전은 발생하지 않는다. 이 변경은 1차에서 사용하지 않으나, 2차 상품이 요구하는 주문 형태를 미리 열어두어 2차 착수 시 구조 변경 부담을 줄인다.</w:t>
      </w:r>
    </w:p>
    <w:p>
      <w:r>
        <w:br w:type="page"/>
      </w:r>
    </w:p>
    <w:p>
      <w:pPr>
        <w:pStyle w:val="Heading1"/>
        <w:spacing w:after="160" w:before="320"/>
      </w:pPr>
      <w:r>
        <w:rPr>
          <w:rFonts w:ascii="맑은 고딕" w:cs="맑은 고딕" w:eastAsia="맑은 고딕" w:hAnsi="맑은 고딕"/>
          <w:b/>
          <w:bCs/>
          <w:color w:val="1B4332"/>
          <w:sz w:val="30"/>
          <w:szCs w:val="30"/>
        </w:rPr>
        <w:t xml:space="preserve">7. 위험 분석 및 대응</w:t>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2166"/>
        <w:gridCol w:w="2708"/>
        <w:gridCol w:w="4152"/>
      </w:tblGrid>
      <w:tr>
        <w:trPr>
          <w:tblHeader/>
        </w:trPr>
        <w:tc>
          <w:tcPr>
            <w:tcW w:type="dxa" w:w="216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위험</w:t>
            </w:r>
          </w:p>
        </w:tc>
        <w:tc>
          <w:tcPr>
            <w:tcW w:type="dxa" w:w="2708"/>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발생 시 징후</w:t>
            </w:r>
          </w:p>
        </w:tc>
        <w:tc>
          <w:tcPr>
            <w:tcW w:type="dxa" w:w="4152"/>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대응</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2차 시점에 전문가 미확보</w:t>
            </w:r>
          </w:p>
        </w:tc>
        <w:tc>
          <w:tcPr>
            <w:tcW w:type="dxa" w:w="2708"/>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6개월 시점 계약 전문가 3인 미만</w:t>
            </w:r>
          </w:p>
        </w:tc>
        <w:tc>
          <w:tcPr>
            <w:tcW w:type="dxa" w:w="415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착수 조건을 공급 기준으로 고정. 3개월 시점부터 섭외 병행</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이관 중 가격 불일치</w:t>
            </w:r>
          </w:p>
        </w:tc>
        <w:tc>
          <w:tcPr>
            <w:tcW w:type="dxa" w:w="270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화면 가격과 결제 금액 상이</w:t>
            </w:r>
          </w:p>
        </w:tc>
        <w:tc>
          <w:tcPr>
            <w:tcW w:type="dxa" w:w="415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값 동결 이관 후 전 항목 대조 검증. 개명·재가격은 별도 단계</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1차 판매 부진</w:t>
            </w:r>
          </w:p>
        </w:tc>
        <w:tc>
          <w:tcPr>
            <w:tcW w:type="dxa" w:w="2708"/>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3개월 시점 누적 10건 미만</w:t>
            </w:r>
          </w:p>
        </w:tc>
        <w:tc>
          <w:tcPr>
            <w:tcW w:type="dxa" w:w="415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가격이 아니라 진단에서 서비스로 넘어오는 경로를 먼저 점검</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7종 패키지 생성 실패</w:t>
            </w:r>
          </w:p>
        </w:tc>
        <w:tc>
          <w:tcPr>
            <w:tcW w:type="dxa" w:w="270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보고서 생성 시간 초과</w:t>
            </w:r>
          </w:p>
        </w:tc>
        <w:tc>
          <w:tcPr>
            <w:tcW w:type="dxa" w:w="415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실행 시간 실측 후 필요 시 구성을 4~5종으로 축소</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전문가 정산 분쟁</w:t>
            </w:r>
          </w:p>
        </w:tc>
        <w:tc>
          <w:tcPr>
            <w:tcW w:type="dxa" w:w="2708"/>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부가세 귀속 해석 차이</w:t>
            </w:r>
          </w:p>
        </w:tc>
        <w:tc>
          <w:tcPr>
            <w:tcW w:type="dxa" w:w="415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정산 세무 처리를 2차 개발 착수 전 확정</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규제 상품 오답</w:t>
            </w:r>
          </w:p>
        </w:tc>
        <w:tc>
          <w:tcPr>
            <w:tcW w:type="dxa" w:w="270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고객 신고 또는 내부 점검 확인</w:t>
            </w:r>
          </w:p>
        </w:tc>
        <w:tc>
          <w:tcPr>
            <w:tcW w:type="dxa" w:w="415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 30건 이내 오답 1건 발생 시 해당 상품만 즉시 판매 중지</w:t>
            </w:r>
          </w:p>
        </w:tc>
      </w:tr>
    </w:tbl>
    <w:p>
      <w:pPr>
        <w:spacing w:after="120" w:before="0"/>
      </w:pPr>
      <w:r>
        <w:rPr>
          <w:rFonts w:ascii="맑은 고딕" w:cs="맑은 고딕" w:eastAsia="맑은 고딕" w:hAnsi="맑은 고딕"/>
          <w:sz w:val="20"/>
          <w:szCs w:val="20"/>
        </w:rPr>
        <w:t xml:space="preserve"/>
      </w:r>
    </w:p>
    <w:p>
      <w:pPr>
        <w:pStyle w:val="Heading2"/>
        <w:spacing w:after="110" w:before="220"/>
      </w:pPr>
      <w:r>
        <w:rPr>
          <w:rFonts w:ascii="맑은 고딕" w:cs="맑은 고딕" w:eastAsia="맑은 고딕" w:hAnsi="맑은 고딕"/>
          <w:b/>
          <w:bCs/>
          <w:color w:val="2D6A4F"/>
          <w:sz w:val="24"/>
          <w:szCs w:val="24"/>
        </w:rPr>
        <w:t xml:space="preserve">7.1 규제 상품 특별 관리</w:t>
      </w:r>
    </w:p>
    <w:p>
      <w:pPr>
        <w:spacing w:after="60" w:before="60" w:line="300"/>
      </w:pPr>
      <w:r>
        <w:rPr>
          <w:rFonts w:ascii="맑은 고딕" w:cs="맑은 고딕" w:eastAsia="맑은 고딕" w:hAnsi="맑은 고딕"/>
          <w:sz w:val="20"/>
          <w:szCs w:val="20"/>
        </w:rPr>
        <w:t xml:space="preserve">규제·진입 요건 상품은 오답 비용이 상품 가격을 초과하는 유일한 상품이다. 통관 거부, 인증 누락, 표시 위반의 손해는 판매가와 무관하게 발생하므로 가격 인하가 위험을 줄이지 않는다. 따라서 가격이 아니라 상품 분할과 절차로 위험을 관리한다.</w:t>
      </w:r>
    </w:p>
    <w:p>
      <w:pPr>
        <w:pStyle w:val="ListParagraph"/>
        <w:numPr>
          <w:ilvl w:val="0"/>
          <w:numId w:val="2"/>
        </w:numPr>
        <w:spacing w:after="40" w:before="40" w:line="300"/>
      </w:pPr>
      <w:r>
        <w:rPr>
          <w:rFonts w:ascii="맑은 고딕" w:cs="맑은 고딕" w:eastAsia="맑은 고딕" w:hAnsi="맑은 고딕"/>
          <w:sz w:val="20"/>
          <w:szCs w:val="20"/>
        </w:rPr>
        <w:t xml:space="preserve">확정 판단이 필요한 산출물(제품 분류 가설)을 상품에서 분리하여 2차 전문가 상품으로 이관</w:t>
      </w:r>
    </w:p>
    <w:p>
      <w:pPr>
        <w:pStyle w:val="ListParagraph"/>
        <w:numPr>
          <w:ilvl w:val="0"/>
          <w:numId w:val="2"/>
        </w:numPr>
        <w:spacing w:after="40" w:before="40" w:line="300"/>
      </w:pPr>
      <w:r>
        <w:rPr>
          <w:rFonts w:ascii="맑은 고딕" w:cs="맑은 고딕" w:eastAsia="맑은 고딕" w:hAnsi="맑은 고딕"/>
          <w:sz w:val="20"/>
          <w:szCs w:val="20"/>
        </w:rPr>
        <w:t xml:space="preserve">결제 전 법적 판단이 아님을 고지</w:t>
      </w:r>
    </w:p>
    <w:p>
      <w:pPr>
        <w:pStyle w:val="ListParagraph"/>
        <w:numPr>
          <w:ilvl w:val="0"/>
          <w:numId w:val="2"/>
        </w:numPr>
        <w:spacing w:after="40" w:before="40" w:line="300"/>
      </w:pPr>
      <w:r>
        <w:rPr>
          <w:rFonts w:ascii="맑은 고딕" w:cs="맑은 고딕" w:eastAsia="맑은 고딕" w:hAnsi="맑은 고딕"/>
          <w:sz w:val="20"/>
          <w:szCs w:val="20"/>
        </w:rPr>
        <w:t xml:space="preserve">해당 상품에 한해 AI 추론 수준을 상향 적용</w:t>
      </w:r>
    </w:p>
    <w:p>
      <w:pPr>
        <w:pStyle w:val="ListParagraph"/>
        <w:numPr>
          <w:ilvl w:val="0"/>
          <w:numId w:val="2"/>
        </w:numPr>
        <w:spacing w:after="40" w:before="40" w:line="300"/>
      </w:pPr>
      <w:r>
        <w:rPr>
          <w:rFonts w:ascii="맑은 고딕" w:cs="맑은 고딕" w:eastAsia="맑은 고딕" w:hAnsi="맑은 고딕"/>
          <w:sz w:val="20"/>
          <w:szCs w:val="20"/>
        </w:rPr>
        <w:t xml:space="preserve">1차 30건 이내 오답 확인 시 다른 상품과 무관하게 해당 상품만 즉시 판매 중지</w:t>
      </w:r>
    </w:p>
    <w:p>
      <w:r>
        <w:br w:type="page"/>
      </w:r>
    </w:p>
    <w:p>
      <w:pPr>
        <w:pStyle w:val="Heading1"/>
        <w:spacing w:after="160" w:before="320"/>
      </w:pPr>
      <w:r>
        <w:rPr>
          <w:rFonts w:ascii="맑은 고딕" w:cs="맑은 고딕" w:eastAsia="맑은 고딕" w:hAnsi="맑은 고딕"/>
          <w:b/>
          <w:bCs/>
          <w:color w:val="1B4332"/>
          <w:sz w:val="30"/>
          <w:szCs w:val="30"/>
        </w:rPr>
        <w:t xml:space="preserve">8. 성과 지표</w:t>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1264"/>
        <w:gridCol w:w="3430"/>
        <w:gridCol w:w="1805"/>
        <w:gridCol w:w="2527"/>
      </w:tblGrid>
      <w:tr>
        <w:trPr>
          <w:tblHeader/>
        </w:trPr>
        <w:tc>
          <w:tcPr>
            <w:tcW w:type="dxa" w:w="1264"/>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구분</w:t>
            </w:r>
          </w:p>
        </w:tc>
        <w:tc>
          <w:tcPr>
            <w:tcW w:type="dxa" w:w="3430"/>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지표</w:t>
            </w:r>
          </w:p>
        </w:tc>
        <w:tc>
          <w:tcPr>
            <w:tcW w:type="dxa" w:w="1805"/>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측정 시점</w:t>
            </w:r>
          </w:p>
        </w:tc>
        <w:tc>
          <w:tcPr>
            <w:tcW w:type="dxa" w:w="2527"/>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목표</w:t>
            </w:r>
          </w:p>
        </w:tc>
      </w:tr>
      <w:tr>
        <w:tc>
          <w:tcPr>
            <w:tcW w:type="dxa" w:w="126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유입</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누적 유료 결제 건수</w:t>
            </w:r>
          </w:p>
        </w:tc>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상시</w:t>
            </w:r>
          </w:p>
        </w:tc>
        <w:tc>
          <w:tcPr>
            <w:tcW w:type="dxa" w:w="2527"/>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6개월 내 200건</w:t>
            </w:r>
          </w:p>
        </w:tc>
      </w:tr>
      <w:tr>
        <w:tc>
          <w:tcPr>
            <w:tcW w:type="dxa" w:w="126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유입</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진단 완료 후 서비스 결제 전환율</w:t>
            </w:r>
          </w:p>
        </w:tc>
        <w:tc>
          <w:tcPr>
            <w:tcW w:type="dxa" w:w="180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상시</w:t>
            </w:r>
          </w:p>
        </w:tc>
        <w:tc>
          <w:tcPr>
            <w:tcW w:type="dxa" w:w="2527"/>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3% 이상</w:t>
            </w:r>
          </w:p>
        </w:tc>
      </w:tr>
      <w:tr>
        <w:tc>
          <w:tcPr>
            <w:tcW w:type="dxa" w:w="126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품질</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보고서 생성 실패율</w:t>
            </w:r>
          </w:p>
        </w:tc>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상시</w:t>
            </w:r>
          </w:p>
        </w:tc>
        <w:tc>
          <w:tcPr>
            <w:tcW w:type="dxa" w:w="2527"/>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5% 이하</w:t>
            </w:r>
          </w:p>
        </w:tc>
      </w:tr>
      <w:tr>
        <w:tc>
          <w:tcPr>
            <w:tcW w:type="dxa" w:w="126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품질</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환불율</w:t>
            </w:r>
          </w:p>
        </w:tc>
        <w:tc>
          <w:tcPr>
            <w:tcW w:type="dxa" w:w="180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상시</w:t>
            </w:r>
          </w:p>
        </w:tc>
        <w:tc>
          <w:tcPr>
            <w:tcW w:type="dxa" w:w="2527"/>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5% 이하</w:t>
            </w:r>
          </w:p>
        </w:tc>
      </w:tr>
      <w:tr>
        <w:tc>
          <w:tcPr>
            <w:tcW w:type="dxa" w:w="126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수익성</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상품별 기여이익률</w:t>
            </w:r>
          </w:p>
        </w:tc>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월간</w:t>
            </w:r>
          </w:p>
        </w:tc>
        <w:tc>
          <w:tcPr>
            <w:tcW w:type="dxa" w:w="2527"/>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 상품 80% 이상</w:t>
            </w:r>
          </w:p>
        </w:tc>
      </w:tr>
      <w:tr>
        <w:tc>
          <w:tcPr>
            <w:tcW w:type="dxa" w:w="126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2차 준비</w:t>
            </w:r>
          </w:p>
        </w:tc>
        <w:tc>
          <w:tcPr>
            <w:tcW w:type="dxa" w:w="343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카테고리별 계약 전문가 수</w:t>
            </w:r>
          </w:p>
        </w:tc>
        <w:tc>
          <w:tcPr>
            <w:tcW w:type="dxa" w:w="1805"/>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월간</w:t>
            </w:r>
          </w:p>
        </w:tc>
        <w:tc>
          <w:tcPr>
            <w:tcW w:type="dxa" w:w="2527"/>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6개월 시점 각 2인</w:t>
            </w:r>
          </w:p>
        </w:tc>
      </w:tr>
      <w:tr>
        <w:tc>
          <w:tcPr>
            <w:tcW w:type="dxa" w:w="1264"/>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2차 성과</w:t>
            </w:r>
          </w:p>
        </w:tc>
        <w:tc>
          <w:tcPr>
            <w:tcW w:type="dxa" w:w="343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AI 구매 고객의 전문가 상품 전환율</w:t>
            </w:r>
          </w:p>
        </w:tc>
        <w:tc>
          <w:tcPr>
            <w:tcW w:type="dxa" w:w="1805"/>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 개시 후</w:t>
            </w:r>
          </w:p>
        </w:tc>
        <w:tc>
          <w:tcPr>
            <w:tcW w:type="dxa" w:w="2527"/>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10% 이상</w:t>
            </w:r>
          </w:p>
        </w:tc>
      </w:tr>
    </w:tbl>
    <w:p>
      <w:pPr>
        <w:spacing w:after="120" w:before="0"/>
      </w:pPr>
      <w:r>
        <w:rPr>
          <w:rFonts w:ascii="맑은 고딕" w:cs="맑은 고딕" w:eastAsia="맑은 고딕" w:hAnsi="맑은 고딕"/>
          <w:sz w:val="20"/>
          <w:szCs w:val="20"/>
        </w:rPr>
        <w:t xml:space="preserve"/>
      </w:r>
    </w:p>
    <w:p>
      <w:pPr>
        <w:pStyle w:val="Heading2"/>
        <w:spacing w:after="110" w:before="220"/>
      </w:pPr>
      <w:r>
        <w:rPr>
          <w:rFonts w:ascii="맑은 고딕" w:cs="맑은 고딕" w:eastAsia="맑은 고딕" w:hAnsi="맑은 고딕"/>
          <w:b/>
          <w:bCs/>
          <w:color w:val="2D6A4F"/>
          <w:sz w:val="24"/>
          <w:szCs w:val="24"/>
        </w:rPr>
        <w:t xml:space="preserve">8.1 완료 판정 기준</w:t>
      </w:r>
    </w:p>
    <w:p>
      <w:pPr>
        <w:pStyle w:val="ListParagraph"/>
        <w:numPr>
          <w:ilvl w:val="0"/>
          <w:numId w:val="2"/>
        </w:numPr>
        <w:spacing w:after="40" w:before="40" w:line="300"/>
      </w:pPr>
      <w:r>
        <w:rPr>
          <w:rFonts w:ascii="맑은 고딕" w:cs="맑은 고딕" w:eastAsia="맑은 고딕" w:hAnsi="맑은 고딕"/>
          <w:sz w:val="20"/>
          <w:szCs w:val="20"/>
        </w:rPr>
        <w:t xml:space="preserve">상품 가격을 한 곳에서 변경하면 목록·상세·결제·여정에 모두 반영된다.</w:t>
      </w:r>
    </w:p>
    <w:p>
      <w:pPr>
        <w:pStyle w:val="ListParagraph"/>
        <w:numPr>
          <w:ilvl w:val="0"/>
          <w:numId w:val="2"/>
        </w:numPr>
        <w:spacing w:after="40" w:before="40" w:line="300"/>
      </w:pPr>
      <w:r>
        <w:rPr>
          <w:rFonts w:ascii="맑은 고딕" w:cs="맑은 고딕" w:eastAsia="맑은 고딕" w:hAnsi="맑은 고딕"/>
          <w:sz w:val="20"/>
          <w:szCs w:val="20"/>
        </w:rPr>
        <w:t xml:space="preserve">패키지 가격이 구성 상품 합계보다 높으면 검증에서 자동으로 탐지된다.</w:t>
      </w:r>
    </w:p>
    <w:p>
      <w:pPr>
        <w:pStyle w:val="ListParagraph"/>
        <w:numPr>
          <w:ilvl w:val="0"/>
          <w:numId w:val="2"/>
        </w:numPr>
        <w:spacing w:after="40" w:before="40" w:line="300"/>
      </w:pPr>
      <w:r>
        <w:rPr>
          <w:rFonts w:ascii="맑은 고딕" w:cs="맑은 고딕" w:eastAsia="맑은 고딕" w:hAnsi="맑은 고딕"/>
          <w:sz w:val="20"/>
          <w:szCs w:val="20"/>
        </w:rPr>
        <w:t xml:space="preserve">2차 상품은 노출 조건 충족 전까지 어떤 경로로도 구매되지 않는다.</w:t>
      </w:r>
    </w:p>
    <w:p>
      <w:pPr>
        <w:pStyle w:val="ListParagraph"/>
        <w:numPr>
          <w:ilvl w:val="0"/>
          <w:numId w:val="2"/>
        </w:numPr>
        <w:spacing w:after="40" w:before="40" w:line="300"/>
      </w:pPr>
      <w:r>
        <w:rPr>
          <w:rFonts w:ascii="맑은 고딕" w:cs="맑은 고딕" w:eastAsia="맑은 고딕" w:hAnsi="맑은 고딕"/>
          <w:sz w:val="20"/>
          <w:szCs w:val="20"/>
        </w:rPr>
        <w:t xml:space="preserve">개편 배포 후 기존 주문과 보고서가 정상 조회된다.</w:t>
      </w:r>
    </w:p>
    <w:p>
      <w:pPr>
        <w:pStyle w:val="ListParagraph"/>
        <w:numPr>
          <w:ilvl w:val="0"/>
          <w:numId w:val="2"/>
        </w:numPr>
        <w:spacing w:after="40" w:before="40" w:line="300"/>
      </w:pPr>
      <w:r>
        <w:rPr>
          <w:rFonts w:ascii="맑은 고딕" w:cs="맑은 고딕" w:eastAsia="맑은 고딕" w:hAnsi="맑은 고딕"/>
          <w:sz w:val="20"/>
          <w:szCs w:val="20"/>
        </w:rPr>
        <w:t xml:space="preserve">목록·상세·결제의 금액 표기가 일관되어 표기 없이 금액이 변동하지 않는다.</w:t>
      </w:r>
    </w:p>
    <w:p>
      <w:r>
        <w:br w:type="page"/>
      </w:r>
    </w:p>
    <w:p>
      <w:pPr>
        <w:pStyle w:val="Heading1"/>
        <w:spacing w:after="160" w:before="320"/>
      </w:pPr>
      <w:r>
        <w:rPr>
          <w:rFonts w:ascii="맑은 고딕" w:cs="맑은 고딕" w:eastAsia="맑은 고딕" w:hAnsi="맑은 고딕"/>
          <w:b/>
          <w:bCs/>
          <w:color w:val="1B4332"/>
          <w:sz w:val="30"/>
          <w:szCs w:val="30"/>
        </w:rPr>
        <w:t xml:space="preserve">9. 결론 및 승인 요청</w:t>
      </w:r>
    </w:p>
    <w:p>
      <w:pPr>
        <w:spacing w:after="60" w:before="60" w:line="300"/>
      </w:pPr>
      <w:r>
        <w:rPr>
          <w:rFonts w:ascii="맑은 고딕" w:cs="맑은 고딕" w:eastAsia="맑은 고딕" w:hAnsi="맑은 고딕"/>
          <w:sz w:val="20"/>
          <w:szCs w:val="20"/>
        </w:rPr>
        <w:t xml:space="preserve">본 개편안은 상품을 사람 개입 정도로 재분류하고 그에 맞는 가격 정책을 각각 적용함으로써, 저가 AI 상품으로 유입을 만들고 사람 결합 상품으로 수익을 내는 구조를 수립한다. 1차와 2차를 분리한 이유는 전문가 공급이 확보되지 않은 상태에서 사람 상품을 판매할 수 없기 때문이며, 착수 조건을 날짜가 아닌 공급 기준으로 설정한 것도 같은 이유이다.</w:t>
      </w:r>
    </w:p>
    <w:p>
      <w:pPr>
        <w:spacing w:after="120" w:before="0"/>
      </w:pPr>
      <w:r>
        <w:rPr>
          <w:rFonts w:ascii="맑은 고딕" w:cs="맑은 고딕" w:eastAsia="맑은 고딕" w:hAnsi="맑은 고딕"/>
          <w:sz w:val="20"/>
          <w:szCs w:val="20"/>
        </w:rPr>
        <w:t xml:space="preserve"/>
      </w:r>
    </w:p>
    <w:p>
      <w:pPr>
        <w:spacing w:after="60" w:before="60" w:line="300"/>
      </w:pPr>
      <w:r>
        <w:rPr>
          <w:rFonts w:ascii="맑은 고딕" w:cs="맑은 고딕" w:eastAsia="맑은 고딕" w:hAnsi="맑은 고딕"/>
          <w:b/>
          <w:bCs/>
          <w:sz w:val="22"/>
          <w:szCs w:val="22"/>
        </w:rPr>
        <w:t xml:space="preserve">승인이 필요한 사항</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722"/>
        <w:gridCol w:w="4694"/>
        <w:gridCol w:w="3610"/>
      </w:tblGrid>
      <w:tr>
        <w:trPr>
          <w:tblHeader/>
        </w:trPr>
        <w:tc>
          <w:tcPr>
            <w:tcW w:type="dxa" w:w="722"/>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번호</w:t>
            </w:r>
          </w:p>
        </w:tc>
        <w:tc>
          <w:tcPr>
            <w:tcW w:type="dxa" w:w="4694"/>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승인 대상</w:t>
            </w:r>
          </w:p>
        </w:tc>
        <w:tc>
          <w:tcPr>
            <w:tcW w:type="dxa" w:w="3610"/>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비고</w:t>
            </w:r>
          </w:p>
        </w:tc>
      </w:tr>
      <w:tr>
        <w:tc>
          <w:tcPr>
            <w:tcW w:type="dxa" w:w="722"/>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1</w:t>
            </w:r>
          </w:p>
        </w:tc>
        <w:tc>
          <w:tcPr>
            <w:tcW w:type="dxa" w:w="4694"/>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상품 계층 재분류 및 상품 구성 변경</w:t>
            </w:r>
          </w:p>
        </w:tc>
        <w:tc>
          <w:tcPr>
            <w:tcW w:type="dxa" w:w="361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기존 패키지 4종 폐지 포함</w:t>
            </w:r>
          </w:p>
        </w:tc>
      </w:tr>
      <w:tr>
        <w:tc>
          <w:tcPr>
            <w:tcW w:type="dxa" w:w="72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2</w:t>
            </w:r>
          </w:p>
        </w:tc>
        <w:tc>
          <w:tcPr>
            <w:tcW w:type="dxa" w:w="469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 가격 체계 (낱개 50,000원 균일)</w:t>
            </w:r>
          </w:p>
        </w:tc>
        <w:tc>
          <w:tcPr>
            <w:tcW w:type="dxa" w:w="361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정액 원가로 인한 하한선</w:t>
            </w:r>
          </w:p>
        </w:tc>
      </w:tr>
      <w:tr>
        <w:tc>
          <w:tcPr>
            <w:tcW w:type="dxa" w:w="722"/>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3</w:t>
            </w:r>
          </w:p>
        </w:tc>
        <w:tc>
          <w:tcPr>
            <w:tcW w:type="dxa" w:w="4694"/>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 가격 체계 및 전문가 단가 가정</w:t>
            </w:r>
          </w:p>
        </w:tc>
        <w:tc>
          <w:tcPr>
            <w:tcW w:type="dxa" w:w="361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실제 섭외 단가 확인 후 조정 가능</w:t>
            </w:r>
          </w:p>
        </w:tc>
      </w:tr>
      <w:tr>
        <w:tc>
          <w:tcPr>
            <w:tcW w:type="dxa" w:w="72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4</w:t>
            </w:r>
          </w:p>
        </w:tc>
        <w:tc>
          <w:tcPr>
            <w:tcW w:type="dxa" w:w="4694"/>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 종료 및 2차 착수 조건 (누적 200건)</w:t>
            </w:r>
          </w:p>
        </w:tc>
        <w:tc>
          <w:tcPr>
            <w:tcW w:type="dxa" w:w="3610"/>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시간 분기 미적용</w:t>
            </w:r>
          </w:p>
        </w:tc>
      </w:tr>
      <w:tr>
        <w:tc>
          <w:tcPr>
            <w:tcW w:type="dxa" w:w="722"/>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5</w:t>
            </w:r>
          </w:p>
        </w:tc>
        <w:tc>
          <w:tcPr>
            <w:tcW w:type="dxa" w:w="4694"/>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상품·가격 단일 관리 체계 구축</w:t>
            </w:r>
          </w:p>
        </w:tc>
        <w:tc>
          <w:tcPr>
            <w:tcW w:type="dxa" w:w="3610"/>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 개발 범위에 포함</w:t>
            </w:r>
          </w:p>
        </w:tc>
      </w:tr>
    </w:tbl>
    <w:p>
      <w:pPr>
        <w:spacing w:after="120" w:before="0"/>
      </w:pPr>
      <w:r>
        <w:rPr>
          <w:rFonts w:ascii="맑은 고딕" w:cs="맑은 고딕" w:eastAsia="맑은 고딕" w:hAnsi="맑은 고딕"/>
          <w:sz w:val="20"/>
          <w:szCs w:val="20"/>
        </w:rPr>
        <w:t xml:space="preserve"/>
      </w:r>
    </w:p>
    <w:p>
      <w:pPr>
        <w:spacing w:after="60" w:before="60" w:line="300"/>
      </w:pPr>
      <w:r>
        <w:rPr>
          <w:rFonts w:ascii="맑은 고딕" w:cs="맑은 고딕" w:eastAsia="맑은 고딕" w:hAnsi="맑은 고딕"/>
          <w:b/>
          <w:bCs/>
          <w:sz w:val="22"/>
          <w:szCs w:val="22"/>
        </w:rPr>
        <w:t xml:space="preserve">확정이 필요한 선결 사항</w:t>
      </w:r>
    </w:p>
    <w:p>
      <w:pPr>
        <w:spacing w:after="60" w:before="0"/>
      </w:pPr>
      <w:r>
        <w:rPr>
          <w:rFonts w:ascii="맑은 고딕" w:cs="맑은 고딕" w:eastAsia="맑은 고딕" w:hAnsi="맑은 고딕"/>
          <w:sz w:val="20"/>
          <w:szCs w:val="20"/>
        </w:rPr>
        <w:t xml:space="preserve"/>
      </w:r>
    </w:p>
    <w:tbl>
      <w:tblPr>
        <w:tblW w:type="dxa" w:w="9026"/>
        <w:tblBorders>
          <w:top w:val="single" w:color="C9D6CE" w:sz="6"/>
          <w:left w:val="single" w:color="C9D6CE" w:sz="6"/>
          <w:bottom w:val="single" w:color="C9D6CE" w:sz="6"/>
          <w:right w:val="single" w:color="C9D6CE" w:sz="6"/>
          <w:insideH w:val="single" w:color="DCE5DF" w:sz="4"/>
          <w:insideV w:val="single" w:color="DCE5DF" w:sz="4"/>
        </w:tblBorders>
      </w:tblPr>
      <w:tblGrid>
        <w:gridCol w:w="2166"/>
        <w:gridCol w:w="4332"/>
        <w:gridCol w:w="2528"/>
      </w:tblGrid>
      <w:tr>
        <w:trPr>
          <w:tblHeader/>
        </w:trPr>
        <w:tc>
          <w:tcPr>
            <w:tcW w:type="dxa" w:w="2166"/>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항목</w:t>
            </w:r>
          </w:p>
        </w:tc>
        <w:tc>
          <w:tcPr>
            <w:tcW w:type="dxa" w:w="4332"/>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내용</w:t>
            </w:r>
          </w:p>
        </w:tc>
        <w:tc>
          <w:tcPr>
            <w:tcW w:type="dxa" w:w="2528"/>
            <w:shd w:fill="E8F0EC"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color w:val="1B4332"/>
                <w:sz w:val="17"/>
                <w:szCs w:val="17"/>
              </w:rPr>
              <w:t xml:space="preserve">필요 시점</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전문가 정산 세무 처리</w:t>
            </w:r>
          </w:p>
        </w:tc>
        <w:tc>
          <w:tcPr>
            <w:tcW w:type="dxa" w:w="433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전문가 수취액의 부가세 귀속 기준</w:t>
            </w:r>
          </w:p>
        </w:tc>
        <w:tc>
          <w:tcPr>
            <w:tcW w:type="dxa" w:w="2528"/>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 개발 착수 전</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전문가 섭외 단가</w:t>
            </w:r>
          </w:p>
        </w:tc>
        <w:tc>
          <w:tcPr>
            <w:tcW w:type="dxa" w:w="433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본안의 시간당 단가는 가정값</w:t>
            </w:r>
          </w:p>
        </w:tc>
        <w:tc>
          <w:tcPr>
            <w:tcW w:type="dxa" w:w="252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2차 상품 확정 전</w:t>
            </w:r>
          </w:p>
        </w:tc>
      </w:tr>
      <w:tr>
        <w:tc>
          <w:tcPr>
            <w:tcW w:type="dxa" w:w="2166"/>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결제 대행 수수료</w:t>
            </w:r>
          </w:p>
        </w:tc>
        <w:tc>
          <w:tcPr>
            <w:tcW w:type="dxa" w:w="4332"/>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실제 계약 수수료율 확인</w:t>
            </w:r>
          </w:p>
        </w:tc>
        <w:tc>
          <w:tcPr>
            <w:tcW w:type="dxa" w:w="2528"/>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원가 재산정 시</w:t>
            </w:r>
          </w:p>
        </w:tc>
      </w:tr>
      <w:tr>
        <w:tc>
          <w:tcPr>
            <w:tcW w:type="dxa" w:w="2166"/>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bCs/>
                <w:sz w:val="17"/>
                <w:szCs w:val="17"/>
              </w:rPr>
              <w:t xml:space="preserve">패키지 실행 시간</w:t>
            </w:r>
          </w:p>
        </w:tc>
        <w:tc>
          <w:tcPr>
            <w:tcW w:type="dxa" w:w="4332"/>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7종 통합 상품의 생성 시간 실측</w:t>
            </w:r>
          </w:p>
        </w:tc>
        <w:tc>
          <w:tcPr>
            <w:tcW w:type="dxa" w:w="2528"/>
            <w:shd w:fill="F6F8F7" w:color="auto"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7"/>
                <w:szCs w:val="17"/>
              </w:rPr>
              <w:t xml:space="preserve">1차 출시 전</w:t>
            </w:r>
          </w:p>
        </w:tc>
      </w:tr>
    </w:tbl>
    <w:p>
      <w:pPr>
        <w:spacing w:after="200" w:before="0"/>
      </w:pPr>
      <w:r>
        <w:rPr>
          <w:rFonts w:ascii="맑은 고딕" w:cs="맑은 고딕" w:eastAsia="맑은 고딕" w:hAnsi="맑은 고딕"/>
          <w:sz w:val="20"/>
          <w:szCs w:val="20"/>
        </w:rPr>
        <w:t xml:space="preserve"/>
      </w:r>
    </w:p>
    <w:p>
      <w:pPr>
        <w:spacing w:after="60" w:before="60" w:line="300"/>
      </w:pPr>
      <w:r>
        <w:rPr>
          <w:rFonts w:ascii="맑은 고딕" w:cs="맑은 고딕" w:eastAsia="맑은 고딕" w:hAnsi="맑은 고딕"/>
          <w:sz w:val="20"/>
          <w:szCs w:val="20"/>
        </w:rPr>
        <w:t xml:space="preserve">이상.</w:t>
      </w:r>
    </w:p>
    <w:p>
      <w:pPr>
        <w:spacing w:after="120" w:before="0"/>
      </w:pPr>
      <w:r>
        <w:rPr>
          <w:rFonts w:ascii="맑은 고딕" w:cs="맑은 고딕" w:eastAsia="맑은 고딕" w:hAnsi="맑은 고딕"/>
          <w:sz w:val="20"/>
          <w:szCs w:val="20"/>
        </w:rPr>
        <w:t xml:space="preserve"/>
      </w:r>
    </w:p>
    <w:p>
      <w:pPr>
        <w:pBdr>
          <w:top w:val="single" w:color="C9D6CE" w:sz="6" w:space="10"/>
        </w:pBdr>
        <w:spacing w:before="200"/>
      </w:pPr>
      <w:r>
        <w:rPr>
          <w:rFonts w:ascii="맑은 고딕" w:cs="맑은 고딕" w:eastAsia="맑은 고딕" w:hAnsi="맑은 고딕"/>
          <w:i/>
          <w:iCs/>
          <w:color w:val="6C8A78"/>
          <w:sz w:val="16"/>
          <w:szCs w:val="16"/>
        </w:rPr>
        <w:t xml:space="preserve">본 보고서는 상품 기획 단계 문서로, 개발 착수 전 승인을 전제로 작성되었다.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rPr>
  </w:style>
  <w:style w:type="paragraph" w:styleId="Heading2">
    <w:name w:val="Heading 2"/>
    <w:basedOn w:val="Normal"/>
    <w:next w:val="Normal"/>
    <w:qFormat/>
    <w:rPr>
      <w:rFonts w:ascii="맑은 고딕" w:cs="맑은 고딕" w:eastAsia="맑은 고딕" w:hAnsi="맑은 고딕"/>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전문가 서비스 상품개발 보고서</dc:title>
  <dc:creator>Borderless</dc:creator>
  <dc:description>2단계 상품 개편 및 론칭 전략</dc:description>
  <cp:lastModifiedBy>Un-named</cp:lastModifiedBy>
  <cp:revision>1</cp:revision>
  <dcterms:created xsi:type="dcterms:W3CDTF">2026-08-16T12:46:26.271Z</dcterms:created>
  <dcterms:modified xsi:type="dcterms:W3CDTF">2026-08-16T12:46:26.271Z</dcterms:modified>
</cp:coreProperties>
</file>

<file path=docProps/custom.xml><?xml version="1.0" encoding="utf-8"?>
<Properties xmlns="http://schemas.openxmlformats.org/officeDocument/2006/custom-properties" xmlns:vt="http://schemas.openxmlformats.org/officeDocument/2006/docPropsVTypes"/>
</file>