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0pm -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Research the prototype and prototype related resource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 main code file to understand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the prototype and prototype related resource code: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flashCode folder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pdfObject folder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Playbook folder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guiObject folder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Editor folder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 up four main code file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try to understand each function: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BwPlay.as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Editor Container.as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PlaybookContainer.as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PlayViewer.as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