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77B9" w14:textId="77777777" w:rsidR="001B008F" w:rsidRDefault="00000000">
      <w:pPr>
        <w:jc w:val="center"/>
        <w:rPr>
          <w:b/>
          <w:sz w:val="32"/>
        </w:rPr>
      </w:pPr>
      <w:r>
        <w:rPr>
          <w:b/>
          <w:sz w:val="32"/>
        </w:rPr>
        <w:t>Learning Heuristic Control Policies for Integer Factorization via Reinforcement Learning</w:t>
      </w:r>
    </w:p>
    <w:p w14:paraId="10E2A6B7" w14:textId="77777777" w:rsidR="004E3130" w:rsidRDefault="004E3130">
      <w:pPr>
        <w:jc w:val="center"/>
      </w:pPr>
    </w:p>
    <w:p w14:paraId="7092D756" w14:textId="77777777" w:rsidR="001B008F" w:rsidRPr="0023560C" w:rsidRDefault="00000000">
      <w:pPr>
        <w:jc w:val="center"/>
        <w:rPr>
          <w:sz w:val="22"/>
        </w:rPr>
      </w:pPr>
      <w:r w:rsidRPr="0023560C">
        <w:rPr>
          <w:sz w:val="22"/>
        </w:rPr>
        <w:t>Kyah Hicks</w:t>
      </w:r>
    </w:p>
    <w:p w14:paraId="74E3D5AC" w14:textId="77777777" w:rsidR="004E3130" w:rsidRPr="0023560C" w:rsidRDefault="004E3130">
      <w:pPr>
        <w:jc w:val="center"/>
        <w:rPr>
          <w:sz w:val="22"/>
        </w:rPr>
      </w:pPr>
    </w:p>
    <w:p w14:paraId="4C5BE3FF" w14:textId="0D7D3F4B" w:rsidR="001B008F" w:rsidRPr="0023560C" w:rsidRDefault="00000000">
      <w:pPr>
        <w:jc w:val="both"/>
        <w:rPr>
          <w:rFonts w:cs="Times New Roman"/>
          <w:sz w:val="22"/>
        </w:rPr>
      </w:pPr>
      <w:r w:rsidRPr="0023560C">
        <w:rPr>
          <w:rFonts w:cs="Times New Roman"/>
          <w:b/>
          <w:sz w:val="22"/>
        </w:rPr>
        <w:t>Abstract—</w:t>
      </w:r>
      <w:r w:rsidRPr="0023560C">
        <w:rPr>
          <w:rFonts w:cs="Times New Roman"/>
          <w:sz w:val="22"/>
        </w:rPr>
        <w:t xml:space="preserve">Integer factorization algorithms have different strengths across input structures, motivating algorithm-selection policies that choose a method based on observable properties of an instance. This report evaluates a Proximal Policy Optimization (PPO) agent that selects among trial division, wheel factorization, Fermat factorization, Pollard’s rho, and Pollard’s p−1. The </w:t>
      </w:r>
      <w:r w:rsidR="004E3130" w:rsidRPr="0023560C">
        <w:rPr>
          <w:rFonts w:cs="Times New Roman"/>
          <w:sz w:val="22"/>
        </w:rPr>
        <w:t>experiment</w:t>
      </w:r>
      <w:r w:rsidRPr="0023560C">
        <w:rPr>
          <w:rFonts w:cs="Times New Roman"/>
          <w:sz w:val="22"/>
        </w:rPr>
        <w:t xml:space="preserve"> generates synthetic semiprimes, exposes a 14-dimensional observation, assigns a reward for successful factor discovery and computational effort, and compares the trained policy with five single-method baselines. The </w:t>
      </w:r>
      <w:r w:rsidR="004E3130" w:rsidRPr="0023560C">
        <w:rPr>
          <w:rFonts w:cs="Times New Roman"/>
          <w:sz w:val="22"/>
        </w:rPr>
        <w:t>experiment</w:t>
      </w:r>
      <w:r w:rsidRPr="0023560C">
        <w:rPr>
          <w:rFonts w:cs="Times New Roman"/>
          <w:sz w:val="22"/>
        </w:rPr>
        <w:t xml:space="preserve"> reports 100% PPO success and one average decision step on 16-bit semiprimes, and 100% success with 1.79 average decision steps on 32-bit semiprimes. At 32 bits, trial division and wheel factorization each report zero success under the configured budget, while Fermat, Pollard’s rho, and Pollard’s p−1 report mean</w:t>
      </w:r>
      <w:r w:rsidR="004E3130" w:rsidRPr="0023560C">
        <w:rPr>
          <w:rFonts w:cs="Times New Roman"/>
          <w:sz w:val="22"/>
        </w:rPr>
        <w:t>s</w:t>
      </w:r>
      <w:r w:rsidRPr="0023560C">
        <w:rPr>
          <w:rFonts w:cs="Times New Roman"/>
          <w:sz w:val="22"/>
        </w:rPr>
        <w:t xml:space="preserve"> decision counts of 3.66, 2.03, and 6.16, respectively. These results are promising but are not yet sufficient to establish that reinforcement learning improves factorization: the experiment has important implementation and evaluation limitations, including synthetic data with a high proportion of close factors, a baseline that counts method invocations rather than comparable primitive operations, ambiguous reward-based success detection, mock rather than measured learning-curve data, and inconsistent or undefined paired statistical tests. We document the current evidence, explain the limitations, and provide a reproducible path toward a more defensible evaluation.</w:t>
      </w:r>
    </w:p>
    <w:p w14:paraId="693E0814" w14:textId="77777777" w:rsidR="008134DA" w:rsidRPr="0023560C" w:rsidRDefault="008134DA">
      <w:pPr>
        <w:jc w:val="both"/>
        <w:rPr>
          <w:rFonts w:cs="Times New Roman"/>
          <w:sz w:val="22"/>
        </w:rPr>
      </w:pPr>
    </w:p>
    <w:p w14:paraId="7C467AE2" w14:textId="77777777" w:rsidR="001B008F" w:rsidRPr="0023560C" w:rsidRDefault="00000000">
      <w:pPr>
        <w:jc w:val="both"/>
        <w:rPr>
          <w:rFonts w:cs="Times New Roman"/>
          <w:sz w:val="22"/>
        </w:rPr>
      </w:pPr>
      <w:r w:rsidRPr="0023560C">
        <w:rPr>
          <w:rFonts w:cs="Times New Roman"/>
          <w:b/>
          <w:sz w:val="22"/>
        </w:rPr>
        <w:t>Index Terms—</w:t>
      </w:r>
      <w:r w:rsidRPr="0023560C">
        <w:rPr>
          <w:rFonts w:cs="Times New Roman"/>
          <w:sz w:val="22"/>
        </w:rPr>
        <w:t>Reinforcement learning, algorithm selection, integer factorization, PPO, semiprimes, heuristic portfolios.</w:t>
      </w:r>
    </w:p>
    <w:p w14:paraId="52A81D5E" w14:textId="77777777" w:rsidR="004E3130" w:rsidRPr="0023560C" w:rsidRDefault="004E3130">
      <w:pPr>
        <w:pStyle w:val="Heading1"/>
        <w:rPr>
          <w:rFonts w:ascii="Times New Roman" w:hAnsi="Times New Roman" w:cs="Times New Roman"/>
          <w:sz w:val="22"/>
          <w:szCs w:val="22"/>
        </w:rPr>
      </w:pPr>
    </w:p>
    <w:p w14:paraId="36E53AB8" w14:textId="2A0666F2"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I. INTRODUCTION</w:t>
      </w:r>
    </w:p>
    <w:p w14:paraId="195BF968" w14:textId="77777777" w:rsidR="004E3130" w:rsidRPr="0023560C" w:rsidRDefault="004E3130" w:rsidP="004E3130">
      <w:pPr>
        <w:rPr>
          <w:sz w:val="22"/>
        </w:rPr>
      </w:pPr>
    </w:p>
    <w:p w14:paraId="130A802F" w14:textId="77777777" w:rsidR="001B008F" w:rsidRPr="0023560C" w:rsidRDefault="00000000">
      <w:pPr>
        <w:ind w:firstLine="173"/>
        <w:jc w:val="both"/>
        <w:rPr>
          <w:rFonts w:cs="Times New Roman"/>
          <w:sz w:val="22"/>
        </w:rPr>
      </w:pPr>
      <w:r w:rsidRPr="0023560C">
        <w:rPr>
          <w:rFonts w:cs="Times New Roman"/>
          <w:sz w:val="22"/>
        </w:rPr>
        <w:t xml:space="preserve">Integer factorization is a useful testbed for algorithm selection because no single practical method is uniformly best across all integer structures and sizes. Trial division is straightforward but scales poorly with large prime factors. Wheel factorization skips candidates divisible by small primes. Fermat factorization is especially effective when the two factors are close. Pollard’s rho uses a pseudo-random sequence and greatest-common-divisor </w:t>
      </w:r>
      <w:r w:rsidRPr="0023560C">
        <w:rPr>
          <w:rFonts w:cs="Times New Roman"/>
          <w:sz w:val="22"/>
        </w:rPr>
        <w:t>computations to discover a nontrivial factor, while Pollard’s p−1 can be effective when a factor’s predecessor has suitably smooth structure. The relative merits of these methods depend on the input, so choosing a method is itself a decision problem.</w:t>
      </w:r>
    </w:p>
    <w:p w14:paraId="14E44EAA" w14:textId="77777777" w:rsidR="001B008F" w:rsidRPr="0023560C" w:rsidRDefault="00000000">
      <w:pPr>
        <w:ind w:firstLine="173"/>
        <w:jc w:val="both"/>
        <w:rPr>
          <w:rFonts w:cs="Times New Roman"/>
          <w:sz w:val="22"/>
        </w:rPr>
      </w:pPr>
      <w:r w:rsidRPr="0023560C">
        <w:rPr>
          <w:rFonts w:cs="Times New Roman"/>
          <w:sz w:val="22"/>
        </w:rPr>
        <w:t>This project frames method selection as a reinforcement-learning (RL) task. At each decision, a policy observes features of the current semiprime and recent action history, then selects one of five methods. The selected implementation receives a bounded operation budget. If it discovers a factor, the episode terminates; otherwise, the environment penalizes the unsuccessful attempt and allows another choice. Proximal Policy Optimization (PPO) is used to learn a policy from synthetic training episodes.</w:t>
      </w:r>
    </w:p>
    <w:p w14:paraId="15AA7D18" w14:textId="0CC2B9B2" w:rsidR="001B008F" w:rsidRPr="0023560C" w:rsidRDefault="00000000">
      <w:pPr>
        <w:ind w:firstLine="173"/>
        <w:jc w:val="both"/>
        <w:rPr>
          <w:rFonts w:cs="Times New Roman"/>
          <w:sz w:val="22"/>
        </w:rPr>
      </w:pPr>
      <w:r w:rsidRPr="0023560C">
        <w:rPr>
          <w:rFonts w:cs="Times New Roman"/>
          <w:sz w:val="22"/>
        </w:rPr>
        <w:t xml:space="preserve">The intended research question is whether a learned selection policy can use inexpensive instance features to reduce the number of method invocations needed to find a factor, compared with fixed single-method strategies. The </w:t>
      </w:r>
      <w:r w:rsidR="004E3130" w:rsidRPr="0023560C">
        <w:rPr>
          <w:rFonts w:cs="Times New Roman"/>
          <w:sz w:val="22"/>
        </w:rPr>
        <w:t xml:space="preserve">experiment </w:t>
      </w:r>
      <w:r w:rsidRPr="0023560C">
        <w:rPr>
          <w:rFonts w:cs="Times New Roman"/>
          <w:sz w:val="22"/>
        </w:rPr>
        <w:t>provides an initial prototype and reports results at two sizes. The central contribution of this report is to present those results accurately while separating observations from claims that the current experiment cannot support.</w:t>
      </w:r>
    </w:p>
    <w:p w14:paraId="488DB113" w14:textId="3FDDA4B1" w:rsidR="001B008F" w:rsidRPr="0023560C" w:rsidRDefault="00000000">
      <w:pPr>
        <w:ind w:firstLine="173"/>
        <w:jc w:val="both"/>
        <w:rPr>
          <w:rFonts w:cs="Times New Roman"/>
          <w:sz w:val="22"/>
        </w:rPr>
      </w:pPr>
      <w:r w:rsidRPr="0023560C">
        <w:rPr>
          <w:rFonts w:cs="Times New Roman"/>
          <w:sz w:val="22"/>
        </w:rPr>
        <w:t xml:space="preserve">The </w:t>
      </w:r>
      <w:r w:rsidR="004E3130" w:rsidRPr="0023560C">
        <w:rPr>
          <w:rFonts w:cs="Times New Roman"/>
          <w:sz w:val="22"/>
        </w:rPr>
        <w:t>experiment’s</w:t>
      </w:r>
      <w:r w:rsidRPr="0023560C">
        <w:rPr>
          <w:rFonts w:cs="Times New Roman"/>
          <w:sz w:val="22"/>
        </w:rPr>
        <w:t xml:space="preserve"> reported numbers suggest that the PPO policy performs well under its own environment: it reports 100% success at both tested sizes, with a mean of 1.00 decision step for 16-bit inputs and 1.79 for 32-bit inputs. However, decision steps are not equivalent to CPU time or arithmetic operations, and the evaluation design favors certain input structures and methods. Accordingly, this report treats the results as preliminary evidence about a prototype algorithm selector, not evidence of a general improvement in integer factorization.</w:t>
      </w:r>
    </w:p>
    <w:p w14:paraId="692C8828" w14:textId="77777777" w:rsidR="004E3130" w:rsidRPr="0023560C" w:rsidRDefault="004E3130">
      <w:pPr>
        <w:ind w:firstLine="173"/>
        <w:jc w:val="both"/>
        <w:rPr>
          <w:rFonts w:cs="Times New Roman"/>
          <w:sz w:val="22"/>
        </w:rPr>
      </w:pPr>
    </w:p>
    <w:p w14:paraId="7ECEF7F2" w14:textId="77777777"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II. BACKGROUND AND RELATED WORK</w:t>
      </w:r>
    </w:p>
    <w:p w14:paraId="2D5620AA" w14:textId="77777777" w:rsidR="004E3130" w:rsidRPr="0023560C" w:rsidRDefault="004E3130">
      <w:pPr>
        <w:ind w:firstLine="173"/>
        <w:jc w:val="both"/>
        <w:rPr>
          <w:rFonts w:cs="Times New Roman"/>
          <w:sz w:val="22"/>
        </w:rPr>
      </w:pPr>
    </w:p>
    <w:p w14:paraId="650AFB25" w14:textId="6C705ABE" w:rsidR="001B008F" w:rsidRPr="0023560C" w:rsidRDefault="00000000">
      <w:pPr>
        <w:ind w:firstLine="173"/>
        <w:jc w:val="both"/>
        <w:rPr>
          <w:rFonts w:cs="Times New Roman"/>
          <w:sz w:val="22"/>
        </w:rPr>
      </w:pPr>
      <w:r w:rsidRPr="0023560C">
        <w:rPr>
          <w:rFonts w:cs="Times New Roman"/>
          <w:sz w:val="22"/>
        </w:rPr>
        <w:t>Algorithm selection studies the problem of choosing an algorithm or configuration for a particular instance. Rice formalized algorithm selection in terms of instance features, available algorithms, and performance measure [1]. A portfolio may select one algorithm or allocate resources among several. Learning Dynamic Algorithm Portfolios by Gagliolo and Schmidhuber motivates adapting algorithm choices to instance characteristics and run-time information [2]. The present project follows that broad idea but implements a discrete-action RL environment.</w:t>
      </w:r>
    </w:p>
    <w:p w14:paraId="71519A92" w14:textId="25A0B0A0" w:rsidR="001B008F" w:rsidRPr="0023560C" w:rsidRDefault="00000000">
      <w:pPr>
        <w:ind w:firstLine="173"/>
        <w:jc w:val="both"/>
        <w:rPr>
          <w:rFonts w:cs="Times New Roman"/>
          <w:sz w:val="22"/>
        </w:rPr>
      </w:pPr>
      <w:r w:rsidRPr="0023560C">
        <w:rPr>
          <w:rFonts w:cs="Times New Roman"/>
          <w:sz w:val="22"/>
        </w:rPr>
        <w:t xml:space="preserve">PPO is an on-policy policy-gradient method that limits policy updates through a clipped surrogate objective, helping avoid excessively large updates from a batch of experience [3]. In the </w:t>
      </w:r>
      <w:r w:rsidR="00541D5F" w:rsidRPr="0023560C">
        <w:rPr>
          <w:rFonts w:cs="Times New Roman"/>
          <w:sz w:val="22"/>
        </w:rPr>
        <w:t>experiment</w:t>
      </w:r>
      <w:r w:rsidRPr="0023560C">
        <w:rPr>
          <w:rFonts w:cs="Times New Roman"/>
          <w:sz w:val="22"/>
        </w:rPr>
        <w:t xml:space="preserve">, PPO uses an MLP </w:t>
      </w:r>
      <w:r w:rsidRPr="0023560C">
        <w:rPr>
          <w:rFonts w:cs="Times New Roman"/>
          <w:sz w:val="22"/>
        </w:rPr>
        <w:lastRenderedPageBreak/>
        <w:t>policy with a learning rate of 3×10⁻⁴, rollout length of 2,048, minibatch size 64, discount factor 0.99, and entropy coefficient 0.01. The 16-bit model is trained for 50,000 environment timesteps and the 32-bit model for 100,000.</w:t>
      </w:r>
    </w:p>
    <w:p w14:paraId="62A3D4F7" w14:textId="36EA3A82" w:rsidR="001B008F" w:rsidRDefault="00000000">
      <w:pPr>
        <w:ind w:firstLine="173"/>
        <w:jc w:val="both"/>
        <w:rPr>
          <w:rFonts w:cs="Times New Roman"/>
          <w:sz w:val="22"/>
        </w:rPr>
      </w:pPr>
      <w:r w:rsidRPr="0023560C">
        <w:rPr>
          <w:rFonts w:cs="Times New Roman"/>
          <w:sz w:val="22"/>
        </w:rPr>
        <w:t>The five candidate methods are complementary heuristics. Trial division checks candidate divisors in increasing order. Wheel factorization uses a 30-based wheel to skip residues divisible by 2, 3, and 5. Fermat’s method searches for a representation n = a² − b² = (a−b)(</w:t>
      </w:r>
      <w:proofErr w:type="spellStart"/>
      <w:r w:rsidRPr="0023560C">
        <w:rPr>
          <w:rFonts w:cs="Times New Roman"/>
          <w:sz w:val="22"/>
        </w:rPr>
        <w:t>a+b</w:t>
      </w:r>
      <w:proofErr w:type="spellEnd"/>
      <w:r w:rsidRPr="0023560C">
        <w:rPr>
          <w:rFonts w:cs="Times New Roman"/>
          <w:sz w:val="22"/>
        </w:rPr>
        <w:t xml:space="preserve">) and is particularly favorable when factors are close. Pollard’s rho iterates a polynomial modulo n and uses gcd computations to reveal a factor [4]. Pollard’s p−1 exploits cases where p−1 is smooth for a prime factor p. The </w:t>
      </w:r>
      <w:r w:rsidR="004E3130" w:rsidRPr="0023560C">
        <w:rPr>
          <w:rFonts w:cs="Times New Roman"/>
          <w:sz w:val="22"/>
        </w:rPr>
        <w:t>experiment</w:t>
      </w:r>
      <w:r w:rsidRPr="0023560C">
        <w:rPr>
          <w:rFonts w:cs="Times New Roman"/>
          <w:sz w:val="22"/>
        </w:rPr>
        <w:t xml:space="preserve"> contains simplified implementations of these methods, so results should not be generalized to optimized production implementations.</w:t>
      </w:r>
    </w:p>
    <w:p w14:paraId="1EC3157A" w14:textId="77777777" w:rsidR="0023560C" w:rsidRPr="0023560C" w:rsidRDefault="0023560C">
      <w:pPr>
        <w:ind w:firstLine="173"/>
        <w:jc w:val="both"/>
        <w:rPr>
          <w:rFonts w:cs="Times New Roman"/>
          <w:sz w:val="22"/>
        </w:rPr>
      </w:pPr>
    </w:p>
    <w:p w14:paraId="422DE05F" w14:textId="62226902"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III. EXPERIMENTAL METHOD</w:t>
      </w:r>
    </w:p>
    <w:p w14:paraId="6A031C00" w14:textId="77777777" w:rsidR="004E3130" w:rsidRPr="0023560C" w:rsidRDefault="004E3130">
      <w:pPr>
        <w:pStyle w:val="Heading2"/>
        <w:rPr>
          <w:rFonts w:ascii="Times New Roman" w:hAnsi="Times New Roman" w:cs="Times New Roman"/>
          <w:sz w:val="22"/>
          <w:szCs w:val="22"/>
        </w:rPr>
      </w:pPr>
    </w:p>
    <w:p w14:paraId="750571C7" w14:textId="32AE7674" w:rsidR="001B008F" w:rsidRPr="0023560C" w:rsidRDefault="00000000">
      <w:pPr>
        <w:pStyle w:val="Heading2"/>
        <w:rPr>
          <w:rFonts w:ascii="Times New Roman" w:hAnsi="Times New Roman" w:cs="Times New Roman"/>
          <w:sz w:val="22"/>
          <w:szCs w:val="22"/>
        </w:rPr>
      </w:pPr>
      <w:r w:rsidRPr="0023560C">
        <w:rPr>
          <w:rFonts w:ascii="Times New Roman" w:hAnsi="Times New Roman" w:cs="Times New Roman"/>
          <w:sz w:val="22"/>
          <w:szCs w:val="22"/>
        </w:rPr>
        <w:t>A. Synthetic Semiprime Generation</w:t>
      </w:r>
    </w:p>
    <w:p w14:paraId="47246CFF" w14:textId="77777777" w:rsidR="004E3130" w:rsidRPr="0023560C" w:rsidRDefault="004E3130">
      <w:pPr>
        <w:ind w:firstLine="173"/>
        <w:jc w:val="both"/>
        <w:rPr>
          <w:rFonts w:cs="Times New Roman"/>
          <w:sz w:val="22"/>
        </w:rPr>
      </w:pPr>
    </w:p>
    <w:p w14:paraId="6CEAD441" w14:textId="4B494D34" w:rsidR="001B008F" w:rsidRPr="0023560C" w:rsidRDefault="00000000">
      <w:pPr>
        <w:ind w:firstLine="173"/>
        <w:jc w:val="both"/>
        <w:rPr>
          <w:rFonts w:cs="Times New Roman"/>
          <w:sz w:val="22"/>
        </w:rPr>
      </w:pPr>
      <w:r w:rsidRPr="0023560C">
        <w:rPr>
          <w:rFonts w:cs="Times New Roman"/>
          <w:sz w:val="22"/>
        </w:rPr>
        <w:t xml:space="preserve">The data generator creates n = pq from two generated primes. Its `bits` parameter controls the approximate bit width of each prime through `random_prime(bits // 2)`, so the products are </w:t>
      </w:r>
      <w:r w:rsidR="003D53C7" w:rsidRPr="0023560C">
        <w:rPr>
          <w:rFonts w:cs="Times New Roman"/>
          <w:sz w:val="22"/>
        </w:rPr>
        <w:t>16-bit</w:t>
      </w:r>
      <w:r w:rsidRPr="0023560C">
        <w:rPr>
          <w:rFonts w:cs="Times New Roman"/>
          <w:sz w:val="22"/>
        </w:rPr>
        <w:t xml:space="preserve"> and 32-bit for the two experiments. With probability 0.3, the generator constructs a close-factor case by choosing q as the next prime after p plus a random offset between 1 and 100; otherwise, p and q are generated independently in the same approximate range. Thus</w:t>
      </w:r>
      <w:r w:rsidR="004E3130" w:rsidRPr="0023560C">
        <w:rPr>
          <w:rFonts w:cs="Times New Roman"/>
          <w:sz w:val="22"/>
        </w:rPr>
        <w:t>,</w:t>
      </w:r>
      <w:r w:rsidRPr="0023560C">
        <w:rPr>
          <w:rFonts w:cs="Times New Roman"/>
          <w:sz w:val="22"/>
        </w:rPr>
        <w:t xml:space="preserve"> the evaluation distribution deliberately includes close factors, a structure that can make Fermat factorization unusually effective. The generator does not record a separate held-out test set or report the realized proportion of close-factor examples in each evaluation batch.</w:t>
      </w:r>
    </w:p>
    <w:p w14:paraId="4BDEDEF0" w14:textId="77777777" w:rsidR="00541D5F" w:rsidRPr="0023560C" w:rsidRDefault="00541D5F">
      <w:pPr>
        <w:ind w:firstLine="173"/>
        <w:jc w:val="both"/>
        <w:rPr>
          <w:rFonts w:cs="Times New Roman"/>
          <w:sz w:val="22"/>
        </w:rPr>
      </w:pPr>
    </w:p>
    <w:p w14:paraId="07DDB049" w14:textId="77777777" w:rsidR="001B008F" w:rsidRPr="0023560C" w:rsidRDefault="00000000">
      <w:pPr>
        <w:pStyle w:val="Heading2"/>
        <w:rPr>
          <w:rFonts w:ascii="Times New Roman" w:hAnsi="Times New Roman" w:cs="Times New Roman"/>
          <w:sz w:val="22"/>
          <w:szCs w:val="22"/>
        </w:rPr>
      </w:pPr>
      <w:r w:rsidRPr="0023560C">
        <w:rPr>
          <w:rFonts w:ascii="Times New Roman" w:hAnsi="Times New Roman" w:cs="Times New Roman"/>
          <w:sz w:val="22"/>
          <w:szCs w:val="22"/>
        </w:rPr>
        <w:t>B. Action Space and Observations</w:t>
      </w:r>
    </w:p>
    <w:p w14:paraId="7B611A4D" w14:textId="77777777" w:rsidR="00541D5F" w:rsidRPr="0023560C" w:rsidRDefault="00541D5F">
      <w:pPr>
        <w:ind w:firstLine="173"/>
        <w:jc w:val="both"/>
        <w:rPr>
          <w:rFonts w:cs="Times New Roman"/>
          <w:sz w:val="22"/>
        </w:rPr>
      </w:pPr>
    </w:p>
    <w:p w14:paraId="5EC09EEF" w14:textId="401B88EF" w:rsidR="001B008F" w:rsidRPr="0023560C" w:rsidRDefault="00000000">
      <w:pPr>
        <w:ind w:firstLine="173"/>
        <w:jc w:val="both"/>
        <w:rPr>
          <w:rFonts w:cs="Times New Roman"/>
          <w:sz w:val="22"/>
        </w:rPr>
      </w:pPr>
      <w:r w:rsidRPr="0023560C">
        <w:rPr>
          <w:rFonts w:cs="Times New Roman"/>
          <w:sz w:val="22"/>
        </w:rPr>
        <w:t>The Gymnasium environment exposes five discrete actions: trial division (0), wheel factorization (1), Fermat factorization (2), Pollard’s rho (3), and Pollard’s p−1 (4). The 14-dimensional observation contains normalized log₂(n), a normalized distance between n and the square of floor(√n), residues of n modulo 2, 3, 5, 7, and 11, normalized episode step count, normalized previous action, and five normalized per-method failure counts. The observation is designed to give the policy inexpensive number-theoretic and interaction-history signals.</w:t>
      </w:r>
    </w:p>
    <w:p w14:paraId="1E9E1C6E" w14:textId="77777777" w:rsidR="001B008F" w:rsidRPr="0023560C" w:rsidRDefault="00000000">
      <w:pPr>
        <w:ind w:firstLine="173"/>
        <w:jc w:val="both"/>
        <w:rPr>
          <w:rFonts w:cs="Times New Roman"/>
          <w:sz w:val="22"/>
        </w:rPr>
      </w:pPr>
      <w:r w:rsidRPr="0023560C">
        <w:rPr>
          <w:rFonts w:cs="Times New Roman"/>
          <w:sz w:val="22"/>
        </w:rPr>
        <w:t xml:space="preserve">The observation is not a complete description of the internal state of every algorithm. For example, the </w:t>
      </w:r>
      <w:r w:rsidRPr="0023560C">
        <w:rPr>
          <w:rFonts w:cs="Times New Roman"/>
          <w:sz w:val="22"/>
        </w:rPr>
        <w:t>implementations maintain candidate divisors, Fermat’s a value, rho sequence values, and p−1 parameters in a shared dictionary, but those internal values are not represented in the observation. This makes the learning problem partially observable when an algorithm is resumed after a failed action. In addition, the current observation includes no explicit flag for the close-factor generation mode.</w:t>
      </w:r>
    </w:p>
    <w:p w14:paraId="0EB7E734" w14:textId="77777777" w:rsidR="00541D5F" w:rsidRPr="0023560C" w:rsidRDefault="00541D5F">
      <w:pPr>
        <w:ind w:firstLine="173"/>
        <w:jc w:val="both"/>
        <w:rPr>
          <w:rFonts w:cs="Times New Roman"/>
          <w:sz w:val="22"/>
        </w:rPr>
      </w:pPr>
    </w:p>
    <w:p w14:paraId="32B56720" w14:textId="77777777" w:rsidR="001B008F" w:rsidRPr="0023560C" w:rsidRDefault="00000000">
      <w:pPr>
        <w:pStyle w:val="Heading2"/>
        <w:rPr>
          <w:rFonts w:ascii="Times New Roman" w:hAnsi="Times New Roman" w:cs="Times New Roman"/>
          <w:sz w:val="22"/>
          <w:szCs w:val="22"/>
        </w:rPr>
      </w:pPr>
      <w:r w:rsidRPr="0023560C">
        <w:rPr>
          <w:rFonts w:ascii="Times New Roman" w:hAnsi="Times New Roman" w:cs="Times New Roman"/>
          <w:sz w:val="22"/>
          <w:szCs w:val="22"/>
        </w:rPr>
        <w:t>C. Algorithm Calls, Rewards, and Episode Termination</w:t>
      </w:r>
    </w:p>
    <w:p w14:paraId="276CC120" w14:textId="77777777" w:rsidR="00541D5F" w:rsidRPr="0023560C" w:rsidRDefault="00541D5F">
      <w:pPr>
        <w:ind w:firstLine="173"/>
        <w:jc w:val="both"/>
        <w:rPr>
          <w:rFonts w:cs="Times New Roman"/>
          <w:sz w:val="22"/>
        </w:rPr>
      </w:pPr>
    </w:p>
    <w:p w14:paraId="7442152E" w14:textId="402D5D9A" w:rsidR="001B008F" w:rsidRPr="0023560C" w:rsidRDefault="00000000">
      <w:pPr>
        <w:ind w:firstLine="173"/>
        <w:jc w:val="both"/>
        <w:rPr>
          <w:rFonts w:cs="Times New Roman"/>
          <w:sz w:val="22"/>
        </w:rPr>
      </w:pPr>
      <w:r w:rsidRPr="0023560C">
        <w:rPr>
          <w:rFonts w:cs="Times New Roman"/>
          <w:sz w:val="22"/>
        </w:rPr>
        <w:t>Each selected method receives a budget of 100 internal iterations. The environment subtracts 0.01 times the method’s reported iteration count from reward. A failed call incurs an additional −0.5 and increments that method’s failure count. When a method returns a factor that divides the current integer, the environment adds 20 and terminates. Reaching the 50-decision episode limit adds a −10 penalty and terminates. The configured reward therefore prioritizes successful factor discovery while applying a smaller cost for effort and failed calls.</w:t>
      </w:r>
    </w:p>
    <w:p w14:paraId="26338EC2" w14:textId="77777777" w:rsidR="001B008F" w:rsidRPr="0023560C" w:rsidRDefault="00000000">
      <w:pPr>
        <w:ind w:firstLine="173"/>
        <w:jc w:val="both"/>
        <w:rPr>
          <w:rFonts w:cs="Times New Roman"/>
          <w:sz w:val="22"/>
        </w:rPr>
      </w:pPr>
      <w:r w:rsidRPr="0023560C">
        <w:rPr>
          <w:rFonts w:cs="Times New Roman"/>
          <w:sz w:val="22"/>
        </w:rPr>
        <w:t>The current environment does not progressively reduce `current_n` after finding a factor, because it terminates as soon as a factor is found. The task is therefore discovery of one nontrivial factor, rather than complete prime factorization. Also, the factor validation checks `factor * (current_n // factor) == current_n`, which is true for any exact divisor, but it does not explicitly reject 1 or n at the environment boundary. The method implementations attempt to avoid trivial factors in several places, but a robust environment should validate `1 &lt; factor &lt; n` directly.</w:t>
      </w:r>
    </w:p>
    <w:p w14:paraId="05DB7FB0" w14:textId="77777777" w:rsidR="00541D5F" w:rsidRPr="0023560C" w:rsidRDefault="00541D5F">
      <w:pPr>
        <w:ind w:firstLine="173"/>
        <w:jc w:val="both"/>
        <w:rPr>
          <w:rFonts w:cs="Times New Roman"/>
          <w:sz w:val="22"/>
        </w:rPr>
      </w:pPr>
    </w:p>
    <w:p w14:paraId="22F8647F" w14:textId="77777777" w:rsidR="001B008F" w:rsidRPr="0023560C" w:rsidRDefault="00000000">
      <w:pPr>
        <w:pStyle w:val="Heading2"/>
        <w:rPr>
          <w:rFonts w:ascii="Times New Roman" w:hAnsi="Times New Roman" w:cs="Times New Roman"/>
          <w:sz w:val="22"/>
          <w:szCs w:val="22"/>
        </w:rPr>
      </w:pPr>
      <w:r w:rsidRPr="0023560C">
        <w:rPr>
          <w:rFonts w:ascii="Times New Roman" w:hAnsi="Times New Roman" w:cs="Times New Roman"/>
          <w:sz w:val="22"/>
          <w:szCs w:val="22"/>
        </w:rPr>
        <w:t>D. Training and Baselines</w:t>
      </w:r>
    </w:p>
    <w:p w14:paraId="2B1ADF1D" w14:textId="77777777" w:rsidR="00541D5F" w:rsidRPr="0023560C" w:rsidRDefault="00541D5F">
      <w:pPr>
        <w:ind w:firstLine="173"/>
        <w:jc w:val="both"/>
        <w:rPr>
          <w:rFonts w:cs="Times New Roman"/>
          <w:sz w:val="22"/>
        </w:rPr>
      </w:pPr>
    </w:p>
    <w:p w14:paraId="2E342292" w14:textId="48308820" w:rsidR="001B008F" w:rsidRPr="0023560C" w:rsidRDefault="00000000">
      <w:pPr>
        <w:ind w:firstLine="173"/>
        <w:jc w:val="both"/>
        <w:rPr>
          <w:rFonts w:cs="Times New Roman"/>
          <w:sz w:val="22"/>
        </w:rPr>
      </w:pPr>
      <w:r w:rsidRPr="0023560C">
        <w:rPr>
          <w:rFonts w:cs="Times New Roman"/>
          <w:sz w:val="22"/>
        </w:rPr>
        <w:t xml:space="preserve">The </w:t>
      </w:r>
      <w:r w:rsidR="004E3130" w:rsidRPr="0023560C">
        <w:rPr>
          <w:rFonts w:cs="Times New Roman"/>
          <w:sz w:val="22"/>
        </w:rPr>
        <w:t>experiment</w:t>
      </w:r>
      <w:r w:rsidRPr="0023560C">
        <w:rPr>
          <w:rFonts w:cs="Times New Roman"/>
          <w:sz w:val="22"/>
        </w:rPr>
        <w:t xml:space="preserve"> trains independent PPO models at </w:t>
      </w:r>
      <w:r w:rsidR="00541D5F" w:rsidRPr="0023560C">
        <w:rPr>
          <w:rFonts w:cs="Times New Roman"/>
          <w:sz w:val="22"/>
        </w:rPr>
        <w:t>two</w:t>
      </w:r>
      <w:r w:rsidRPr="0023560C">
        <w:rPr>
          <w:rFonts w:cs="Times New Roman"/>
          <w:sz w:val="22"/>
        </w:rPr>
        <w:t xml:space="preserve"> sizes and saves them to size-specific filenames. It wraps the environment with Stable-Baselines3’s Monitor and enables TensorBoard logging. Evaluation uses deterministic policy predictions for 100 generated episodes. Five baselines repeatedly invoke only one selected method, preserving that method’s state between calls, for up to 50 decision steps. The </w:t>
      </w:r>
      <w:r w:rsidR="004E3130" w:rsidRPr="0023560C">
        <w:rPr>
          <w:rFonts w:cs="Times New Roman"/>
          <w:sz w:val="22"/>
        </w:rPr>
        <w:t>experiment</w:t>
      </w:r>
      <w:r w:rsidRPr="0023560C">
        <w:rPr>
          <w:rFonts w:cs="Times New Roman"/>
          <w:sz w:val="22"/>
        </w:rPr>
        <w:t xml:space="preserve"> reports success rate and average decision steps for PPO and each baseline.</w:t>
      </w:r>
    </w:p>
    <w:p w14:paraId="211F0AFD" w14:textId="483D3108" w:rsidR="001B008F" w:rsidRPr="0023560C" w:rsidRDefault="00000000">
      <w:pPr>
        <w:ind w:firstLine="173"/>
        <w:jc w:val="both"/>
        <w:rPr>
          <w:rFonts w:cs="Times New Roman"/>
          <w:sz w:val="22"/>
        </w:rPr>
      </w:pPr>
      <w:r w:rsidRPr="0023560C">
        <w:rPr>
          <w:rFonts w:cs="Times New Roman"/>
          <w:sz w:val="22"/>
        </w:rPr>
        <w:t xml:space="preserve">This baseline measures decision count rather than total internal iterations, wall-clock time, or total gcd/modular-arithmetic operations. A single decision may consume anywhere from one iteration to the full 100-iteration budget, so comparisons in decision steps do not imply equal computational work. The </w:t>
      </w:r>
      <w:r w:rsidR="004E3130" w:rsidRPr="0023560C">
        <w:rPr>
          <w:rFonts w:cs="Times New Roman"/>
          <w:sz w:val="22"/>
        </w:rPr>
        <w:t>experiment</w:t>
      </w:r>
      <w:r w:rsidRPr="0023560C">
        <w:rPr>
          <w:rFonts w:cs="Times New Roman"/>
          <w:sz w:val="22"/>
        </w:rPr>
        <w:t xml:space="preserve"> also calls a method repeatedly on the same original n in the baseline, </w:t>
      </w:r>
      <w:r w:rsidRPr="0023560C">
        <w:rPr>
          <w:rFonts w:cs="Times New Roman"/>
          <w:sz w:val="22"/>
        </w:rPr>
        <w:lastRenderedPageBreak/>
        <w:t>while the PPO environment tracks a step limit and rewards, making the episode accounting similar in broad outline but not a fully controlled cost comparison.</w:t>
      </w:r>
    </w:p>
    <w:p w14:paraId="0BF5C766" w14:textId="77777777" w:rsidR="00541D5F" w:rsidRPr="0023560C" w:rsidRDefault="00541D5F">
      <w:pPr>
        <w:ind w:firstLine="173"/>
        <w:jc w:val="both"/>
        <w:rPr>
          <w:rFonts w:cs="Times New Roman"/>
          <w:sz w:val="22"/>
        </w:rPr>
      </w:pPr>
    </w:p>
    <w:p w14:paraId="3EF55E7B" w14:textId="77777777" w:rsidR="001B008F" w:rsidRPr="0023560C" w:rsidRDefault="00000000">
      <w:pPr>
        <w:pStyle w:val="Heading2"/>
        <w:rPr>
          <w:rFonts w:ascii="Times New Roman" w:hAnsi="Times New Roman" w:cs="Times New Roman"/>
          <w:sz w:val="22"/>
          <w:szCs w:val="22"/>
        </w:rPr>
      </w:pPr>
      <w:r w:rsidRPr="0023560C">
        <w:rPr>
          <w:rFonts w:ascii="Times New Roman" w:hAnsi="Times New Roman" w:cs="Times New Roman"/>
          <w:sz w:val="22"/>
          <w:szCs w:val="22"/>
        </w:rPr>
        <w:t>E. Statistical Analysis and Plotting</w:t>
      </w:r>
    </w:p>
    <w:p w14:paraId="6B840A7E" w14:textId="77777777" w:rsidR="00541D5F" w:rsidRPr="0023560C" w:rsidRDefault="00541D5F">
      <w:pPr>
        <w:ind w:firstLine="173"/>
        <w:jc w:val="both"/>
        <w:rPr>
          <w:rFonts w:cs="Times New Roman"/>
          <w:sz w:val="22"/>
        </w:rPr>
      </w:pPr>
    </w:p>
    <w:p w14:paraId="663674F7" w14:textId="6EEF4056" w:rsidR="001B008F" w:rsidRPr="0023560C" w:rsidRDefault="00000000">
      <w:pPr>
        <w:ind w:firstLine="173"/>
        <w:jc w:val="both"/>
        <w:rPr>
          <w:rFonts w:cs="Times New Roman"/>
          <w:sz w:val="22"/>
        </w:rPr>
      </w:pPr>
      <w:r w:rsidRPr="0023560C">
        <w:rPr>
          <w:rFonts w:cs="Times New Roman"/>
          <w:sz w:val="22"/>
        </w:rPr>
        <w:t xml:space="preserve">The </w:t>
      </w:r>
      <w:r w:rsidR="004E3130" w:rsidRPr="0023560C">
        <w:rPr>
          <w:rFonts w:cs="Times New Roman"/>
          <w:sz w:val="22"/>
        </w:rPr>
        <w:t>experiment</w:t>
      </w:r>
      <w:r w:rsidRPr="0023560C">
        <w:rPr>
          <w:rFonts w:cs="Times New Roman"/>
          <w:sz w:val="22"/>
        </w:rPr>
        <w:t xml:space="preserve"> includes a Wilcoxon signed-rank test intended to compare paired PPO and baseline decision counts across 100 evaluation instances. It also includes a plot counting which baseline is fastest on sampled inputs. However, the learning-trend plotting function is fed randomly generated mock rewards and synthetic timestep values, rather than rewards captured from PPO training. Those plots cannot be interpreted as empirical convergence curves. Some Wilcoxon comparisons return NaN, which occurs when the paired differences provide no variance for the test statistic; those comparisons should be reported as undefined rather than as evidence of significance.</w:t>
      </w:r>
    </w:p>
    <w:p w14:paraId="093B8D9C" w14:textId="77777777" w:rsidR="00541D5F" w:rsidRPr="0023560C" w:rsidRDefault="00541D5F">
      <w:pPr>
        <w:ind w:firstLine="173"/>
        <w:jc w:val="both"/>
        <w:rPr>
          <w:rFonts w:cs="Times New Roman"/>
          <w:sz w:val="22"/>
        </w:rPr>
      </w:pPr>
    </w:p>
    <w:p w14:paraId="5232113B" w14:textId="77777777"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IV. RESULTS</w:t>
      </w:r>
    </w:p>
    <w:p w14:paraId="3E5F0130" w14:textId="77777777" w:rsidR="00541D5F" w:rsidRPr="0023560C" w:rsidRDefault="00541D5F">
      <w:pPr>
        <w:ind w:firstLine="173"/>
        <w:jc w:val="both"/>
        <w:rPr>
          <w:rFonts w:cs="Times New Roman"/>
          <w:sz w:val="22"/>
        </w:rPr>
      </w:pPr>
    </w:p>
    <w:p w14:paraId="65CBD4AE" w14:textId="4CB45CF5" w:rsidR="001B008F" w:rsidRPr="0023560C" w:rsidRDefault="00000000">
      <w:pPr>
        <w:ind w:firstLine="173"/>
        <w:jc w:val="both"/>
        <w:rPr>
          <w:rFonts w:cs="Times New Roman"/>
          <w:sz w:val="22"/>
        </w:rPr>
      </w:pPr>
      <w:r w:rsidRPr="0023560C">
        <w:rPr>
          <w:rFonts w:cs="Times New Roman"/>
          <w:sz w:val="22"/>
        </w:rPr>
        <w:t xml:space="preserve">The values in this section are transcribed from the </w:t>
      </w:r>
      <w:r w:rsidR="004E3130" w:rsidRPr="0023560C">
        <w:rPr>
          <w:rFonts w:cs="Times New Roman"/>
          <w:sz w:val="22"/>
        </w:rPr>
        <w:t>experiment</w:t>
      </w:r>
      <w:r w:rsidRPr="0023560C">
        <w:rPr>
          <w:rFonts w:cs="Times New Roman"/>
          <w:sz w:val="22"/>
        </w:rPr>
        <w:t>’s saved output. The output does not provide confidence intervals, per-instance records, hardware timing, or a clean export of the benchmark plot counts; therefore, only printed aggregate values are reported.</w:t>
      </w:r>
    </w:p>
    <w:p w14:paraId="7C19794D" w14:textId="77777777" w:rsidR="00541D5F" w:rsidRPr="00541D5F" w:rsidRDefault="00541D5F">
      <w:pPr>
        <w:ind w:firstLine="173"/>
        <w:jc w:val="both"/>
        <w:rPr>
          <w:rFonts w:cs="Times New Roman"/>
          <w:sz w:val="20"/>
          <w:szCs w:val="20"/>
        </w:rPr>
      </w:pPr>
    </w:p>
    <w:p w14:paraId="77F38FC9" w14:textId="77777777" w:rsidR="00541D5F" w:rsidRDefault="00000000">
      <w:pPr>
        <w:jc w:val="center"/>
        <w:rPr>
          <w:b/>
          <w:sz w:val="20"/>
          <w:szCs w:val="20"/>
        </w:rPr>
      </w:pPr>
      <w:r w:rsidRPr="00541D5F">
        <w:rPr>
          <w:b/>
          <w:sz w:val="20"/>
          <w:szCs w:val="20"/>
        </w:rPr>
        <w:t xml:space="preserve">Table I. </w:t>
      </w:r>
      <w:r w:rsidR="00541D5F" w:rsidRPr="00541D5F">
        <w:rPr>
          <w:b/>
          <w:sz w:val="20"/>
          <w:szCs w:val="20"/>
        </w:rPr>
        <w:t>Experiment</w:t>
      </w:r>
      <w:r w:rsidRPr="00541D5F">
        <w:rPr>
          <w:b/>
          <w:sz w:val="20"/>
          <w:szCs w:val="20"/>
        </w:rPr>
        <w:t xml:space="preserve">-reported evaluation results </w:t>
      </w:r>
    </w:p>
    <w:p w14:paraId="57AB05A7" w14:textId="29DF5604" w:rsidR="001B008F" w:rsidRPr="00541D5F" w:rsidRDefault="00000000">
      <w:pPr>
        <w:jc w:val="center"/>
        <w:rPr>
          <w:sz w:val="20"/>
          <w:szCs w:val="20"/>
        </w:rPr>
      </w:pPr>
      <w:r w:rsidRPr="00541D5F">
        <w:rPr>
          <w:b/>
          <w:sz w:val="20"/>
          <w:szCs w:val="20"/>
        </w:rPr>
        <w:t>(100 episodes per size)</w:t>
      </w:r>
    </w:p>
    <w:tbl>
      <w:tblPr>
        <w:tblStyle w:val="TableGrid"/>
        <w:tblW w:w="0" w:type="auto"/>
        <w:jc w:val="center"/>
        <w:tblLook w:val="04A0" w:firstRow="1" w:lastRow="0" w:firstColumn="1" w:lastColumn="0" w:noHBand="0" w:noVBand="1"/>
      </w:tblPr>
      <w:tblGrid>
        <w:gridCol w:w="1208"/>
        <w:gridCol w:w="1484"/>
        <w:gridCol w:w="1308"/>
        <w:gridCol w:w="1323"/>
      </w:tblGrid>
      <w:tr w:rsidR="001B008F" w14:paraId="79556941" w14:textId="77777777">
        <w:trPr>
          <w:jc w:val="center"/>
        </w:trPr>
        <w:tc>
          <w:tcPr>
            <w:tcW w:w="2613" w:type="dxa"/>
            <w:shd w:val="clear" w:color="auto" w:fill="E8E8E8"/>
            <w:vAlign w:val="center"/>
          </w:tcPr>
          <w:p w14:paraId="5704CDD4" w14:textId="77777777" w:rsidR="001B008F" w:rsidRDefault="00000000">
            <w:pPr>
              <w:spacing w:after="0"/>
            </w:pPr>
            <w:r>
              <w:rPr>
                <w:sz w:val="14"/>
              </w:rPr>
              <w:t>Input size</w:t>
            </w:r>
          </w:p>
        </w:tc>
        <w:tc>
          <w:tcPr>
            <w:tcW w:w="2613" w:type="dxa"/>
            <w:shd w:val="clear" w:color="auto" w:fill="E8E8E8"/>
            <w:vAlign w:val="center"/>
          </w:tcPr>
          <w:p w14:paraId="6E592903" w14:textId="77777777" w:rsidR="001B008F" w:rsidRDefault="00000000">
            <w:pPr>
              <w:spacing w:after="0"/>
            </w:pPr>
            <w:r>
              <w:rPr>
                <w:sz w:val="14"/>
              </w:rPr>
              <w:t>Method</w:t>
            </w:r>
          </w:p>
        </w:tc>
        <w:tc>
          <w:tcPr>
            <w:tcW w:w="2613" w:type="dxa"/>
            <w:shd w:val="clear" w:color="auto" w:fill="E8E8E8"/>
            <w:vAlign w:val="center"/>
          </w:tcPr>
          <w:p w14:paraId="6D87409D" w14:textId="77777777" w:rsidR="001B008F" w:rsidRDefault="00000000">
            <w:pPr>
              <w:spacing w:after="0"/>
            </w:pPr>
            <w:r>
              <w:rPr>
                <w:sz w:val="14"/>
              </w:rPr>
              <w:t>Success rate</w:t>
            </w:r>
          </w:p>
        </w:tc>
        <w:tc>
          <w:tcPr>
            <w:tcW w:w="2613" w:type="dxa"/>
            <w:shd w:val="clear" w:color="auto" w:fill="E8E8E8"/>
            <w:vAlign w:val="center"/>
          </w:tcPr>
          <w:p w14:paraId="78C6AFDB" w14:textId="77777777" w:rsidR="001B008F" w:rsidRDefault="00000000">
            <w:pPr>
              <w:spacing w:after="0"/>
            </w:pPr>
            <w:r>
              <w:rPr>
                <w:sz w:val="14"/>
              </w:rPr>
              <w:t>Mean decision steps</w:t>
            </w:r>
          </w:p>
        </w:tc>
      </w:tr>
      <w:tr w:rsidR="001B008F" w14:paraId="68DE073B" w14:textId="77777777">
        <w:trPr>
          <w:jc w:val="center"/>
        </w:trPr>
        <w:tc>
          <w:tcPr>
            <w:tcW w:w="2613" w:type="dxa"/>
            <w:vAlign w:val="center"/>
          </w:tcPr>
          <w:p w14:paraId="5CB3D6D3" w14:textId="77777777" w:rsidR="001B008F" w:rsidRDefault="00000000">
            <w:pPr>
              <w:spacing w:after="0"/>
            </w:pPr>
            <w:r>
              <w:rPr>
                <w:sz w:val="14"/>
              </w:rPr>
              <w:t>16-bit</w:t>
            </w:r>
          </w:p>
        </w:tc>
        <w:tc>
          <w:tcPr>
            <w:tcW w:w="2613" w:type="dxa"/>
            <w:vAlign w:val="center"/>
          </w:tcPr>
          <w:p w14:paraId="7A45525D" w14:textId="77777777" w:rsidR="001B008F" w:rsidRDefault="00000000">
            <w:pPr>
              <w:spacing w:after="0"/>
            </w:pPr>
            <w:r>
              <w:rPr>
                <w:sz w:val="14"/>
              </w:rPr>
              <w:t>PPO</w:t>
            </w:r>
          </w:p>
        </w:tc>
        <w:tc>
          <w:tcPr>
            <w:tcW w:w="2613" w:type="dxa"/>
            <w:vAlign w:val="center"/>
          </w:tcPr>
          <w:p w14:paraId="5075A156" w14:textId="77777777" w:rsidR="001B008F" w:rsidRDefault="00000000">
            <w:pPr>
              <w:spacing w:after="0"/>
            </w:pPr>
            <w:r>
              <w:rPr>
                <w:sz w:val="14"/>
              </w:rPr>
              <w:t>1.00</w:t>
            </w:r>
          </w:p>
        </w:tc>
        <w:tc>
          <w:tcPr>
            <w:tcW w:w="2613" w:type="dxa"/>
            <w:vAlign w:val="center"/>
          </w:tcPr>
          <w:p w14:paraId="4BBB3B48" w14:textId="77777777" w:rsidR="001B008F" w:rsidRDefault="00000000">
            <w:pPr>
              <w:spacing w:after="0"/>
            </w:pPr>
            <w:r>
              <w:rPr>
                <w:sz w:val="14"/>
              </w:rPr>
              <w:t>1.00</w:t>
            </w:r>
          </w:p>
        </w:tc>
      </w:tr>
      <w:tr w:rsidR="001B008F" w14:paraId="4A81C6EB" w14:textId="77777777">
        <w:trPr>
          <w:jc w:val="center"/>
        </w:trPr>
        <w:tc>
          <w:tcPr>
            <w:tcW w:w="2613" w:type="dxa"/>
            <w:vAlign w:val="center"/>
          </w:tcPr>
          <w:p w14:paraId="28C8469D" w14:textId="77777777" w:rsidR="001B008F" w:rsidRDefault="00000000">
            <w:pPr>
              <w:spacing w:after="0"/>
            </w:pPr>
            <w:r>
              <w:rPr>
                <w:sz w:val="14"/>
              </w:rPr>
              <w:t>16-bit</w:t>
            </w:r>
          </w:p>
        </w:tc>
        <w:tc>
          <w:tcPr>
            <w:tcW w:w="2613" w:type="dxa"/>
            <w:vAlign w:val="center"/>
          </w:tcPr>
          <w:p w14:paraId="2649C942" w14:textId="77777777" w:rsidR="001B008F" w:rsidRDefault="00000000">
            <w:pPr>
              <w:spacing w:after="0"/>
            </w:pPr>
            <w:r>
              <w:rPr>
                <w:sz w:val="14"/>
              </w:rPr>
              <w:t>Trial division</w:t>
            </w:r>
          </w:p>
        </w:tc>
        <w:tc>
          <w:tcPr>
            <w:tcW w:w="2613" w:type="dxa"/>
            <w:vAlign w:val="center"/>
          </w:tcPr>
          <w:p w14:paraId="77BAA2BE" w14:textId="77777777" w:rsidR="001B008F" w:rsidRDefault="00000000">
            <w:pPr>
              <w:spacing w:after="0"/>
            </w:pPr>
            <w:r>
              <w:rPr>
                <w:sz w:val="14"/>
              </w:rPr>
              <w:t>1.00</w:t>
            </w:r>
          </w:p>
        </w:tc>
        <w:tc>
          <w:tcPr>
            <w:tcW w:w="2613" w:type="dxa"/>
            <w:vAlign w:val="center"/>
          </w:tcPr>
          <w:p w14:paraId="4E0254F3" w14:textId="77777777" w:rsidR="001B008F" w:rsidRDefault="00000000">
            <w:pPr>
              <w:spacing w:after="0"/>
            </w:pPr>
            <w:r>
              <w:rPr>
                <w:sz w:val="14"/>
              </w:rPr>
              <w:t>2.29</w:t>
            </w:r>
          </w:p>
        </w:tc>
      </w:tr>
      <w:tr w:rsidR="001B008F" w14:paraId="30BE7C2B" w14:textId="77777777">
        <w:trPr>
          <w:jc w:val="center"/>
        </w:trPr>
        <w:tc>
          <w:tcPr>
            <w:tcW w:w="2613" w:type="dxa"/>
            <w:vAlign w:val="center"/>
          </w:tcPr>
          <w:p w14:paraId="6FB8FAA3" w14:textId="77777777" w:rsidR="001B008F" w:rsidRDefault="00000000">
            <w:pPr>
              <w:spacing w:after="0"/>
            </w:pPr>
            <w:r>
              <w:rPr>
                <w:sz w:val="14"/>
              </w:rPr>
              <w:t>16-bit</w:t>
            </w:r>
          </w:p>
        </w:tc>
        <w:tc>
          <w:tcPr>
            <w:tcW w:w="2613" w:type="dxa"/>
            <w:vAlign w:val="center"/>
          </w:tcPr>
          <w:p w14:paraId="2674342E" w14:textId="77777777" w:rsidR="001B008F" w:rsidRDefault="00000000">
            <w:pPr>
              <w:spacing w:after="0"/>
            </w:pPr>
            <w:r>
              <w:rPr>
                <w:sz w:val="14"/>
              </w:rPr>
              <w:t>Wheel factorization</w:t>
            </w:r>
          </w:p>
        </w:tc>
        <w:tc>
          <w:tcPr>
            <w:tcW w:w="2613" w:type="dxa"/>
            <w:vAlign w:val="center"/>
          </w:tcPr>
          <w:p w14:paraId="53029104" w14:textId="77777777" w:rsidR="001B008F" w:rsidRDefault="00000000">
            <w:pPr>
              <w:spacing w:after="0"/>
            </w:pPr>
            <w:r>
              <w:rPr>
                <w:sz w:val="14"/>
              </w:rPr>
              <w:t>1.00</w:t>
            </w:r>
          </w:p>
        </w:tc>
        <w:tc>
          <w:tcPr>
            <w:tcW w:w="2613" w:type="dxa"/>
            <w:vAlign w:val="center"/>
          </w:tcPr>
          <w:p w14:paraId="24822B29" w14:textId="77777777" w:rsidR="001B008F" w:rsidRDefault="00000000">
            <w:pPr>
              <w:spacing w:after="0"/>
            </w:pPr>
            <w:r>
              <w:rPr>
                <w:sz w:val="14"/>
              </w:rPr>
              <w:t>1.00</w:t>
            </w:r>
          </w:p>
        </w:tc>
      </w:tr>
      <w:tr w:rsidR="001B008F" w14:paraId="387CF5F8" w14:textId="77777777">
        <w:trPr>
          <w:jc w:val="center"/>
        </w:trPr>
        <w:tc>
          <w:tcPr>
            <w:tcW w:w="2613" w:type="dxa"/>
            <w:vAlign w:val="center"/>
          </w:tcPr>
          <w:p w14:paraId="16AE40E9" w14:textId="77777777" w:rsidR="001B008F" w:rsidRDefault="00000000">
            <w:pPr>
              <w:spacing w:after="0"/>
            </w:pPr>
            <w:r>
              <w:rPr>
                <w:sz w:val="14"/>
              </w:rPr>
              <w:t>16-bit</w:t>
            </w:r>
          </w:p>
        </w:tc>
        <w:tc>
          <w:tcPr>
            <w:tcW w:w="2613" w:type="dxa"/>
            <w:vAlign w:val="center"/>
          </w:tcPr>
          <w:p w14:paraId="35FCE278" w14:textId="77777777" w:rsidR="001B008F" w:rsidRDefault="00000000">
            <w:pPr>
              <w:spacing w:after="0"/>
            </w:pPr>
            <w:r>
              <w:rPr>
                <w:sz w:val="14"/>
              </w:rPr>
              <w:t>Fermat</w:t>
            </w:r>
          </w:p>
        </w:tc>
        <w:tc>
          <w:tcPr>
            <w:tcW w:w="2613" w:type="dxa"/>
            <w:vAlign w:val="center"/>
          </w:tcPr>
          <w:p w14:paraId="4188D56F" w14:textId="77777777" w:rsidR="001B008F" w:rsidRDefault="00000000">
            <w:pPr>
              <w:spacing w:after="0"/>
            </w:pPr>
            <w:r>
              <w:rPr>
                <w:sz w:val="14"/>
              </w:rPr>
              <w:t>1.00</w:t>
            </w:r>
          </w:p>
        </w:tc>
        <w:tc>
          <w:tcPr>
            <w:tcW w:w="2613" w:type="dxa"/>
            <w:vAlign w:val="center"/>
          </w:tcPr>
          <w:p w14:paraId="3970D3DF" w14:textId="77777777" w:rsidR="001B008F" w:rsidRDefault="00000000">
            <w:pPr>
              <w:spacing w:after="0"/>
            </w:pPr>
            <w:r>
              <w:rPr>
                <w:sz w:val="14"/>
              </w:rPr>
              <w:t>1.00</w:t>
            </w:r>
          </w:p>
        </w:tc>
      </w:tr>
      <w:tr w:rsidR="001B008F" w14:paraId="3C4FAE32" w14:textId="77777777">
        <w:trPr>
          <w:jc w:val="center"/>
        </w:trPr>
        <w:tc>
          <w:tcPr>
            <w:tcW w:w="2613" w:type="dxa"/>
            <w:vAlign w:val="center"/>
          </w:tcPr>
          <w:p w14:paraId="2CF4EA69" w14:textId="77777777" w:rsidR="001B008F" w:rsidRDefault="00000000">
            <w:pPr>
              <w:spacing w:after="0"/>
            </w:pPr>
            <w:r>
              <w:rPr>
                <w:sz w:val="14"/>
              </w:rPr>
              <w:t>16-bit</w:t>
            </w:r>
          </w:p>
        </w:tc>
        <w:tc>
          <w:tcPr>
            <w:tcW w:w="2613" w:type="dxa"/>
            <w:vAlign w:val="center"/>
          </w:tcPr>
          <w:p w14:paraId="4AD18447" w14:textId="77777777" w:rsidR="001B008F" w:rsidRDefault="00000000">
            <w:pPr>
              <w:spacing w:after="0"/>
            </w:pPr>
            <w:r>
              <w:rPr>
                <w:sz w:val="14"/>
              </w:rPr>
              <w:t>Pollard’s rho</w:t>
            </w:r>
          </w:p>
        </w:tc>
        <w:tc>
          <w:tcPr>
            <w:tcW w:w="2613" w:type="dxa"/>
            <w:vAlign w:val="center"/>
          </w:tcPr>
          <w:p w14:paraId="62CC723B" w14:textId="77777777" w:rsidR="001B008F" w:rsidRDefault="00000000">
            <w:pPr>
              <w:spacing w:after="0"/>
            </w:pPr>
            <w:r>
              <w:rPr>
                <w:sz w:val="14"/>
              </w:rPr>
              <w:t>1.00</w:t>
            </w:r>
          </w:p>
        </w:tc>
        <w:tc>
          <w:tcPr>
            <w:tcW w:w="2613" w:type="dxa"/>
            <w:vAlign w:val="center"/>
          </w:tcPr>
          <w:p w14:paraId="5847247D" w14:textId="77777777" w:rsidR="001B008F" w:rsidRDefault="00000000">
            <w:pPr>
              <w:spacing w:after="0"/>
            </w:pPr>
            <w:r>
              <w:rPr>
                <w:sz w:val="14"/>
              </w:rPr>
              <w:t>1.00</w:t>
            </w:r>
          </w:p>
        </w:tc>
      </w:tr>
      <w:tr w:rsidR="001B008F" w14:paraId="2749A4D3" w14:textId="77777777">
        <w:trPr>
          <w:jc w:val="center"/>
        </w:trPr>
        <w:tc>
          <w:tcPr>
            <w:tcW w:w="2613" w:type="dxa"/>
            <w:vAlign w:val="center"/>
          </w:tcPr>
          <w:p w14:paraId="57DA8563" w14:textId="77777777" w:rsidR="001B008F" w:rsidRDefault="00000000">
            <w:pPr>
              <w:spacing w:after="0"/>
            </w:pPr>
            <w:r>
              <w:rPr>
                <w:sz w:val="14"/>
              </w:rPr>
              <w:t>16-bit</w:t>
            </w:r>
          </w:p>
        </w:tc>
        <w:tc>
          <w:tcPr>
            <w:tcW w:w="2613" w:type="dxa"/>
            <w:vAlign w:val="center"/>
          </w:tcPr>
          <w:p w14:paraId="753BFCE8" w14:textId="77777777" w:rsidR="001B008F" w:rsidRDefault="00000000">
            <w:pPr>
              <w:spacing w:after="0"/>
            </w:pPr>
            <w:r>
              <w:rPr>
                <w:sz w:val="14"/>
              </w:rPr>
              <w:t>Pollard’s p−1</w:t>
            </w:r>
          </w:p>
        </w:tc>
        <w:tc>
          <w:tcPr>
            <w:tcW w:w="2613" w:type="dxa"/>
            <w:vAlign w:val="center"/>
          </w:tcPr>
          <w:p w14:paraId="1962373C" w14:textId="77777777" w:rsidR="001B008F" w:rsidRDefault="00000000">
            <w:pPr>
              <w:spacing w:after="0"/>
            </w:pPr>
            <w:r>
              <w:rPr>
                <w:sz w:val="14"/>
              </w:rPr>
              <w:t>0.98</w:t>
            </w:r>
          </w:p>
        </w:tc>
        <w:tc>
          <w:tcPr>
            <w:tcW w:w="2613" w:type="dxa"/>
            <w:vAlign w:val="center"/>
          </w:tcPr>
          <w:p w14:paraId="67EDC273" w14:textId="77777777" w:rsidR="001B008F" w:rsidRDefault="00000000">
            <w:pPr>
              <w:spacing w:after="0"/>
            </w:pPr>
            <w:r>
              <w:rPr>
                <w:sz w:val="14"/>
              </w:rPr>
              <w:t>1.99</w:t>
            </w:r>
          </w:p>
        </w:tc>
      </w:tr>
      <w:tr w:rsidR="001B008F" w14:paraId="065DE8F4" w14:textId="77777777">
        <w:trPr>
          <w:jc w:val="center"/>
        </w:trPr>
        <w:tc>
          <w:tcPr>
            <w:tcW w:w="2613" w:type="dxa"/>
            <w:vAlign w:val="center"/>
          </w:tcPr>
          <w:p w14:paraId="4F44ED78" w14:textId="77777777" w:rsidR="001B008F" w:rsidRDefault="00000000">
            <w:pPr>
              <w:spacing w:after="0"/>
            </w:pPr>
            <w:r>
              <w:rPr>
                <w:sz w:val="14"/>
              </w:rPr>
              <w:t>32-bit</w:t>
            </w:r>
          </w:p>
        </w:tc>
        <w:tc>
          <w:tcPr>
            <w:tcW w:w="2613" w:type="dxa"/>
            <w:vAlign w:val="center"/>
          </w:tcPr>
          <w:p w14:paraId="225704FD" w14:textId="77777777" w:rsidR="001B008F" w:rsidRDefault="00000000">
            <w:pPr>
              <w:spacing w:after="0"/>
            </w:pPr>
            <w:r>
              <w:rPr>
                <w:sz w:val="14"/>
              </w:rPr>
              <w:t>PPO</w:t>
            </w:r>
          </w:p>
        </w:tc>
        <w:tc>
          <w:tcPr>
            <w:tcW w:w="2613" w:type="dxa"/>
            <w:vAlign w:val="center"/>
          </w:tcPr>
          <w:p w14:paraId="7F672311" w14:textId="77777777" w:rsidR="001B008F" w:rsidRDefault="00000000">
            <w:pPr>
              <w:spacing w:after="0"/>
            </w:pPr>
            <w:r>
              <w:rPr>
                <w:sz w:val="14"/>
              </w:rPr>
              <w:t>1.00</w:t>
            </w:r>
          </w:p>
        </w:tc>
        <w:tc>
          <w:tcPr>
            <w:tcW w:w="2613" w:type="dxa"/>
            <w:vAlign w:val="center"/>
          </w:tcPr>
          <w:p w14:paraId="32B9361E" w14:textId="77777777" w:rsidR="001B008F" w:rsidRDefault="00000000">
            <w:pPr>
              <w:spacing w:after="0"/>
            </w:pPr>
            <w:r>
              <w:rPr>
                <w:sz w:val="14"/>
              </w:rPr>
              <w:t>1.79</w:t>
            </w:r>
          </w:p>
        </w:tc>
      </w:tr>
      <w:tr w:rsidR="001B008F" w14:paraId="6B821731" w14:textId="77777777">
        <w:trPr>
          <w:jc w:val="center"/>
        </w:trPr>
        <w:tc>
          <w:tcPr>
            <w:tcW w:w="2613" w:type="dxa"/>
            <w:vAlign w:val="center"/>
          </w:tcPr>
          <w:p w14:paraId="5BBE9A20" w14:textId="77777777" w:rsidR="001B008F" w:rsidRDefault="00000000">
            <w:pPr>
              <w:spacing w:after="0"/>
            </w:pPr>
            <w:r>
              <w:rPr>
                <w:sz w:val="14"/>
              </w:rPr>
              <w:t>32-bit</w:t>
            </w:r>
          </w:p>
        </w:tc>
        <w:tc>
          <w:tcPr>
            <w:tcW w:w="2613" w:type="dxa"/>
            <w:vAlign w:val="center"/>
          </w:tcPr>
          <w:p w14:paraId="3A2BB463" w14:textId="77777777" w:rsidR="001B008F" w:rsidRDefault="00000000">
            <w:pPr>
              <w:spacing w:after="0"/>
            </w:pPr>
            <w:r>
              <w:rPr>
                <w:sz w:val="14"/>
              </w:rPr>
              <w:t>Trial division</w:t>
            </w:r>
          </w:p>
        </w:tc>
        <w:tc>
          <w:tcPr>
            <w:tcW w:w="2613" w:type="dxa"/>
            <w:vAlign w:val="center"/>
          </w:tcPr>
          <w:p w14:paraId="39B40FFC" w14:textId="77777777" w:rsidR="001B008F" w:rsidRDefault="00000000">
            <w:pPr>
              <w:spacing w:after="0"/>
            </w:pPr>
            <w:r>
              <w:rPr>
                <w:sz w:val="14"/>
              </w:rPr>
              <w:t>0.00</w:t>
            </w:r>
          </w:p>
        </w:tc>
        <w:tc>
          <w:tcPr>
            <w:tcW w:w="2613" w:type="dxa"/>
            <w:vAlign w:val="center"/>
          </w:tcPr>
          <w:p w14:paraId="4BD5FE1A" w14:textId="77777777" w:rsidR="001B008F" w:rsidRDefault="00000000">
            <w:pPr>
              <w:spacing w:after="0"/>
            </w:pPr>
            <w:r>
              <w:rPr>
                <w:sz w:val="14"/>
              </w:rPr>
              <w:t>50.00</w:t>
            </w:r>
          </w:p>
        </w:tc>
      </w:tr>
      <w:tr w:rsidR="001B008F" w14:paraId="0A45A653" w14:textId="77777777">
        <w:trPr>
          <w:jc w:val="center"/>
        </w:trPr>
        <w:tc>
          <w:tcPr>
            <w:tcW w:w="2613" w:type="dxa"/>
            <w:vAlign w:val="center"/>
          </w:tcPr>
          <w:p w14:paraId="78C09448" w14:textId="77777777" w:rsidR="001B008F" w:rsidRDefault="00000000">
            <w:pPr>
              <w:spacing w:after="0"/>
            </w:pPr>
            <w:r>
              <w:rPr>
                <w:sz w:val="14"/>
              </w:rPr>
              <w:t>32-bit</w:t>
            </w:r>
          </w:p>
        </w:tc>
        <w:tc>
          <w:tcPr>
            <w:tcW w:w="2613" w:type="dxa"/>
            <w:vAlign w:val="center"/>
          </w:tcPr>
          <w:p w14:paraId="0F057423" w14:textId="77777777" w:rsidR="001B008F" w:rsidRDefault="00000000">
            <w:pPr>
              <w:spacing w:after="0"/>
            </w:pPr>
            <w:r>
              <w:rPr>
                <w:sz w:val="14"/>
              </w:rPr>
              <w:t>Wheel factorization</w:t>
            </w:r>
          </w:p>
        </w:tc>
        <w:tc>
          <w:tcPr>
            <w:tcW w:w="2613" w:type="dxa"/>
            <w:vAlign w:val="center"/>
          </w:tcPr>
          <w:p w14:paraId="5F451E6E" w14:textId="77777777" w:rsidR="001B008F" w:rsidRDefault="00000000">
            <w:pPr>
              <w:spacing w:after="0"/>
            </w:pPr>
            <w:r>
              <w:rPr>
                <w:sz w:val="14"/>
              </w:rPr>
              <w:t>0.00</w:t>
            </w:r>
          </w:p>
        </w:tc>
        <w:tc>
          <w:tcPr>
            <w:tcW w:w="2613" w:type="dxa"/>
            <w:vAlign w:val="center"/>
          </w:tcPr>
          <w:p w14:paraId="79AD593E" w14:textId="77777777" w:rsidR="001B008F" w:rsidRDefault="00000000">
            <w:pPr>
              <w:spacing w:after="0"/>
            </w:pPr>
            <w:r>
              <w:rPr>
                <w:sz w:val="14"/>
              </w:rPr>
              <w:t>50.00</w:t>
            </w:r>
          </w:p>
        </w:tc>
      </w:tr>
      <w:tr w:rsidR="001B008F" w14:paraId="35514356" w14:textId="77777777">
        <w:trPr>
          <w:jc w:val="center"/>
        </w:trPr>
        <w:tc>
          <w:tcPr>
            <w:tcW w:w="2613" w:type="dxa"/>
            <w:vAlign w:val="center"/>
          </w:tcPr>
          <w:p w14:paraId="2D0A68F0" w14:textId="77777777" w:rsidR="001B008F" w:rsidRDefault="00000000">
            <w:pPr>
              <w:spacing w:after="0"/>
            </w:pPr>
            <w:r>
              <w:rPr>
                <w:sz w:val="14"/>
              </w:rPr>
              <w:t>32-bit</w:t>
            </w:r>
          </w:p>
        </w:tc>
        <w:tc>
          <w:tcPr>
            <w:tcW w:w="2613" w:type="dxa"/>
            <w:vAlign w:val="center"/>
          </w:tcPr>
          <w:p w14:paraId="03688E2A" w14:textId="77777777" w:rsidR="001B008F" w:rsidRDefault="00000000">
            <w:pPr>
              <w:spacing w:after="0"/>
            </w:pPr>
            <w:r>
              <w:rPr>
                <w:sz w:val="14"/>
              </w:rPr>
              <w:t>Fermat</w:t>
            </w:r>
          </w:p>
        </w:tc>
        <w:tc>
          <w:tcPr>
            <w:tcW w:w="2613" w:type="dxa"/>
            <w:vAlign w:val="center"/>
          </w:tcPr>
          <w:p w14:paraId="5D22A5F7" w14:textId="77777777" w:rsidR="001B008F" w:rsidRDefault="00000000">
            <w:pPr>
              <w:spacing w:after="0"/>
            </w:pPr>
            <w:r>
              <w:rPr>
                <w:sz w:val="14"/>
              </w:rPr>
              <w:t>1.00</w:t>
            </w:r>
          </w:p>
        </w:tc>
        <w:tc>
          <w:tcPr>
            <w:tcW w:w="2613" w:type="dxa"/>
            <w:vAlign w:val="center"/>
          </w:tcPr>
          <w:p w14:paraId="1545E43A" w14:textId="77777777" w:rsidR="001B008F" w:rsidRDefault="00000000">
            <w:pPr>
              <w:spacing w:after="0"/>
            </w:pPr>
            <w:r>
              <w:rPr>
                <w:sz w:val="14"/>
              </w:rPr>
              <w:t>3.66</w:t>
            </w:r>
          </w:p>
        </w:tc>
      </w:tr>
      <w:tr w:rsidR="001B008F" w14:paraId="13C1C125" w14:textId="77777777">
        <w:trPr>
          <w:jc w:val="center"/>
        </w:trPr>
        <w:tc>
          <w:tcPr>
            <w:tcW w:w="2613" w:type="dxa"/>
            <w:vAlign w:val="center"/>
          </w:tcPr>
          <w:p w14:paraId="099111E9" w14:textId="77777777" w:rsidR="001B008F" w:rsidRDefault="00000000">
            <w:pPr>
              <w:spacing w:after="0"/>
            </w:pPr>
            <w:r>
              <w:rPr>
                <w:sz w:val="14"/>
              </w:rPr>
              <w:t>32-bit</w:t>
            </w:r>
          </w:p>
        </w:tc>
        <w:tc>
          <w:tcPr>
            <w:tcW w:w="2613" w:type="dxa"/>
            <w:vAlign w:val="center"/>
          </w:tcPr>
          <w:p w14:paraId="1D68DF0E" w14:textId="77777777" w:rsidR="001B008F" w:rsidRDefault="00000000">
            <w:pPr>
              <w:spacing w:after="0"/>
            </w:pPr>
            <w:r>
              <w:rPr>
                <w:sz w:val="14"/>
              </w:rPr>
              <w:t>Pollard’s rho</w:t>
            </w:r>
          </w:p>
        </w:tc>
        <w:tc>
          <w:tcPr>
            <w:tcW w:w="2613" w:type="dxa"/>
            <w:vAlign w:val="center"/>
          </w:tcPr>
          <w:p w14:paraId="5B41D388" w14:textId="77777777" w:rsidR="001B008F" w:rsidRDefault="00000000">
            <w:pPr>
              <w:spacing w:after="0"/>
            </w:pPr>
            <w:r>
              <w:rPr>
                <w:sz w:val="14"/>
              </w:rPr>
              <w:t>1.00</w:t>
            </w:r>
          </w:p>
        </w:tc>
        <w:tc>
          <w:tcPr>
            <w:tcW w:w="2613" w:type="dxa"/>
            <w:vAlign w:val="center"/>
          </w:tcPr>
          <w:p w14:paraId="075CF222" w14:textId="77777777" w:rsidR="001B008F" w:rsidRDefault="00000000">
            <w:pPr>
              <w:spacing w:after="0"/>
            </w:pPr>
            <w:r>
              <w:rPr>
                <w:sz w:val="14"/>
              </w:rPr>
              <w:t>2.03</w:t>
            </w:r>
          </w:p>
        </w:tc>
      </w:tr>
      <w:tr w:rsidR="001B008F" w14:paraId="07A27126" w14:textId="77777777">
        <w:trPr>
          <w:jc w:val="center"/>
        </w:trPr>
        <w:tc>
          <w:tcPr>
            <w:tcW w:w="2613" w:type="dxa"/>
            <w:vAlign w:val="center"/>
          </w:tcPr>
          <w:p w14:paraId="0B1B642A" w14:textId="77777777" w:rsidR="001B008F" w:rsidRDefault="00000000">
            <w:pPr>
              <w:spacing w:after="0"/>
            </w:pPr>
            <w:r>
              <w:rPr>
                <w:sz w:val="14"/>
              </w:rPr>
              <w:t>32-bit</w:t>
            </w:r>
          </w:p>
        </w:tc>
        <w:tc>
          <w:tcPr>
            <w:tcW w:w="2613" w:type="dxa"/>
            <w:vAlign w:val="center"/>
          </w:tcPr>
          <w:p w14:paraId="34DE49D1" w14:textId="77777777" w:rsidR="001B008F" w:rsidRDefault="00000000">
            <w:pPr>
              <w:spacing w:after="0"/>
            </w:pPr>
            <w:r>
              <w:rPr>
                <w:sz w:val="14"/>
              </w:rPr>
              <w:t>Pollard’s p−1</w:t>
            </w:r>
          </w:p>
        </w:tc>
        <w:tc>
          <w:tcPr>
            <w:tcW w:w="2613" w:type="dxa"/>
            <w:vAlign w:val="center"/>
          </w:tcPr>
          <w:p w14:paraId="4EC2B75C" w14:textId="77777777" w:rsidR="001B008F" w:rsidRDefault="00000000">
            <w:pPr>
              <w:spacing w:after="0"/>
            </w:pPr>
            <w:r>
              <w:rPr>
                <w:sz w:val="14"/>
              </w:rPr>
              <w:t>0.97</w:t>
            </w:r>
          </w:p>
        </w:tc>
        <w:tc>
          <w:tcPr>
            <w:tcW w:w="2613" w:type="dxa"/>
            <w:vAlign w:val="center"/>
          </w:tcPr>
          <w:p w14:paraId="1F01157F" w14:textId="77777777" w:rsidR="001B008F" w:rsidRDefault="00000000">
            <w:pPr>
              <w:spacing w:after="0"/>
            </w:pPr>
            <w:r>
              <w:rPr>
                <w:sz w:val="14"/>
              </w:rPr>
              <w:t>6.16</w:t>
            </w:r>
          </w:p>
        </w:tc>
      </w:tr>
    </w:tbl>
    <w:p w14:paraId="1148C96C" w14:textId="77777777" w:rsidR="00541D5F" w:rsidRPr="00541D5F" w:rsidRDefault="00541D5F">
      <w:pPr>
        <w:pStyle w:val="Heading2"/>
        <w:rPr>
          <w:rFonts w:ascii="Times New Roman" w:hAnsi="Times New Roman" w:cs="Times New Roman"/>
          <w:sz w:val="20"/>
          <w:szCs w:val="20"/>
        </w:rPr>
      </w:pPr>
    </w:p>
    <w:p w14:paraId="7DDB6145" w14:textId="55E019C0" w:rsidR="001B008F" w:rsidRPr="0023560C" w:rsidRDefault="00000000">
      <w:pPr>
        <w:pStyle w:val="Heading2"/>
        <w:rPr>
          <w:rFonts w:ascii="Times New Roman" w:hAnsi="Times New Roman" w:cs="Times New Roman"/>
          <w:sz w:val="22"/>
          <w:szCs w:val="22"/>
        </w:rPr>
      </w:pPr>
      <w:r w:rsidRPr="0023560C">
        <w:rPr>
          <w:rFonts w:ascii="Times New Roman" w:hAnsi="Times New Roman" w:cs="Times New Roman"/>
          <w:sz w:val="22"/>
          <w:szCs w:val="22"/>
        </w:rPr>
        <w:t>A. Results at 16 Bits</w:t>
      </w:r>
    </w:p>
    <w:p w14:paraId="055DD00A" w14:textId="77777777" w:rsidR="00541D5F" w:rsidRPr="0023560C" w:rsidRDefault="00541D5F">
      <w:pPr>
        <w:ind w:firstLine="173"/>
        <w:jc w:val="both"/>
        <w:rPr>
          <w:rFonts w:cs="Times New Roman"/>
          <w:sz w:val="22"/>
        </w:rPr>
      </w:pPr>
    </w:p>
    <w:p w14:paraId="642F832F" w14:textId="3063F293" w:rsidR="001B008F" w:rsidRPr="0023560C" w:rsidRDefault="00000000">
      <w:pPr>
        <w:ind w:firstLine="173"/>
        <w:jc w:val="both"/>
        <w:rPr>
          <w:rFonts w:cs="Times New Roman"/>
          <w:sz w:val="22"/>
        </w:rPr>
      </w:pPr>
      <w:r w:rsidRPr="0023560C">
        <w:rPr>
          <w:rFonts w:cs="Times New Roman"/>
          <w:sz w:val="22"/>
        </w:rPr>
        <w:t xml:space="preserve">At 16 bits, PPO reports a 1.00 success rate and a mean episode length of 1.00 decision. Wheel factorization, Fermat, and Pollard’s rho also report 1.00 success and 1.00 mean decision step, while trial division averages 2.29 steps and p−1 averages 1.99 with a reported 0.98 success rate. Consequently, the aggregate decision-count results do not show an advantage over the strongest single-method baselines: three fixed methods match PPO’s reported mean step count. At this size, the task </w:t>
      </w:r>
      <w:r w:rsidRPr="0023560C">
        <w:rPr>
          <w:rFonts w:cs="Times New Roman"/>
          <w:sz w:val="22"/>
        </w:rPr>
        <w:t>appears too easy under the chosen generation and budget settings to distinguish reliably between policies.</w:t>
      </w:r>
    </w:p>
    <w:p w14:paraId="36625F8F" w14:textId="77777777" w:rsidR="00541D5F" w:rsidRPr="0023560C" w:rsidRDefault="00541D5F">
      <w:pPr>
        <w:pStyle w:val="Heading2"/>
        <w:rPr>
          <w:rFonts w:ascii="Times New Roman" w:hAnsi="Times New Roman" w:cs="Times New Roman"/>
          <w:sz w:val="22"/>
          <w:szCs w:val="22"/>
        </w:rPr>
      </w:pPr>
    </w:p>
    <w:p w14:paraId="0DC88A4E" w14:textId="7B02D2EA" w:rsidR="001B008F" w:rsidRPr="0023560C" w:rsidRDefault="00000000">
      <w:pPr>
        <w:pStyle w:val="Heading2"/>
        <w:rPr>
          <w:rFonts w:ascii="Times New Roman" w:hAnsi="Times New Roman" w:cs="Times New Roman"/>
          <w:sz w:val="22"/>
          <w:szCs w:val="22"/>
        </w:rPr>
      </w:pPr>
      <w:r w:rsidRPr="0023560C">
        <w:rPr>
          <w:rFonts w:ascii="Times New Roman" w:hAnsi="Times New Roman" w:cs="Times New Roman"/>
          <w:sz w:val="22"/>
          <w:szCs w:val="22"/>
        </w:rPr>
        <w:t>B. Results at 32 Bits</w:t>
      </w:r>
    </w:p>
    <w:p w14:paraId="3DA5E5CD" w14:textId="77777777" w:rsidR="00541D5F" w:rsidRPr="0023560C" w:rsidRDefault="00541D5F">
      <w:pPr>
        <w:ind w:firstLine="173"/>
        <w:jc w:val="both"/>
        <w:rPr>
          <w:rFonts w:cs="Times New Roman"/>
          <w:sz w:val="22"/>
        </w:rPr>
      </w:pPr>
    </w:p>
    <w:p w14:paraId="616E78D9" w14:textId="0D43F648" w:rsidR="001B008F" w:rsidRPr="0023560C" w:rsidRDefault="00000000">
      <w:pPr>
        <w:ind w:firstLine="173"/>
        <w:jc w:val="both"/>
        <w:rPr>
          <w:rFonts w:cs="Times New Roman"/>
          <w:sz w:val="22"/>
        </w:rPr>
      </w:pPr>
      <w:r w:rsidRPr="0023560C">
        <w:rPr>
          <w:rFonts w:cs="Times New Roman"/>
          <w:sz w:val="22"/>
        </w:rPr>
        <w:t xml:space="preserve">At 32 bits, PPO reports 1.00 success and 1.79 average decision steps. Trial division and wheel factorization report no successful episodes within the 50-step limit. Fermat reports 1.00 success and 3.66 average steps; Pollard’s rho reports 1.00 success and 2.03 average steps; p−1 reports 0.97 success and 6.16 average steps. PPO therefore has a lower reported decision count than each successful fixed baseline, but its mean of 1.79 is close to Pollard’s rho’s 2.03. The result supports further testing of learned selection, while not </w:t>
      </w:r>
      <w:r w:rsidR="003D53C7" w:rsidRPr="0023560C">
        <w:rPr>
          <w:rFonts w:cs="Times New Roman"/>
          <w:sz w:val="22"/>
        </w:rPr>
        <w:t>proving</w:t>
      </w:r>
      <w:r w:rsidRPr="0023560C">
        <w:rPr>
          <w:rFonts w:cs="Times New Roman"/>
          <w:sz w:val="22"/>
        </w:rPr>
        <w:t xml:space="preserve"> lower computational cost because internal iterations and elapsed time are not compared.</w:t>
      </w:r>
    </w:p>
    <w:p w14:paraId="09419E78" w14:textId="77777777" w:rsidR="00541D5F" w:rsidRPr="0023560C" w:rsidRDefault="00541D5F">
      <w:pPr>
        <w:ind w:firstLine="173"/>
        <w:jc w:val="both"/>
        <w:rPr>
          <w:rFonts w:cs="Times New Roman"/>
          <w:sz w:val="22"/>
        </w:rPr>
      </w:pPr>
    </w:p>
    <w:p w14:paraId="661F049B" w14:textId="77777777" w:rsidR="001B008F" w:rsidRPr="0023560C" w:rsidRDefault="00000000">
      <w:pPr>
        <w:pStyle w:val="Heading2"/>
        <w:rPr>
          <w:rFonts w:ascii="Times New Roman" w:hAnsi="Times New Roman" w:cs="Times New Roman"/>
          <w:sz w:val="22"/>
          <w:szCs w:val="22"/>
        </w:rPr>
      </w:pPr>
      <w:r w:rsidRPr="0023560C">
        <w:rPr>
          <w:rFonts w:ascii="Times New Roman" w:hAnsi="Times New Roman" w:cs="Times New Roman"/>
          <w:sz w:val="22"/>
          <w:szCs w:val="22"/>
        </w:rPr>
        <w:t>C. Wilcoxon Test Output</w:t>
      </w:r>
    </w:p>
    <w:p w14:paraId="1A491180" w14:textId="77777777" w:rsidR="00541D5F" w:rsidRPr="0023560C" w:rsidRDefault="00541D5F">
      <w:pPr>
        <w:ind w:firstLine="173"/>
        <w:jc w:val="both"/>
        <w:rPr>
          <w:rFonts w:cs="Times New Roman"/>
          <w:sz w:val="22"/>
        </w:rPr>
      </w:pPr>
    </w:p>
    <w:p w14:paraId="4F009E1A" w14:textId="35690DF4" w:rsidR="001B008F" w:rsidRPr="0023560C" w:rsidRDefault="00000000">
      <w:pPr>
        <w:ind w:firstLine="173"/>
        <w:jc w:val="both"/>
        <w:rPr>
          <w:rFonts w:cs="Times New Roman"/>
          <w:sz w:val="22"/>
        </w:rPr>
      </w:pPr>
      <w:r w:rsidRPr="0023560C">
        <w:rPr>
          <w:rFonts w:cs="Times New Roman"/>
          <w:sz w:val="22"/>
        </w:rPr>
        <w:t xml:space="preserve">For 16-bit instances, the </w:t>
      </w:r>
      <w:r w:rsidR="00541D5F" w:rsidRPr="0023560C">
        <w:rPr>
          <w:rFonts w:cs="Times New Roman"/>
          <w:sz w:val="22"/>
        </w:rPr>
        <w:t>experiment</w:t>
      </w:r>
      <w:r w:rsidRPr="0023560C">
        <w:rPr>
          <w:rFonts w:cs="Times New Roman"/>
          <w:sz w:val="22"/>
        </w:rPr>
        <w:t xml:space="preserve"> reports PPO-versus-trial statistic 0.00 with p = 4.6283×10⁻²⁰ and PPO-versus-p−1 p = 0.1573. The wheel, Fermat, and rho comparisons return NaN. For 32-bit instances, the reported p-values are 5.6782×10⁻¹⁹ (trial), 5.6782×10⁻¹⁹ (wheel), 2.8228×10⁻⁶ (Fermat), 8.7565×10⁻² (rho), and 1.0290×10⁻³ (p−1). Under a conventional 0.05 threshold, the 32-bit comparison with rho is not statistically significant, while the others are reported below that threshold. These p-values should be treated cautiously: the </w:t>
      </w:r>
      <w:r w:rsidR="00541D5F" w:rsidRPr="0023560C">
        <w:rPr>
          <w:rFonts w:cs="Times New Roman"/>
          <w:sz w:val="22"/>
        </w:rPr>
        <w:t>experiment</w:t>
      </w:r>
      <w:r w:rsidRPr="0023560C">
        <w:rPr>
          <w:rFonts w:cs="Times New Roman"/>
          <w:sz w:val="22"/>
        </w:rPr>
        <w:t xml:space="preserve"> does not report a multiple-comparison correction, the paired outcome construction replaces failures with a common cap, and NaN results indicate comparisons that the test could not evaluate as configured. Statistical significance in decision count would still not establish superiority in runtime or operation count.</w:t>
      </w:r>
    </w:p>
    <w:p w14:paraId="7634F1B0" w14:textId="77777777" w:rsidR="00541D5F" w:rsidRPr="0023560C" w:rsidRDefault="00541D5F">
      <w:pPr>
        <w:pStyle w:val="Heading1"/>
        <w:rPr>
          <w:rFonts w:ascii="Times New Roman" w:hAnsi="Times New Roman" w:cs="Times New Roman"/>
          <w:sz w:val="22"/>
          <w:szCs w:val="22"/>
        </w:rPr>
      </w:pPr>
    </w:p>
    <w:p w14:paraId="65BE2595" w14:textId="00311666"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V. DISCUSSION</w:t>
      </w:r>
    </w:p>
    <w:p w14:paraId="0166E8F2" w14:textId="77777777" w:rsidR="00541D5F" w:rsidRPr="0023560C" w:rsidRDefault="00541D5F">
      <w:pPr>
        <w:ind w:firstLine="173"/>
        <w:jc w:val="both"/>
        <w:rPr>
          <w:rFonts w:cs="Times New Roman"/>
          <w:sz w:val="22"/>
        </w:rPr>
      </w:pPr>
    </w:p>
    <w:p w14:paraId="4AB4B2AC" w14:textId="06CAC4D8" w:rsidR="001B008F" w:rsidRPr="0023560C" w:rsidRDefault="00000000">
      <w:pPr>
        <w:ind w:firstLine="173"/>
        <w:jc w:val="both"/>
        <w:rPr>
          <w:rFonts w:cs="Times New Roman"/>
          <w:sz w:val="22"/>
        </w:rPr>
      </w:pPr>
      <w:r w:rsidRPr="0023560C">
        <w:rPr>
          <w:rFonts w:cs="Times New Roman"/>
          <w:sz w:val="22"/>
        </w:rPr>
        <w:t xml:space="preserve">The main empirical pattern is consistent with known structural differences among factorization heuristics. At the smaller size, the factors are sufficiently </w:t>
      </w:r>
      <w:r w:rsidR="00541D5F" w:rsidRPr="0023560C">
        <w:rPr>
          <w:rFonts w:cs="Times New Roman"/>
          <w:sz w:val="22"/>
        </w:rPr>
        <w:t>small so</w:t>
      </w:r>
      <w:r w:rsidRPr="0023560C">
        <w:rPr>
          <w:rFonts w:cs="Times New Roman"/>
          <w:sz w:val="22"/>
        </w:rPr>
        <w:t xml:space="preserve"> that many methods find a factor within one decision. At the larger size, trial division and the current wheel implementation exhaust the configured budget, while methods exploiting factor structure or modular iteration remain effective. The deliberately generated close-factor subset is particularly relevant to Fermat’s method, which can begin near √n and find a factor quickly when p and q are close. Because the evaluation does not stratify results by close versus independently generated factors, it is not </w:t>
      </w:r>
      <w:r w:rsidRPr="0023560C">
        <w:rPr>
          <w:rFonts w:cs="Times New Roman"/>
          <w:sz w:val="22"/>
        </w:rPr>
        <w:lastRenderedPageBreak/>
        <w:t>possible to determine whether PPO learned a general selection rule or primarily learned to exploit this mixture.</w:t>
      </w:r>
    </w:p>
    <w:p w14:paraId="11375FC2" w14:textId="77777777" w:rsidR="001B008F" w:rsidRPr="0023560C" w:rsidRDefault="00000000">
      <w:pPr>
        <w:ind w:firstLine="173"/>
        <w:jc w:val="both"/>
        <w:rPr>
          <w:rFonts w:cs="Times New Roman"/>
          <w:sz w:val="22"/>
        </w:rPr>
      </w:pPr>
      <w:r w:rsidRPr="0023560C">
        <w:rPr>
          <w:rFonts w:cs="Times New Roman"/>
          <w:sz w:val="22"/>
        </w:rPr>
        <w:t>The learned policy’s 32-bit mean decision count is promising but should be interpreted in the context of the reward design. An episode with a successful first action receives a large positive reward; failed actions incur penalties. This encourages finding a method that succeeds quickly in terms of calls, but the reward does not normalize the computational work of different methods. For example, a method can spend 100 internal iterations during one action, while another may find a factor in one iteration. A policy optimized for decision count can therefore differ from a policy optimized for time-to-factor.</w:t>
      </w:r>
    </w:p>
    <w:p w14:paraId="14613ED7" w14:textId="17CE8279" w:rsidR="001B008F" w:rsidRPr="0023560C" w:rsidRDefault="00000000">
      <w:pPr>
        <w:ind w:firstLine="173"/>
        <w:jc w:val="both"/>
        <w:rPr>
          <w:rFonts w:cs="Times New Roman"/>
          <w:sz w:val="22"/>
        </w:rPr>
      </w:pPr>
      <w:r w:rsidRPr="0023560C">
        <w:rPr>
          <w:rFonts w:cs="Times New Roman"/>
          <w:sz w:val="22"/>
        </w:rPr>
        <w:t xml:space="preserve">There are also implementation-level concerns. The wheel candidate list is `[1, 7, 11, 13, 17, 19, 23, 29]` repeated as `30*k + residue`; the implementation does not </w:t>
      </w:r>
      <w:r w:rsidR="00AB5A3F" w:rsidRPr="0023560C">
        <w:rPr>
          <w:rFonts w:cs="Times New Roman"/>
          <w:sz w:val="22"/>
        </w:rPr>
        <w:t>evaluate 2, 3, or 5 separately</w:t>
      </w:r>
      <w:r w:rsidRPr="0023560C">
        <w:rPr>
          <w:rFonts w:cs="Times New Roman"/>
          <w:sz w:val="22"/>
        </w:rPr>
        <w:t xml:space="preserve">, and its initial candidate is 1. Although generated primes are </w:t>
      </w:r>
      <w:r w:rsidR="003D53C7" w:rsidRPr="0023560C">
        <w:rPr>
          <w:rFonts w:cs="Times New Roman"/>
          <w:sz w:val="22"/>
        </w:rPr>
        <w:t>larger</w:t>
      </w:r>
      <w:r w:rsidRPr="0023560C">
        <w:rPr>
          <w:rFonts w:cs="Times New Roman"/>
          <w:sz w:val="22"/>
        </w:rPr>
        <w:t xml:space="preserve"> than these small values, the candidate sequence should be explicitly </w:t>
      </w:r>
      <w:r w:rsidR="00250DF7" w:rsidRPr="0023560C">
        <w:rPr>
          <w:rFonts w:cs="Times New Roman"/>
          <w:sz w:val="22"/>
        </w:rPr>
        <w:t>evaluated</w:t>
      </w:r>
      <w:r w:rsidRPr="0023560C">
        <w:rPr>
          <w:rFonts w:cs="Times New Roman"/>
          <w:sz w:val="22"/>
        </w:rPr>
        <w:t xml:space="preserve"> and should be initialized to a valid candidate greater than one. The trial-division implementation increments d by one and does not skip even candidates after </w:t>
      </w:r>
      <w:r w:rsidR="00250DF7" w:rsidRPr="0023560C">
        <w:rPr>
          <w:rFonts w:cs="Times New Roman"/>
          <w:sz w:val="22"/>
        </w:rPr>
        <w:t>evaluating</w:t>
      </w:r>
      <w:r w:rsidRPr="0023560C">
        <w:rPr>
          <w:rFonts w:cs="Times New Roman"/>
          <w:sz w:val="22"/>
        </w:rPr>
        <w:t xml:space="preserve"> 2, so it is a simple baseline rather than an optimized implementation.</w:t>
      </w:r>
    </w:p>
    <w:p w14:paraId="71B47BC5" w14:textId="7978E535" w:rsidR="001B008F" w:rsidRPr="0023560C" w:rsidRDefault="00000000">
      <w:pPr>
        <w:ind w:firstLine="173"/>
        <w:jc w:val="both"/>
        <w:rPr>
          <w:rFonts w:cs="Times New Roman"/>
          <w:sz w:val="22"/>
        </w:rPr>
      </w:pPr>
      <w:r w:rsidRPr="0023560C">
        <w:rPr>
          <w:rFonts w:cs="Times New Roman"/>
          <w:sz w:val="22"/>
        </w:rPr>
        <w:t xml:space="preserve">The p−1 implementation updates `a = pow(a, B, n)` while increasing B by one, which is </w:t>
      </w:r>
      <w:r w:rsidR="003D53C7" w:rsidRPr="0023560C">
        <w:rPr>
          <w:rFonts w:cs="Times New Roman"/>
          <w:sz w:val="22"/>
        </w:rPr>
        <w:t>different from</w:t>
      </w:r>
      <w:r w:rsidRPr="0023560C">
        <w:rPr>
          <w:rFonts w:cs="Times New Roman"/>
          <w:sz w:val="22"/>
        </w:rPr>
        <w:t xml:space="preserve"> a standard staged Pollard p−1 implementation that applies prime-power exponents up to a bound. Its success rate is thus a property of this specific implementation and generator, not a general benchmark of Pollard’s p−1. Similarly, Pollard’s rho changes c and resets x and y when gcd returns n, but the iteration counter and state handling should be carefully validated. Algorithm implementations should be unit-tested on known factors and checked for consistent operation accounting before drawing comparative conclusions.</w:t>
      </w:r>
    </w:p>
    <w:p w14:paraId="33FD2137" w14:textId="6E0DB532" w:rsidR="001B008F" w:rsidRDefault="00000000">
      <w:pPr>
        <w:ind w:firstLine="173"/>
        <w:jc w:val="both"/>
        <w:rPr>
          <w:rFonts w:cs="Times New Roman"/>
          <w:sz w:val="22"/>
        </w:rPr>
      </w:pPr>
      <w:r w:rsidRPr="0023560C">
        <w:rPr>
          <w:rFonts w:cs="Times New Roman"/>
          <w:sz w:val="22"/>
        </w:rPr>
        <w:t xml:space="preserve">Finally, the </w:t>
      </w:r>
      <w:r w:rsidR="00541D5F" w:rsidRPr="0023560C">
        <w:rPr>
          <w:rFonts w:cs="Times New Roman"/>
          <w:sz w:val="22"/>
        </w:rPr>
        <w:t>experiment’s</w:t>
      </w:r>
      <w:r w:rsidRPr="0023560C">
        <w:rPr>
          <w:rFonts w:cs="Times New Roman"/>
          <w:sz w:val="22"/>
        </w:rPr>
        <w:t xml:space="preserve"> plotted training curves are synthetic. The function `smoothed_trend_plot` is called with random values from uniform distributions, and the baseline reward thresholds are hand-set constants. Those figures demonstrate plotting mechanics only; they do not document PPO convergence. Training logs do show </w:t>
      </w:r>
      <w:r w:rsidR="00541D5F" w:rsidRPr="0023560C">
        <w:rPr>
          <w:rFonts w:cs="Times New Roman"/>
          <w:sz w:val="22"/>
        </w:rPr>
        <w:t>short-mean</w:t>
      </w:r>
      <w:r w:rsidRPr="0023560C">
        <w:rPr>
          <w:rFonts w:cs="Times New Roman"/>
          <w:sz w:val="22"/>
        </w:rPr>
        <w:t xml:space="preserve"> episode lengths and high mean reward for the 16-bit run, but the displayed log excerpt alone cannot replace recorded evaluation metrics across checkpoints or independent random seeds.</w:t>
      </w:r>
    </w:p>
    <w:p w14:paraId="69ACC715" w14:textId="77777777" w:rsidR="0023560C" w:rsidRPr="0023560C" w:rsidRDefault="0023560C">
      <w:pPr>
        <w:ind w:firstLine="173"/>
        <w:jc w:val="both"/>
        <w:rPr>
          <w:rFonts w:cs="Times New Roman"/>
          <w:sz w:val="22"/>
        </w:rPr>
      </w:pPr>
    </w:p>
    <w:p w14:paraId="10EFFD25" w14:textId="77777777"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VI. THREATS TO VALIDITY AND LIMITATIONS</w:t>
      </w:r>
    </w:p>
    <w:p w14:paraId="09FEC071" w14:textId="77777777" w:rsidR="00541D5F" w:rsidRPr="0023560C" w:rsidRDefault="00541D5F">
      <w:pPr>
        <w:ind w:firstLine="173"/>
        <w:jc w:val="both"/>
        <w:rPr>
          <w:rFonts w:cs="Times New Roman"/>
          <w:sz w:val="22"/>
        </w:rPr>
      </w:pPr>
    </w:p>
    <w:p w14:paraId="61CF36D3" w14:textId="1EED2059" w:rsidR="001B008F" w:rsidRPr="0023560C" w:rsidRDefault="00000000">
      <w:pPr>
        <w:ind w:firstLine="173"/>
        <w:jc w:val="both"/>
        <w:rPr>
          <w:rFonts w:cs="Times New Roman"/>
          <w:sz w:val="22"/>
        </w:rPr>
      </w:pPr>
      <w:r w:rsidRPr="0023560C">
        <w:rPr>
          <w:rFonts w:cs="Times New Roman"/>
          <w:sz w:val="22"/>
        </w:rPr>
        <w:t xml:space="preserve">Construct validity: “steps” means selected-method invocations, not internal algorithm iterations, CPU time, or energy. The report therefore uses “decision steps” </w:t>
      </w:r>
      <w:r w:rsidRPr="0023560C">
        <w:rPr>
          <w:rFonts w:cs="Times New Roman"/>
          <w:sz w:val="22"/>
        </w:rPr>
        <w:t>consistently. Success is inferred in the evaluation from the final reward being positive. This is fragile because reward is an indirect proxy for termination reason; success should be logged explicitly in the `info` dictionary and aggregated from that field.</w:t>
      </w:r>
    </w:p>
    <w:p w14:paraId="65773A4E" w14:textId="5EE6A350" w:rsidR="001B008F" w:rsidRPr="0023560C" w:rsidRDefault="00000000">
      <w:pPr>
        <w:ind w:firstLine="173"/>
        <w:jc w:val="both"/>
        <w:rPr>
          <w:rFonts w:cs="Times New Roman"/>
          <w:sz w:val="22"/>
        </w:rPr>
      </w:pPr>
      <w:r w:rsidRPr="0023560C">
        <w:rPr>
          <w:rFonts w:cs="Times New Roman"/>
          <w:sz w:val="22"/>
        </w:rPr>
        <w:t xml:space="preserve">Internal validity: PPO and baseline comparisons are not matched on primitive work. Baseline methods receive repeated budgets of 100 internal iterations, but only the number of calls is reported. The observation and reward also contain design choices that may influence the result, including the 20-point success bonus, fixed failure penalty, 50-decision limit, and normalized failure counts. The </w:t>
      </w:r>
      <w:r w:rsidR="00541D5F" w:rsidRPr="0023560C">
        <w:rPr>
          <w:rFonts w:cs="Times New Roman"/>
          <w:sz w:val="22"/>
        </w:rPr>
        <w:t>experiment</w:t>
      </w:r>
      <w:r w:rsidRPr="0023560C">
        <w:rPr>
          <w:rFonts w:cs="Times New Roman"/>
          <w:sz w:val="22"/>
        </w:rPr>
        <w:t xml:space="preserve"> does not report random seeds or repeated training runs.</w:t>
      </w:r>
    </w:p>
    <w:p w14:paraId="2A04B3A1" w14:textId="77777777" w:rsidR="001B008F" w:rsidRPr="0023560C" w:rsidRDefault="00000000">
      <w:pPr>
        <w:ind w:firstLine="173"/>
        <w:jc w:val="both"/>
        <w:rPr>
          <w:rFonts w:cs="Times New Roman"/>
          <w:sz w:val="22"/>
        </w:rPr>
      </w:pPr>
      <w:r w:rsidRPr="0023560C">
        <w:rPr>
          <w:rFonts w:cs="Times New Roman"/>
          <w:sz w:val="22"/>
        </w:rPr>
        <w:t>External validity: only two approximate input sizes and a single synthetic distribution are evaluated. Thirty percent of examples are generated with close factors, and the policy is evaluated at the same `bits` value used for training. No out-of-distribution tests, larger inputs, cryptographically relevant semiprimes, or comparisons with optimized library implementations are reported. The experiment cannot establish scalability to practical cryptographic factorization.</w:t>
      </w:r>
    </w:p>
    <w:p w14:paraId="116BF38B" w14:textId="77777777" w:rsidR="001B008F" w:rsidRPr="0023560C" w:rsidRDefault="00000000">
      <w:pPr>
        <w:ind w:firstLine="173"/>
        <w:jc w:val="both"/>
        <w:rPr>
          <w:rFonts w:cs="Times New Roman"/>
          <w:sz w:val="22"/>
        </w:rPr>
      </w:pPr>
      <w:r w:rsidRPr="0023560C">
        <w:rPr>
          <w:rFonts w:cs="Times New Roman"/>
          <w:sz w:val="22"/>
        </w:rPr>
        <w:t>Statistical validity: there are 100 evaluation episodes per size, but no confidence intervals or seed-level variability. The Wilcoxon tests use paired observations, which is appropriate only if each PPO result and baseline result corresponds to the same input instance and the chosen score is meaningful. Replacing all unsuccessful baselines with 50 steps creates tied/censored values. Multiple comparisons are not corrected, and some tests return NaN. These issues limit the strength of significance claims.</w:t>
      </w:r>
    </w:p>
    <w:p w14:paraId="756ADCFB" w14:textId="6B230CAC" w:rsidR="001B008F" w:rsidRPr="0023560C" w:rsidRDefault="00000000">
      <w:pPr>
        <w:ind w:firstLine="173"/>
        <w:jc w:val="both"/>
        <w:rPr>
          <w:rFonts w:cs="Times New Roman"/>
          <w:sz w:val="22"/>
        </w:rPr>
      </w:pPr>
      <w:r w:rsidRPr="0023560C">
        <w:rPr>
          <w:rFonts w:cs="Times New Roman"/>
          <w:sz w:val="22"/>
        </w:rPr>
        <w:t xml:space="preserve">Reproducibility: the </w:t>
      </w:r>
      <w:r w:rsidR="00541D5F" w:rsidRPr="0023560C">
        <w:rPr>
          <w:rFonts w:cs="Times New Roman"/>
          <w:sz w:val="22"/>
        </w:rPr>
        <w:t>experiment</w:t>
      </w:r>
      <w:r w:rsidRPr="0023560C">
        <w:rPr>
          <w:rFonts w:cs="Times New Roman"/>
          <w:sz w:val="22"/>
        </w:rPr>
        <w:t xml:space="preserve"> saves model files and configures TensorBoard, but it does not record the full environment seed, exact generated test inputs, software/hardware summary, or raw per-instance outputs in a table. The “mock” plots must not be used as empirical evidence. The saved </w:t>
      </w:r>
      <w:r w:rsidR="00541D5F" w:rsidRPr="0023560C">
        <w:rPr>
          <w:rFonts w:cs="Times New Roman"/>
          <w:sz w:val="22"/>
        </w:rPr>
        <w:t>experiment</w:t>
      </w:r>
      <w:r w:rsidRPr="0023560C">
        <w:rPr>
          <w:rFonts w:cs="Times New Roman"/>
          <w:sz w:val="22"/>
        </w:rPr>
        <w:t xml:space="preserve"> output also does not expose all aggregate results or per-instance traces needed to independently verify the reported means.</w:t>
      </w:r>
    </w:p>
    <w:p w14:paraId="6EAF7C1B" w14:textId="77777777" w:rsidR="00541D5F" w:rsidRPr="0023560C" w:rsidRDefault="00541D5F">
      <w:pPr>
        <w:pStyle w:val="Heading1"/>
        <w:rPr>
          <w:rFonts w:ascii="Times New Roman" w:hAnsi="Times New Roman" w:cs="Times New Roman"/>
          <w:sz w:val="22"/>
          <w:szCs w:val="22"/>
        </w:rPr>
      </w:pPr>
    </w:p>
    <w:p w14:paraId="1FAC7FF2" w14:textId="05281B64"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VII. RECOMMENDED FOLLOW-UP EXPERIMENTS</w:t>
      </w:r>
    </w:p>
    <w:p w14:paraId="6E084EB3" w14:textId="77777777" w:rsidR="00541D5F" w:rsidRPr="0023560C" w:rsidRDefault="00541D5F">
      <w:pPr>
        <w:ind w:firstLine="173"/>
        <w:jc w:val="both"/>
        <w:rPr>
          <w:rFonts w:cs="Times New Roman"/>
          <w:sz w:val="22"/>
        </w:rPr>
      </w:pPr>
    </w:p>
    <w:p w14:paraId="37B53D02" w14:textId="5D38FB29" w:rsidR="001B008F" w:rsidRPr="0023560C" w:rsidRDefault="00000000">
      <w:pPr>
        <w:ind w:firstLine="173"/>
        <w:jc w:val="both"/>
        <w:rPr>
          <w:rFonts w:cs="Times New Roman"/>
          <w:sz w:val="22"/>
        </w:rPr>
      </w:pPr>
      <w:r w:rsidRPr="0023560C">
        <w:rPr>
          <w:rFonts w:cs="Times New Roman"/>
          <w:sz w:val="22"/>
        </w:rPr>
        <w:t xml:space="preserve">First, separate training, validation, and test distributions. Use fixed and published seeds for independent train/validation/test generation, stratify instances by close versus independently sampled factors, and report results separately for each stratum. Evaluate both in-distribution sizes and generalization to larger bit widths not used during training. Repeat training across </w:t>
      </w:r>
      <w:r w:rsidRPr="0023560C">
        <w:rPr>
          <w:rFonts w:cs="Times New Roman"/>
          <w:sz w:val="22"/>
        </w:rPr>
        <w:lastRenderedPageBreak/>
        <w:t>several PPO seeds and report mean and standard deviation across runs.</w:t>
      </w:r>
    </w:p>
    <w:p w14:paraId="3EF24440" w14:textId="77777777" w:rsidR="001B008F" w:rsidRPr="0023560C" w:rsidRDefault="00000000">
      <w:pPr>
        <w:ind w:firstLine="173"/>
        <w:jc w:val="both"/>
        <w:rPr>
          <w:rFonts w:cs="Times New Roman"/>
          <w:sz w:val="22"/>
        </w:rPr>
      </w:pPr>
      <w:r w:rsidRPr="0023560C">
        <w:rPr>
          <w:rFonts w:cs="Times New Roman"/>
          <w:sz w:val="22"/>
        </w:rPr>
        <w:t>Second, improve outcome and cost instrumentation. Add explicit `success`, `factor`, `method`, `algorithm_iterations`, `gcd_calls`, and elapsed-time fields to each transition. Validate each returned factor using `1 &lt; d &lt; n` and `n % d == 0`. Use a common total work budget and report success rate, median and mean time-to-factor, internal iterations, number of method switches, and decision steps. Include timeout/censoring rather than treating every failure as equivalent to a successful run at the cap.</w:t>
      </w:r>
    </w:p>
    <w:p w14:paraId="6F3132E0" w14:textId="05A79E63" w:rsidR="001B008F" w:rsidRPr="0023560C" w:rsidRDefault="00000000">
      <w:pPr>
        <w:ind w:firstLine="173"/>
        <w:jc w:val="both"/>
        <w:rPr>
          <w:rFonts w:cs="Times New Roman"/>
          <w:sz w:val="22"/>
        </w:rPr>
      </w:pPr>
      <w:r w:rsidRPr="0023560C">
        <w:rPr>
          <w:rFonts w:cs="Times New Roman"/>
          <w:sz w:val="22"/>
        </w:rPr>
        <w:t xml:space="preserve">Third, make baselines comparable and stronger. Compare PPO against each fixed method, a random selector, a simple feature-based rule, and an oracle selector that chooses the fastest method after running all methods on the same instance under a shared budget. The oracle is an upper bound, not a deployable competitor. Use optimized implementations where </w:t>
      </w:r>
      <w:r w:rsidR="00541D5F" w:rsidRPr="0023560C">
        <w:rPr>
          <w:rFonts w:cs="Times New Roman"/>
          <w:sz w:val="22"/>
        </w:rPr>
        <w:t>practical and</w:t>
      </w:r>
      <w:r w:rsidRPr="0023560C">
        <w:rPr>
          <w:rFonts w:cs="Times New Roman"/>
          <w:sz w:val="22"/>
        </w:rPr>
        <w:t xml:space="preserve"> clearly separate the current educational implementations from library-grade algorithms.</w:t>
      </w:r>
    </w:p>
    <w:p w14:paraId="4D799D3B" w14:textId="1AAD4B22" w:rsidR="001B008F" w:rsidRPr="0023560C" w:rsidRDefault="00000000">
      <w:pPr>
        <w:ind w:firstLine="173"/>
        <w:jc w:val="both"/>
        <w:rPr>
          <w:rFonts w:cs="Times New Roman"/>
          <w:sz w:val="22"/>
        </w:rPr>
      </w:pPr>
      <w:r w:rsidRPr="0023560C">
        <w:rPr>
          <w:rFonts w:cs="Times New Roman"/>
          <w:sz w:val="22"/>
        </w:rPr>
        <w:t xml:space="preserve">Fourth, fix the learning-curve evidence. Capture episodic return and success directly from the training callback, save CSV logs, and plot real training data with rolling means and variability. Evaluate checkpoints on the same </w:t>
      </w:r>
      <w:r w:rsidR="00541D5F" w:rsidRPr="0023560C">
        <w:rPr>
          <w:rFonts w:cs="Times New Roman"/>
          <w:sz w:val="22"/>
        </w:rPr>
        <w:t>held out</w:t>
      </w:r>
      <w:r w:rsidRPr="0023560C">
        <w:rPr>
          <w:rFonts w:cs="Times New Roman"/>
          <w:sz w:val="22"/>
        </w:rPr>
        <w:t xml:space="preserve"> set without updating the policy. Report confidence intervals for success rates and paired effect sizes alongside p-values. Correct for multiple tests or pre-register a small number of primary comparisons.</w:t>
      </w:r>
    </w:p>
    <w:p w14:paraId="4D91C2F7" w14:textId="77777777" w:rsidR="001B008F" w:rsidRPr="0023560C" w:rsidRDefault="00000000">
      <w:pPr>
        <w:ind w:firstLine="173"/>
        <w:jc w:val="both"/>
        <w:rPr>
          <w:rFonts w:cs="Times New Roman"/>
          <w:sz w:val="22"/>
        </w:rPr>
      </w:pPr>
      <w:r w:rsidRPr="0023560C">
        <w:rPr>
          <w:rFonts w:cs="Times New Roman"/>
          <w:sz w:val="22"/>
        </w:rPr>
        <w:t>Fifth, verify algorithm correctness independently. Unit tests should cover small primes, perfect squares, products of close primes, products of distant primes, even inputs, and cases where each method is expected to fail within budget. The wheel sequence should be checked against the intended residue classes, Pollard’s p−1 should use a documented bound strategy, and all methods should expose a common definition of one unit of work. These changes would make it possible to answer the central question—whether learned method selection improves efficiency—more directly.</w:t>
      </w:r>
    </w:p>
    <w:p w14:paraId="184E4187" w14:textId="77777777" w:rsidR="00541D5F" w:rsidRPr="0023560C" w:rsidRDefault="00541D5F">
      <w:pPr>
        <w:pStyle w:val="Heading1"/>
        <w:rPr>
          <w:rFonts w:ascii="Times New Roman" w:hAnsi="Times New Roman" w:cs="Times New Roman"/>
          <w:sz w:val="22"/>
          <w:szCs w:val="22"/>
        </w:rPr>
      </w:pPr>
    </w:p>
    <w:p w14:paraId="6BF15219" w14:textId="4FC01E11"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VIII. CONCLUSION</w:t>
      </w:r>
    </w:p>
    <w:p w14:paraId="35E74753" w14:textId="77777777" w:rsidR="00541D5F" w:rsidRPr="0023560C" w:rsidRDefault="00541D5F">
      <w:pPr>
        <w:ind w:firstLine="173"/>
        <w:jc w:val="both"/>
        <w:rPr>
          <w:rFonts w:cs="Times New Roman"/>
          <w:sz w:val="22"/>
        </w:rPr>
      </w:pPr>
    </w:p>
    <w:p w14:paraId="23E77727" w14:textId="522E2D77" w:rsidR="001B008F" w:rsidRPr="0023560C" w:rsidRDefault="00000000">
      <w:pPr>
        <w:ind w:firstLine="173"/>
        <w:jc w:val="both"/>
        <w:rPr>
          <w:rFonts w:cs="Times New Roman"/>
          <w:sz w:val="22"/>
        </w:rPr>
      </w:pPr>
      <w:r w:rsidRPr="0023560C">
        <w:rPr>
          <w:rFonts w:cs="Times New Roman"/>
          <w:sz w:val="22"/>
        </w:rPr>
        <w:t xml:space="preserve">This report examined a PPO-based selector for five integer-factorization heuristics using the supplied </w:t>
      </w:r>
      <w:r w:rsidR="00541D5F" w:rsidRPr="0023560C">
        <w:rPr>
          <w:rFonts w:cs="Times New Roman"/>
          <w:sz w:val="22"/>
        </w:rPr>
        <w:t>experiment</w:t>
      </w:r>
      <w:r w:rsidRPr="0023560C">
        <w:rPr>
          <w:rFonts w:cs="Times New Roman"/>
          <w:sz w:val="22"/>
        </w:rPr>
        <w:t xml:space="preserve">’s implementation and recorded output. The </w:t>
      </w:r>
      <w:r w:rsidR="00541D5F" w:rsidRPr="0023560C">
        <w:rPr>
          <w:rFonts w:cs="Times New Roman"/>
          <w:sz w:val="22"/>
        </w:rPr>
        <w:t>experiment</w:t>
      </w:r>
      <w:r w:rsidRPr="0023560C">
        <w:rPr>
          <w:rFonts w:cs="Times New Roman"/>
          <w:sz w:val="22"/>
        </w:rPr>
        <w:t xml:space="preserve"> reports 100% PPO success with 1.00 average decision step for 16-bit semiprimes and 100% success with 1.79 steps for 32-bit semiprimes. At 32 bits, the reported fixed baselines are slower in decision count, particularly trial </w:t>
      </w:r>
      <w:r w:rsidR="003D53C7" w:rsidRPr="0023560C">
        <w:rPr>
          <w:rFonts w:cs="Times New Roman"/>
          <w:sz w:val="22"/>
        </w:rPr>
        <w:t>division,</w:t>
      </w:r>
      <w:r w:rsidRPr="0023560C">
        <w:rPr>
          <w:rFonts w:cs="Times New Roman"/>
          <w:sz w:val="22"/>
        </w:rPr>
        <w:t xml:space="preserve"> and wheel factorization, while Pollard’s rho reaches 100% success at 2.03 steps. The </w:t>
      </w:r>
      <w:r w:rsidRPr="0023560C">
        <w:rPr>
          <w:rFonts w:cs="Times New Roman"/>
          <w:sz w:val="22"/>
        </w:rPr>
        <w:t>Wilcoxon output does not show a statistically significant difference between PPO and rho at the 0.05 level.</w:t>
      </w:r>
    </w:p>
    <w:p w14:paraId="01D2E691" w14:textId="77777777" w:rsidR="001B008F" w:rsidRPr="0023560C" w:rsidRDefault="00000000">
      <w:pPr>
        <w:ind w:firstLine="173"/>
        <w:jc w:val="both"/>
        <w:rPr>
          <w:rFonts w:cs="Times New Roman"/>
          <w:sz w:val="22"/>
        </w:rPr>
      </w:pPr>
      <w:r w:rsidRPr="0023560C">
        <w:rPr>
          <w:rFonts w:cs="Times New Roman"/>
          <w:sz w:val="22"/>
        </w:rPr>
        <w:t>The results are a useful prototype demonstration of reinforcement-learning-based algorithm selection, but they do not yet establish a robust performance advantage. The synthetic distribution includes close factors, costs are measured in method invocations rather than comparable work, some algorithm implementations need validation, success is inferred indirectly from reward, and the learning-curve plots use mock data. A controlled follow-up with held-out inputs, cost-aware metrics, real training logs, stronger baselines, and repeated seeds is necessary before claiming that PPO improves factorization efficiency.</w:t>
      </w:r>
    </w:p>
    <w:p w14:paraId="07F69F04" w14:textId="77777777" w:rsidR="00541D5F" w:rsidRPr="0023560C" w:rsidRDefault="00541D5F">
      <w:pPr>
        <w:pStyle w:val="Heading1"/>
        <w:jc w:val="center"/>
        <w:rPr>
          <w:rFonts w:ascii="Times New Roman" w:hAnsi="Times New Roman" w:cs="Times New Roman"/>
          <w:sz w:val="22"/>
          <w:szCs w:val="22"/>
        </w:rPr>
      </w:pPr>
    </w:p>
    <w:p w14:paraId="12E40286" w14:textId="7476ADCE" w:rsidR="001B008F" w:rsidRPr="0023560C" w:rsidRDefault="00000000">
      <w:pPr>
        <w:pStyle w:val="Heading1"/>
        <w:jc w:val="center"/>
        <w:rPr>
          <w:rFonts w:ascii="Times New Roman" w:hAnsi="Times New Roman" w:cs="Times New Roman"/>
          <w:sz w:val="22"/>
          <w:szCs w:val="22"/>
        </w:rPr>
      </w:pPr>
      <w:r w:rsidRPr="0023560C">
        <w:rPr>
          <w:rFonts w:ascii="Times New Roman" w:hAnsi="Times New Roman" w:cs="Times New Roman"/>
          <w:sz w:val="22"/>
          <w:szCs w:val="22"/>
        </w:rPr>
        <w:t>REFERENCES</w:t>
      </w:r>
    </w:p>
    <w:p w14:paraId="5E05271D" w14:textId="77777777" w:rsidR="00541D5F" w:rsidRPr="0023560C" w:rsidRDefault="00541D5F" w:rsidP="00541D5F">
      <w:pPr>
        <w:rPr>
          <w:rFonts w:cs="Times New Roman"/>
          <w:sz w:val="22"/>
        </w:rPr>
      </w:pPr>
    </w:p>
    <w:p w14:paraId="50418AD9" w14:textId="77777777" w:rsidR="001B008F" w:rsidRDefault="00000000">
      <w:pPr>
        <w:ind w:left="173" w:hanging="173"/>
        <w:rPr>
          <w:rFonts w:cs="Times New Roman"/>
          <w:sz w:val="22"/>
        </w:rPr>
      </w:pPr>
      <w:r w:rsidRPr="0023560C">
        <w:rPr>
          <w:rFonts w:cs="Times New Roman"/>
          <w:sz w:val="22"/>
        </w:rPr>
        <w:t>[1] J. R. Rice, “The algorithm selection problem,” Advances in Computers, vol. 15, pp. 65–118, 1976.</w:t>
      </w:r>
    </w:p>
    <w:p w14:paraId="498881A7" w14:textId="77777777" w:rsidR="00C63795" w:rsidRPr="0023560C" w:rsidRDefault="00C63795">
      <w:pPr>
        <w:ind w:left="173" w:hanging="173"/>
        <w:rPr>
          <w:rFonts w:cs="Times New Roman"/>
          <w:sz w:val="22"/>
        </w:rPr>
      </w:pPr>
    </w:p>
    <w:p w14:paraId="7D789233" w14:textId="77777777" w:rsidR="001B008F" w:rsidRDefault="00000000">
      <w:pPr>
        <w:ind w:left="173" w:hanging="173"/>
        <w:rPr>
          <w:rFonts w:cs="Times New Roman"/>
          <w:sz w:val="22"/>
        </w:rPr>
      </w:pPr>
      <w:r w:rsidRPr="0023560C">
        <w:rPr>
          <w:rFonts w:cs="Times New Roman"/>
          <w:sz w:val="22"/>
        </w:rPr>
        <w:t>[2] M. Gagliolo and J. Schmidhuber, “Learning dynamic algorithm portfolios,” Annals of Mathematics and Artificial Intelligence, vol. 47, pp. 295–328, 2006.</w:t>
      </w:r>
    </w:p>
    <w:p w14:paraId="5B2DC325" w14:textId="77777777" w:rsidR="00C63795" w:rsidRPr="0023560C" w:rsidRDefault="00C63795">
      <w:pPr>
        <w:ind w:left="173" w:hanging="173"/>
        <w:rPr>
          <w:rFonts w:cs="Times New Roman"/>
          <w:sz w:val="22"/>
        </w:rPr>
      </w:pPr>
    </w:p>
    <w:p w14:paraId="158DB9E6" w14:textId="77777777" w:rsidR="001B008F" w:rsidRDefault="00000000">
      <w:pPr>
        <w:ind w:left="173" w:hanging="173"/>
        <w:rPr>
          <w:rFonts w:cs="Times New Roman"/>
          <w:sz w:val="22"/>
        </w:rPr>
      </w:pPr>
      <w:r w:rsidRPr="0023560C">
        <w:rPr>
          <w:rFonts w:cs="Times New Roman"/>
          <w:sz w:val="22"/>
        </w:rPr>
        <w:t>[3] J. Schulman, F. Wolski, P. Dhariwal, A. Radford, and O. Klimov, “Proximal policy optimization algorithms,” arXiv:1707.06347, 2017.</w:t>
      </w:r>
    </w:p>
    <w:p w14:paraId="0B07EC8B" w14:textId="77777777" w:rsidR="00C63795" w:rsidRPr="0023560C" w:rsidRDefault="00C63795">
      <w:pPr>
        <w:ind w:left="173" w:hanging="173"/>
        <w:rPr>
          <w:rFonts w:cs="Times New Roman"/>
          <w:sz w:val="22"/>
        </w:rPr>
      </w:pPr>
    </w:p>
    <w:p w14:paraId="79215A55" w14:textId="77777777" w:rsidR="001B008F" w:rsidRPr="0023560C" w:rsidRDefault="00000000">
      <w:pPr>
        <w:ind w:left="173" w:hanging="173"/>
        <w:rPr>
          <w:rFonts w:cs="Times New Roman"/>
          <w:sz w:val="22"/>
        </w:rPr>
      </w:pPr>
      <w:r w:rsidRPr="0023560C">
        <w:rPr>
          <w:rFonts w:cs="Times New Roman"/>
          <w:sz w:val="22"/>
        </w:rPr>
        <w:t>[4] J. M. Pollard, “A Monte Carlo method for factorization,” BIT Numerical Mathematics, vol. 15, pp. 331–334, 1975.</w:t>
      </w:r>
    </w:p>
    <w:p w14:paraId="387FE7D2" w14:textId="77777777" w:rsidR="00541D5F" w:rsidRPr="0023560C" w:rsidRDefault="00541D5F">
      <w:pPr>
        <w:ind w:left="173" w:hanging="173"/>
        <w:rPr>
          <w:rFonts w:cs="Times New Roman"/>
          <w:sz w:val="22"/>
        </w:rPr>
      </w:pPr>
    </w:p>
    <w:p w14:paraId="0F936E69" w14:textId="77777777"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APPENDIX A. REWARD AND DECISION-MAKING FORMULATION</w:t>
      </w:r>
    </w:p>
    <w:p w14:paraId="30F8B08B" w14:textId="77777777" w:rsidR="00541D5F" w:rsidRPr="0023560C" w:rsidRDefault="00541D5F">
      <w:pPr>
        <w:ind w:firstLine="173"/>
        <w:jc w:val="both"/>
        <w:rPr>
          <w:rFonts w:cs="Times New Roman"/>
          <w:sz w:val="22"/>
        </w:rPr>
      </w:pPr>
    </w:p>
    <w:p w14:paraId="25FF6B9E" w14:textId="1DED3AE2" w:rsidR="001B008F" w:rsidRPr="0023560C" w:rsidRDefault="00000000">
      <w:pPr>
        <w:ind w:firstLine="173"/>
        <w:jc w:val="both"/>
        <w:rPr>
          <w:rFonts w:cs="Times New Roman"/>
          <w:sz w:val="22"/>
        </w:rPr>
      </w:pPr>
      <w:r w:rsidRPr="0023560C">
        <w:rPr>
          <w:rFonts w:cs="Times New Roman"/>
          <w:sz w:val="22"/>
        </w:rPr>
        <w:t>The environment can be described as a finite-horizon Markov decision process only if the observation includes enough information to make future transitions conditionally independent of the full history. In this implementation, the hidden algorithm state violates that assumption: each method may retain internal counters or iterates in `algorithm_state`, while the policy sees only aggregate failure counts and the previous action. The environment is therefore more accurately viewed as a partially observable process. A recurrent policy, or an observation that exposes compact summaries of each method’s internal progress, could address this mismatch. A simpler alternative is to reset the selected algorithm’s internal state after every call, but that would change the intended benefit of incremental method execution and must be treated as a distinct experimental design.</w:t>
      </w:r>
    </w:p>
    <w:p w14:paraId="52D04C16" w14:textId="08CA7C46" w:rsidR="001B008F" w:rsidRPr="0023560C" w:rsidRDefault="00000000">
      <w:pPr>
        <w:ind w:firstLine="173"/>
        <w:jc w:val="both"/>
        <w:rPr>
          <w:rFonts w:cs="Times New Roman"/>
          <w:sz w:val="22"/>
        </w:rPr>
      </w:pPr>
      <w:r w:rsidRPr="0023560C">
        <w:rPr>
          <w:rFonts w:cs="Times New Roman"/>
          <w:sz w:val="22"/>
        </w:rPr>
        <w:lastRenderedPageBreak/>
        <w:t xml:space="preserve">The reward can be written as r_t = −0.01 c_t − 0.5 I[f_t = </w:t>
      </w:r>
      <w:r w:rsidRPr="0023560C">
        <w:rPr>
          <w:rFonts w:ascii="Cambria Math" w:hAnsi="Cambria Math" w:cs="Cambria Math"/>
          <w:sz w:val="22"/>
        </w:rPr>
        <w:t>∅</w:t>
      </w:r>
      <w:r w:rsidRPr="0023560C">
        <w:rPr>
          <w:rFonts w:cs="Times New Roman"/>
          <w:sz w:val="22"/>
        </w:rPr>
        <w:t xml:space="preserve">] + 20 I[success] − 10 I[time limit], where c_t is the method’s reported internal iteration count and f_t is its returned factor. This expression captures the current implementation at </w:t>
      </w:r>
      <w:r w:rsidR="003D53C7" w:rsidRPr="0023560C">
        <w:rPr>
          <w:rFonts w:cs="Times New Roman"/>
          <w:sz w:val="22"/>
        </w:rPr>
        <w:t>a prominent level</w:t>
      </w:r>
      <w:r w:rsidRPr="0023560C">
        <w:rPr>
          <w:rFonts w:cs="Times New Roman"/>
          <w:sz w:val="22"/>
        </w:rPr>
        <w:t xml:space="preserve">, although the time-limit penalty is applied on the </w:t>
      </w:r>
      <w:r w:rsidR="003D53C7" w:rsidRPr="0023560C">
        <w:rPr>
          <w:rFonts w:cs="Times New Roman"/>
          <w:sz w:val="22"/>
        </w:rPr>
        <w:t>last step</w:t>
      </w:r>
      <w:r w:rsidRPr="0023560C">
        <w:rPr>
          <w:rFonts w:cs="Times New Roman"/>
          <w:sz w:val="22"/>
        </w:rPr>
        <w:t xml:space="preserve"> even if another reward component is also present. The success bonus is much larger than the iteration cost: a successful method call costing 100 iterations still receives approximately +19 before any time-limit effect. </w:t>
      </w:r>
      <w:r w:rsidR="00541D5F" w:rsidRPr="0023560C">
        <w:rPr>
          <w:rFonts w:cs="Times New Roman"/>
          <w:sz w:val="22"/>
        </w:rPr>
        <w:t>Thus,</w:t>
      </w:r>
      <w:r w:rsidRPr="0023560C">
        <w:rPr>
          <w:rFonts w:cs="Times New Roman"/>
          <w:sz w:val="22"/>
        </w:rPr>
        <w:t xml:space="preserve"> the reward function </w:t>
      </w:r>
      <w:r w:rsidR="003D53C7" w:rsidRPr="0023560C">
        <w:rPr>
          <w:rFonts w:cs="Times New Roman"/>
          <w:sz w:val="22"/>
        </w:rPr>
        <w:t>teaches</w:t>
      </w:r>
      <w:r w:rsidRPr="0023560C">
        <w:rPr>
          <w:rFonts w:cs="Times New Roman"/>
          <w:sz w:val="22"/>
        </w:rPr>
        <w:t xml:space="preserve"> the agent to succeed before the episode limit, and only weakly distinguishes the internal cost of successful methods.</w:t>
      </w:r>
    </w:p>
    <w:p w14:paraId="1C03D0F8" w14:textId="239E9469" w:rsidR="001B008F" w:rsidRPr="0023560C" w:rsidRDefault="00000000">
      <w:pPr>
        <w:ind w:firstLine="173"/>
        <w:jc w:val="both"/>
        <w:rPr>
          <w:rFonts w:cs="Times New Roman"/>
          <w:sz w:val="22"/>
        </w:rPr>
      </w:pPr>
      <w:r w:rsidRPr="0023560C">
        <w:rPr>
          <w:rFonts w:cs="Times New Roman"/>
          <w:sz w:val="22"/>
        </w:rPr>
        <w:t xml:space="preserve">A cost-aware alternative should make the objective explicit. If wall-clock latency is the target, reward could be based on measured elapsed time, with careful control of warm-up and hardware variability. If reproducible algorithmic work is the target, a cost vector could count modular multiplications, gcd calls, candidate tests, and square-root checks. Those costs are not interchangeable, so a single scalar should be chosen </w:t>
      </w:r>
      <w:r w:rsidR="00541D5F" w:rsidRPr="0023560C">
        <w:rPr>
          <w:rFonts w:cs="Times New Roman"/>
          <w:sz w:val="22"/>
        </w:rPr>
        <w:t>deliberately,</w:t>
      </w:r>
      <w:r w:rsidRPr="0023560C">
        <w:rPr>
          <w:rFonts w:cs="Times New Roman"/>
          <w:sz w:val="22"/>
        </w:rPr>
        <w:t xml:space="preserve"> or results should be reported on a Pareto frontier. An episode-level reward such as −normalized_work until success, with a fixed penalty for failure at a global budget, would more directly align learning with the stated efficiency objective.</w:t>
      </w:r>
    </w:p>
    <w:p w14:paraId="59747FED" w14:textId="77777777" w:rsidR="001B008F" w:rsidRPr="0023560C" w:rsidRDefault="00000000">
      <w:pPr>
        <w:ind w:firstLine="173"/>
        <w:jc w:val="both"/>
        <w:rPr>
          <w:rFonts w:cs="Times New Roman"/>
          <w:sz w:val="22"/>
        </w:rPr>
      </w:pPr>
      <w:r w:rsidRPr="0023560C">
        <w:rPr>
          <w:rFonts w:cs="Times New Roman"/>
          <w:sz w:val="22"/>
        </w:rPr>
        <w:t>Action granularity also matters. Here an action invokes one method for up to 100 internal iterations, after which the agent may choose again. This creates a semi-Markov-like structure because the amount of work consumed by each action varies. Standard PPO receives one environment transition per invocation, so discounting and advantage estimation operate over decisions rather than equal units of computational time. The discount factor of 0.99 therefore discounts by decision boundaries, not by the amount of elapsed computation. Future work could either normalize each action to a fixed work unit or use a semi-Markov formulation in which transition duration affects discounting and return calculation.</w:t>
      </w:r>
    </w:p>
    <w:p w14:paraId="4ED2CF29" w14:textId="77777777" w:rsidR="00541D5F" w:rsidRPr="0023560C" w:rsidRDefault="00541D5F">
      <w:pPr>
        <w:pStyle w:val="Heading1"/>
        <w:rPr>
          <w:rFonts w:ascii="Times New Roman" w:hAnsi="Times New Roman" w:cs="Times New Roman"/>
          <w:sz w:val="22"/>
          <w:szCs w:val="22"/>
        </w:rPr>
      </w:pPr>
    </w:p>
    <w:p w14:paraId="655C8C06" w14:textId="4F998010"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APPENDIX B. INTERPRETATION OF OBSERVATION FEATURES</w:t>
      </w:r>
    </w:p>
    <w:p w14:paraId="3C53F15D" w14:textId="77777777" w:rsidR="00541D5F" w:rsidRPr="0023560C" w:rsidRDefault="00541D5F">
      <w:pPr>
        <w:ind w:firstLine="173"/>
        <w:jc w:val="both"/>
        <w:rPr>
          <w:rFonts w:cs="Times New Roman"/>
          <w:sz w:val="22"/>
        </w:rPr>
      </w:pPr>
    </w:p>
    <w:p w14:paraId="2A74B5B9" w14:textId="09036C9B" w:rsidR="001B008F" w:rsidRPr="0023560C" w:rsidRDefault="00000000">
      <w:pPr>
        <w:ind w:firstLine="173"/>
        <w:jc w:val="both"/>
        <w:rPr>
          <w:rFonts w:cs="Times New Roman"/>
          <w:sz w:val="22"/>
        </w:rPr>
      </w:pPr>
      <w:r w:rsidRPr="0023560C">
        <w:rPr>
          <w:rFonts w:cs="Times New Roman"/>
          <w:sz w:val="22"/>
        </w:rPr>
        <w:t xml:space="preserve">The observation vector combines coarse instance descriptors and policy history. The normalized log₂(n) provides an approximate size signal and should help distinguish input scales. The residues modulo 2, 3, 5, 7, and 11 encode divisibility clues, although for products of generated odd primes many of these values are nonzero and offer limited discrimination. The distance between n and floor(√n)² is a rough square-proximity descriptor, but it is not the distance to the nearest square because it does not compare the next square above n. For Fermat </w:t>
      </w:r>
      <w:r w:rsidRPr="0023560C">
        <w:rPr>
          <w:rFonts w:cs="Times New Roman"/>
          <w:sz w:val="22"/>
        </w:rPr>
        <w:t xml:space="preserve">factorization, the gap between √n and the average of the factors is more </w:t>
      </w:r>
      <w:r w:rsidR="003D53C7" w:rsidRPr="0023560C">
        <w:rPr>
          <w:rFonts w:cs="Times New Roman"/>
          <w:sz w:val="22"/>
        </w:rPr>
        <w:t>related</w:t>
      </w:r>
      <w:r w:rsidRPr="0023560C">
        <w:rPr>
          <w:rFonts w:cs="Times New Roman"/>
          <w:sz w:val="22"/>
        </w:rPr>
        <w:t xml:space="preserve"> to the number of increments needed, but that gap is not directly observable.</w:t>
      </w:r>
    </w:p>
    <w:p w14:paraId="5A6C3121" w14:textId="707A1D89" w:rsidR="001B008F" w:rsidRPr="0023560C" w:rsidRDefault="00000000">
      <w:pPr>
        <w:ind w:firstLine="173"/>
        <w:jc w:val="both"/>
        <w:rPr>
          <w:rFonts w:cs="Times New Roman"/>
          <w:sz w:val="22"/>
        </w:rPr>
      </w:pPr>
      <w:r w:rsidRPr="0023560C">
        <w:rPr>
          <w:rFonts w:cs="Times New Roman"/>
          <w:sz w:val="22"/>
        </w:rPr>
        <w:t xml:space="preserve">The previous action and five failure counters give the policy a small amount of history. This is useful because a method that </w:t>
      </w:r>
      <w:r w:rsidR="00541D5F" w:rsidRPr="0023560C">
        <w:rPr>
          <w:rFonts w:cs="Times New Roman"/>
          <w:sz w:val="22"/>
        </w:rPr>
        <w:t>has recently</w:t>
      </w:r>
      <w:r w:rsidRPr="0023560C">
        <w:rPr>
          <w:rFonts w:cs="Times New Roman"/>
          <w:sz w:val="22"/>
        </w:rPr>
        <w:t xml:space="preserve"> failed may be less attractive, but the counter alone cannot reveal how much work it completed or whether it is close to success. In particular, failure counts can increase even when the underlying algorithm made meaningful progress. The shared state stores </w:t>
      </w:r>
      <w:r w:rsidR="00541D5F" w:rsidRPr="0023560C">
        <w:rPr>
          <w:rFonts w:cs="Times New Roman"/>
          <w:sz w:val="22"/>
        </w:rPr>
        <w:t>progress</w:t>
      </w:r>
      <w:r w:rsidRPr="0023560C">
        <w:rPr>
          <w:rFonts w:cs="Times New Roman"/>
          <w:sz w:val="22"/>
        </w:rPr>
        <w:t>, but the policy cannot inspect it. A richer feature design could include normalized progress variables such as the current trial divisor divided by √n, the current Fermat candidate’s offset from √n, rho iteration count and recent gcd outcome, and the p−1 bound reached. Such features should be designed so that they are available at deployment and do not reveal the unknown prime factors.</w:t>
      </w:r>
    </w:p>
    <w:p w14:paraId="03A59E4D" w14:textId="77777777" w:rsidR="001B008F" w:rsidRPr="0023560C" w:rsidRDefault="00000000">
      <w:pPr>
        <w:ind w:firstLine="173"/>
        <w:jc w:val="both"/>
        <w:rPr>
          <w:rFonts w:cs="Times New Roman"/>
          <w:sz w:val="22"/>
        </w:rPr>
      </w:pPr>
      <w:r w:rsidRPr="0023560C">
        <w:rPr>
          <w:rFonts w:cs="Times New Roman"/>
          <w:sz w:val="22"/>
        </w:rPr>
        <w:t>Feature scaling also deserves attention. Most entries are normalized to nominally fit within [0,1], matching the declared Box space, but the actual bound should be checked on every observation. The residues are divided by 11 even though residues modulo smaller primes can exceed their modulus minus one but remain below 11; this keeps them within the box but yields different effective scales for different moduli. Failure counts are divided by 20 and step count by the configured maximum. If a failure counter exceeds 20, an observation may exceed the declared upper bound. Although the default 50-step horizon limits the total number of failures, a method can be selected repeatedly more than 20 times. An observation-range assertion or clipping policy would make this interface more robust.</w:t>
      </w:r>
    </w:p>
    <w:p w14:paraId="26E6A7D6" w14:textId="77777777" w:rsidR="00541D5F" w:rsidRPr="0023560C" w:rsidRDefault="00541D5F" w:rsidP="00541D5F">
      <w:pPr>
        <w:rPr>
          <w:sz w:val="22"/>
        </w:rPr>
      </w:pPr>
    </w:p>
    <w:p w14:paraId="03B6A540" w14:textId="7B5F4BD5" w:rsidR="001B008F" w:rsidRPr="0023560C" w:rsidRDefault="00000000">
      <w:pPr>
        <w:pStyle w:val="Heading1"/>
        <w:rPr>
          <w:rFonts w:ascii="Times New Roman" w:hAnsi="Times New Roman" w:cs="Times New Roman"/>
          <w:sz w:val="22"/>
          <w:szCs w:val="22"/>
        </w:rPr>
      </w:pPr>
      <w:r w:rsidRPr="0023560C">
        <w:rPr>
          <w:rFonts w:ascii="Times New Roman" w:hAnsi="Times New Roman" w:cs="Times New Roman"/>
          <w:sz w:val="22"/>
          <w:szCs w:val="22"/>
        </w:rPr>
        <w:t>APPENDIX C. REPRODUCIBILITY CHECKLIST</w:t>
      </w:r>
    </w:p>
    <w:p w14:paraId="45AF8F45" w14:textId="77777777" w:rsidR="00541D5F" w:rsidRPr="0023560C" w:rsidRDefault="00541D5F">
      <w:pPr>
        <w:ind w:firstLine="173"/>
        <w:jc w:val="both"/>
        <w:rPr>
          <w:rFonts w:cs="Times New Roman"/>
          <w:sz w:val="22"/>
        </w:rPr>
      </w:pPr>
    </w:p>
    <w:p w14:paraId="10EE4159" w14:textId="5C815498" w:rsidR="001B008F" w:rsidRPr="0023560C" w:rsidRDefault="00000000">
      <w:pPr>
        <w:ind w:firstLine="173"/>
        <w:jc w:val="both"/>
        <w:rPr>
          <w:rFonts w:cs="Times New Roman"/>
          <w:sz w:val="22"/>
        </w:rPr>
      </w:pPr>
      <w:r w:rsidRPr="0023560C">
        <w:rPr>
          <w:rFonts w:cs="Times New Roman"/>
          <w:sz w:val="22"/>
        </w:rPr>
        <w:t xml:space="preserve">A complete reproducibility package should contain the exact notebook or script revision, package versions, operating system and CPU information, seeds for Python, NumPy, Gymnasium, and PyTorch, PPO hyperparameters, trained model checkpoints, and a machine-readable test set. Each test instance should record n, </w:t>
      </w:r>
      <w:r w:rsidR="003D53C7" w:rsidRPr="0023560C">
        <w:rPr>
          <w:rFonts w:cs="Times New Roman"/>
          <w:sz w:val="22"/>
        </w:rPr>
        <w:t>p,</w:t>
      </w:r>
      <w:r w:rsidRPr="0023560C">
        <w:rPr>
          <w:rFonts w:cs="Times New Roman"/>
          <w:sz w:val="22"/>
        </w:rPr>
        <w:t xml:space="preserve"> and q for analysis-only ground truth, whether it belongs to the close-factor stratum, the policy action sequence, the factor returned, success status, decision count, internal iteration count, and elapsed time. Ground-truth p and q should not be passed to the policy or included in deployment-time observations.</w:t>
      </w:r>
    </w:p>
    <w:p w14:paraId="1F4DB68C" w14:textId="77777777" w:rsidR="001B008F" w:rsidRPr="0023560C" w:rsidRDefault="00000000">
      <w:pPr>
        <w:ind w:firstLine="173"/>
        <w:jc w:val="both"/>
        <w:rPr>
          <w:rFonts w:cs="Times New Roman"/>
          <w:sz w:val="22"/>
        </w:rPr>
      </w:pPr>
      <w:r w:rsidRPr="0023560C">
        <w:rPr>
          <w:rFonts w:cs="Times New Roman"/>
          <w:sz w:val="22"/>
        </w:rPr>
        <w:t xml:space="preserve">Evaluation should be deterministic where possible. Save one fixed set of test integers and run every policy and baseline on exactly those integers. Because the algorithm implementations may have internal randomness or depend on randomized initialization, </w:t>
      </w:r>
      <w:r w:rsidRPr="0023560C">
        <w:rPr>
          <w:rFonts w:cs="Times New Roman"/>
          <w:sz w:val="22"/>
        </w:rPr>
        <w:lastRenderedPageBreak/>
        <w:t>record per-method seeds and either repeat each instance several times or explicitly state that the method is deterministic under the chosen setup. Report the full success denominator and the number of failures rather than only rounded rates. For a reported success rate of 1.00 across 100 episodes, for example, the observed count is 100/100; the uncertainty is not zero simply because the sample proportion equals one.</w:t>
      </w:r>
    </w:p>
    <w:p w14:paraId="0360C9B7" w14:textId="77777777" w:rsidR="001B008F" w:rsidRPr="0023560C" w:rsidRDefault="00000000">
      <w:pPr>
        <w:ind w:firstLine="173"/>
        <w:jc w:val="both"/>
        <w:rPr>
          <w:rFonts w:cs="Times New Roman"/>
          <w:sz w:val="22"/>
        </w:rPr>
      </w:pPr>
      <w:r w:rsidRPr="0023560C">
        <w:rPr>
          <w:rFonts w:cs="Times New Roman"/>
          <w:sz w:val="22"/>
        </w:rPr>
        <w:t>The model-selection process should not use test outcomes. A validation set can choose checkpoints and hyperparameters, while the test set should be used once for final reporting. In particular, training separate models at 16 and 32 bits and evaluating each at the same size measures size-specific performance, not cross-size generalization. A separate experiment should train at one range of bit widths and evaluate at held-out widths. The notebook should also record whether the 32-bit training distribution and test distribution use the same close-factor probability and prime-generation procedure.</w:t>
      </w:r>
    </w:p>
    <w:p w14:paraId="33273571" w14:textId="77777777" w:rsidR="001B008F" w:rsidRPr="0023560C" w:rsidRDefault="00000000">
      <w:pPr>
        <w:ind w:firstLine="173"/>
        <w:jc w:val="both"/>
        <w:rPr>
          <w:rFonts w:cs="Times New Roman"/>
          <w:sz w:val="22"/>
        </w:rPr>
      </w:pPr>
      <w:r w:rsidRPr="0023560C">
        <w:rPr>
          <w:rFonts w:cs="Times New Roman"/>
          <w:sz w:val="22"/>
        </w:rPr>
        <w:t>Finally, every plot should be generated from persisted empirical data. For training curves, save actual episodic returns, episode lengths, and success indicators from callbacks. For benchmark comparisons, provide per-instance points or distributions rather than only bars of aggregate means. For statistical testing, publish the paired input IDs and paired metric values, state the alternative hypothesis, report effect sizes and confidence intervals, and adjust for the number of planned comparisons. This checklist would make it possible for another researcher to reproduce the headline result and diagnose disagreements.</w:t>
      </w:r>
    </w:p>
    <w:sectPr w:rsidR="001B008F" w:rsidRPr="0023560C" w:rsidSect="00034616">
      <w:footerReference w:type="default" r:id="rId8"/>
      <w:pgSz w:w="12240" w:h="15840"/>
      <w:pgMar w:top="893" w:right="893" w:bottom="893" w:left="893" w:header="432" w:footer="432" w:gutter="0"/>
      <w:cols w:num="2" w:space="2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151CA" w14:textId="77777777" w:rsidR="00121CF0" w:rsidRDefault="00121CF0">
      <w:pPr>
        <w:spacing w:after="0"/>
      </w:pPr>
      <w:r>
        <w:separator/>
      </w:r>
    </w:p>
  </w:endnote>
  <w:endnote w:type="continuationSeparator" w:id="0">
    <w:p w14:paraId="7EF641BE" w14:textId="77777777" w:rsidR="00121CF0" w:rsidRDefault="00121C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AB3C1" w14:textId="77777777" w:rsidR="001B008F" w:rsidRDefault="00000000">
    <w:pPr>
      <w:pStyle w:val="Footer"/>
      <w:jc w:val="center"/>
    </w:pPr>
    <w:r>
      <w:fldChar w:fldCharType="begin"/>
    </w:r>
    <w:r>
      <w:instrText>PAGE</w:instrText>
    </w:r>
    <w:r>
      <w:fldChar w:fldCharType="separate"/>
    </w:r>
    <w:r w:rsidR="00B70F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337D" w14:textId="77777777" w:rsidR="00121CF0" w:rsidRDefault="00121CF0">
      <w:pPr>
        <w:spacing w:after="0"/>
      </w:pPr>
      <w:r>
        <w:separator/>
      </w:r>
    </w:p>
  </w:footnote>
  <w:footnote w:type="continuationSeparator" w:id="0">
    <w:p w14:paraId="45992504" w14:textId="77777777" w:rsidR="00121CF0" w:rsidRDefault="00121C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778586">
    <w:abstractNumId w:val="8"/>
  </w:num>
  <w:num w:numId="2" w16cid:durableId="381905780">
    <w:abstractNumId w:val="6"/>
  </w:num>
  <w:num w:numId="3" w16cid:durableId="1826821622">
    <w:abstractNumId w:val="5"/>
  </w:num>
  <w:num w:numId="4" w16cid:durableId="77287833">
    <w:abstractNumId w:val="4"/>
  </w:num>
  <w:num w:numId="5" w16cid:durableId="1359545634">
    <w:abstractNumId w:val="7"/>
  </w:num>
  <w:num w:numId="6" w16cid:durableId="418603645">
    <w:abstractNumId w:val="3"/>
  </w:num>
  <w:num w:numId="7" w16cid:durableId="2101174544">
    <w:abstractNumId w:val="2"/>
  </w:num>
  <w:num w:numId="8" w16cid:durableId="823467384">
    <w:abstractNumId w:val="1"/>
  </w:num>
  <w:num w:numId="9" w16cid:durableId="54364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CF0"/>
    <w:rsid w:val="0015074B"/>
    <w:rsid w:val="001B008F"/>
    <w:rsid w:val="0023560C"/>
    <w:rsid w:val="00250DF7"/>
    <w:rsid w:val="0029046A"/>
    <w:rsid w:val="0029639D"/>
    <w:rsid w:val="00326F90"/>
    <w:rsid w:val="003D53C7"/>
    <w:rsid w:val="004E3130"/>
    <w:rsid w:val="00541D5F"/>
    <w:rsid w:val="00671DB2"/>
    <w:rsid w:val="006E0CFF"/>
    <w:rsid w:val="008134DA"/>
    <w:rsid w:val="008537D6"/>
    <w:rsid w:val="009F04C8"/>
    <w:rsid w:val="00AA1D8D"/>
    <w:rsid w:val="00AB5A3F"/>
    <w:rsid w:val="00B47730"/>
    <w:rsid w:val="00B70F48"/>
    <w:rsid w:val="00B929D5"/>
    <w:rsid w:val="00C637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33A49"/>
  <w14:defaultImageDpi w14:val="300"/>
  <w15:docId w15:val="{325A0E63-FAAC-4BCC-A09E-366718792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7"/>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1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4651</Words>
  <Characters>26516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Kyah Hicks</cp:lastModifiedBy>
  <cp:revision>13</cp:revision>
  <dcterms:created xsi:type="dcterms:W3CDTF">2013-12-23T23:15:00Z</dcterms:created>
  <dcterms:modified xsi:type="dcterms:W3CDTF">2026-10-20T23:52:00Z</dcterms:modified>
  <cp:category/>
</cp:coreProperties>
</file>