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nts/RobotoSlab-bold.ttf" ContentType="application/x-font-ttf"/>
  <Override PartName="/word/fonts/RobotoSlab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52825" cy="1897801"/>
            <wp:effectExtent b="0" l="0" r="0" t="0"/>
            <wp:docPr descr="Placeholder image" id="1" name="image2.png"/>
            <a:graphic>
              <a:graphicData uri="http://schemas.openxmlformats.org/drawingml/2006/picture">
                <pic:pic>
                  <pic:nvPicPr>
                    <pic:cNvPr descr="Placeholder imag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97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t>Math – 2nd Period: Multiplication (9s Facts)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ws7mb2zihyzt" w:id="1"/>
      <w:bookmarkEnd w:id="1"/>
      <w:r w:rsidDel="00000000" w:rsidR="00000000" w:rsidRPr="00000000">
        <w:rPr>
          <w:rtl w:val="0"/>
        </w:rPr>
        <w:t xml:space="preserve">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jc w:val="center"/>
        <w:rPr>
          <w:rFonts w:ascii="Roboto Slab" w:cs="Roboto Slab" w:eastAsia="Roboto Slab" w:hAnsi="Roboto Slab"/>
          <w:color w:val="000000"/>
          <w:sz w:val="32"/>
          <w:szCs w:val="32"/>
        </w:rPr>
      </w:pPr>
      <w:r>
        <w:t xml:space="preserve">Teacher: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jc w:val="center"/>
        <w:rPr>
          <w:color w:val="0288d1"/>
        </w:rPr>
      </w:pPr>
      <w:r>
        <w:t xml:space="preserve">Date: </w:t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29aed"/>
        </w:rPr>
      </w:pPr>
      <w:bookmarkStart w:colFirst="0" w:colLast="0" w:name="_yatuiomnjwdy" w:id="2"/>
      <w:bookmarkEnd w:id="2"/>
      <w:r w:rsidDel="00000000" w:rsidR="00000000" w:rsidRPr="00000000">
        <w:rPr>
          <w:rtl w:val="0"/>
        </w:rPr>
        <w:t xml:space="preserve">Overview &amp;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>
        <w:t>Students will develop fluency with the 9s multiplication facts (1×9 through 12×9) using patterns and visual supports so they can apply these facts in mental math and problem solving.</w:t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s33of7u91i6" w:id="3"/>
      <w:bookmarkEnd w:id="3"/>
      <w:r w:rsidDel="00000000" w:rsidR="00000000" w:rsidRPr="00000000">
        <w:rPr>
          <w:rtl w:val="0"/>
        </w:rPr>
        <w:t xml:space="preserve">Education Standards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</w:pPr>
      <w:r/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</w:pPr>
      <w:r/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/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qd1ku6pizov2" w:id="4"/>
      <w:bookmarkEnd w:id="4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/>
      </w:pPr>
      <w:r>
        <w:t>SWBAT recite the 9s multiplication facts from 1×9 to 12×9 with at least 90% accuracy.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>
        <w:t>SWBAT use patterns (finger trick, tens-minus-one strategy, and repeated addition) to determine an unknown 9s fact.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>
        <w:t>SWBAT solve one-step word problems that require using 9s multiplication facts.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i67xmikl1i8" w:id="5"/>
      <w:bookmarkEnd w:id="5"/>
      <w:r w:rsidDel="00000000" w:rsidR="00000000" w:rsidRPr="00000000">
        <w:rPr>
          <w:rtl w:val="0"/>
        </w:rPr>
        <w:t xml:space="preserve">Materials Needed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/>
      </w:pPr>
      <w:r>
        <w:t>Whiteboard and markers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>
        <w:t>Multiplication chart (1–12) for display</w:t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8kielq9w8wr" w:id="6"/>
      <w:bookmarkEnd w:id="6"/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1"/>
          <w:iCs w:val="1"/>
          <w:color w:val="666666"/>
          <w:sz w:val="24"/>
          <w:szCs w:val="24"/>
        </w:rPr>
      </w:pPr>
      <w:r>
        <w:t>Teacher circulates during guided and independent practice, asking students to explain how they know each 9s fact, and conducts a quick oral check where students answer random 9s facts.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</w:pPr>
      <w:r>
        <w:t>Teacher circulates during guided and independent practice, asking students to explain how they know each 9s fact, and conducts a quick oral check where students answer random 9s facts.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</w:pPr>
      <w:r>
        <w:t>Teacher circulates during guided and independent practice, asking students to explain how they know each 9s fact, and conducts a quick oral check where students answer random 9s facts.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</w:pPr>
      <w:r>
        <w:t>Teacher circulates during guided and independent practice, asking students to explain how they know each 9s fact, and conducts a quick oral check where students answer random 9s facts.</w:t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yyh8t4mddto" w:id="7"/>
      <w:bookmarkEnd w:id="7"/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1"/>
          <w:iCs w:val="1"/>
          <w:color w:val="666666"/>
        </w:rPr>
      </w:pPr>
      <w:r>
        <w:t>Begin with a quick review of skip-counting by 9s using a number line or chart. Model patterns for 9s facts (finger trick, tens-minus-one). Have students practice reciting the 9s facts together, then complete guided practice problems as a class. Students then work independently on 9s fact practice sheets and a few short word problems. Close with a choral recitation of the 9s table and a brief reflection on which strategy helped them most.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t>Begin with a quick review of skip-counting by 9s using a number line or chart. Model patterns for 9s facts (finger trick, tens-minus-one). Have students practice reciting the 9s facts together, then complete guided practice problems as a class. Students then work independently on 9s fact practice sheets and a few short word problems. Close with a choral recitation of the 9s table and a brief reflection on which strategy helped them most.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jc w:val="center"/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51336" cy="280988"/>
            <wp:effectExtent b="0" l="0" r="0" t="0"/>
            <wp:docPr descr="page break" id="3" name="image3.png"/>
            <a:graphic>
              <a:graphicData uri="http://schemas.openxmlformats.org/drawingml/2006/picture">
                <pic:pic>
                  <pic:nvPicPr>
                    <pic:cNvPr descr="page break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1336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t>Begin with a quick review of skip-counting by 9s using a number line or chart. Model patterns for 9s facts (finger trick, tens-minus-one). Have students practice reciting the 9s facts together, then complete guided practice problems as a class. Students then work independently on 9s fact practice sheets and a few short word problems. Close with a choral recitation of the 9s table and a brief reflection on which strategy helped them most.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hanging="15"/>
      <w:jc w:val="right"/>
      <w:rPr>
        <w:rFonts w:ascii="Roboto Slab" w:cs="Roboto Slab" w:eastAsia="Roboto Slab" w:hAnsi="Roboto Slab"/>
        <w:b w:val="1"/>
        <w:bCs w:val="1"/>
        <w:color w:val="ee0000"/>
      </w:rPr>
    </w:pPr>
    <w:r w:rsidDel="00000000" w:rsidR="00000000" w:rsidRPr="00000000">
      <w:rPr>
        <w:rFonts w:ascii="Roboto Slab" w:cs="Roboto Slab" w:eastAsia="Roboto Slab" w:hAnsi="Roboto Slab"/>
        <w:b w:val="1"/>
        <w:bCs w:val="1"/>
        <w:color w:val="ee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ind w:hanging="15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horizontal line" id="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jc w:val="right"/>
      <w:rPr>
        <w:rFonts w:ascii="Roboto Slab" w:cs="Roboto Slab" w:eastAsia="Roboto Slab" w:hAnsi="Roboto Slab"/>
        <w:color w:val="ee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rFonts w:ascii="Roboto Slab" w:cs="Roboto Slab" w:eastAsia="Roboto Slab" w:hAnsi="Roboto Slab"/>
      <w:b w:val="1"/>
      <w:bCs w:val="1"/>
      <w:color w:val="63a600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120" w:line="240" w:lineRule="auto"/>
    </w:pPr>
    <w:rPr>
      <w:rFonts w:ascii="Roboto Slab" w:cs="Roboto Slab" w:eastAsia="Roboto Slab" w:hAnsi="Roboto Slab"/>
      <w:color w:val="029aed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Roboto Slab" w:cs="Roboto Slab" w:eastAsia="Roboto Slab" w:hAnsi="Roboto Slab"/>
      <w:color w:val="ff5722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  <w:ind w:hanging="15"/>
      <w:jc w:val="center"/>
    </w:pPr>
    <w:rPr>
      <w:rFonts w:ascii="Roboto Slab" w:cs="Roboto Slab" w:eastAsia="Roboto Slab" w:hAnsi="Roboto Slab"/>
      <w:b w:val="1"/>
      <w:bCs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after="400" w:before="400" w:lineRule="auto"/>
      <w:jc w:val="center"/>
    </w:pPr>
    <w:rPr>
      <w:i w:val="1"/>
      <w:iCs w:val="1"/>
      <w:color w:val="666666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