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1861E" w14:textId="2902B415" w:rsidR="001934BB" w:rsidRPr="001934BB" w:rsidRDefault="001934BB" w:rsidP="001934BB">
      <w:pPr>
        <w:pStyle w:val="xmsonormal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  <w:bookmarkStart w:id="0" w:name="_Hlk138589568"/>
      <w:r w:rsidRPr="001934BB"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  <w:t>Combined Services Acquisition Strategy / Acquisition Plan</w:t>
      </w:r>
      <w:r w:rsidR="00B00FE3"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  <w:t xml:space="preserve"> </w:t>
      </w:r>
      <w:r w:rsidRPr="001934BB"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  <w:t>(CSASAP)</w:t>
      </w:r>
    </w:p>
    <w:p w14:paraId="17F5DA73" w14:textId="447FD2D6" w:rsidR="001934BB" w:rsidRPr="001934BB" w:rsidRDefault="001934BB" w:rsidP="001934BB">
      <w:pPr>
        <w:pStyle w:val="xmsonormal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</w:pPr>
      <w:r w:rsidRPr="001934BB">
        <w:rPr>
          <w:rFonts w:ascii="Arial" w:hAnsi="Arial" w:cs="Arial"/>
          <w:b/>
          <w:bCs/>
          <w:sz w:val="28"/>
          <w:szCs w:val="28"/>
          <w:bdr w:val="none" w:sz="0" w:space="0" w:color="auto" w:frame="1"/>
        </w:rPr>
        <w:t>Guidance</w:t>
      </w:r>
    </w:p>
    <w:p w14:paraId="48493396" w14:textId="77777777" w:rsidR="001934BB" w:rsidRDefault="001934BB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</w:p>
    <w:p w14:paraId="3FB4345D" w14:textId="6564A96F" w:rsidR="00D73E3C" w:rsidRPr="00F004C0" w:rsidRDefault="00D73E3C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  <w:r w:rsidRPr="00F004C0">
        <w:rPr>
          <w:rFonts w:ascii="Arial" w:hAnsi="Arial" w:cs="Arial"/>
          <w:bdr w:val="none" w:sz="0" w:space="0" w:color="auto" w:frame="1"/>
        </w:rPr>
        <w:t xml:space="preserve">The Combined Services Acquisition Strategy/Acquisition Plan (CSASAP) </w:t>
      </w:r>
      <w:r w:rsidR="006C16C3" w:rsidRPr="00F004C0">
        <w:rPr>
          <w:rFonts w:ascii="Arial" w:hAnsi="Arial" w:cs="Arial"/>
          <w:bdr w:val="none" w:sz="0" w:space="0" w:color="auto" w:frame="1"/>
        </w:rPr>
        <w:t xml:space="preserve">combines the acquisition strategy and the acquisition plan into a single </w:t>
      </w:r>
      <w:r w:rsidRPr="00F004C0">
        <w:rPr>
          <w:rFonts w:ascii="Arial" w:hAnsi="Arial" w:cs="Arial"/>
          <w:bdr w:val="none" w:sz="0" w:space="0" w:color="auto" w:frame="1"/>
        </w:rPr>
        <w:t>streamline</w:t>
      </w:r>
      <w:r w:rsidR="006C16C3" w:rsidRPr="00F004C0">
        <w:rPr>
          <w:rFonts w:ascii="Arial" w:hAnsi="Arial" w:cs="Arial"/>
          <w:bdr w:val="none" w:sz="0" w:space="0" w:color="auto" w:frame="1"/>
        </w:rPr>
        <w:t xml:space="preserve">d </w:t>
      </w:r>
      <w:r w:rsidR="00397817" w:rsidRPr="00F004C0">
        <w:rPr>
          <w:rFonts w:ascii="Arial" w:hAnsi="Arial" w:cs="Arial"/>
          <w:bdr w:val="none" w:sz="0" w:space="0" w:color="auto" w:frame="1"/>
        </w:rPr>
        <w:t>document</w:t>
      </w:r>
      <w:r w:rsidR="00397817">
        <w:rPr>
          <w:rFonts w:ascii="Arial" w:hAnsi="Arial" w:cs="Arial"/>
          <w:bdr w:val="none" w:sz="0" w:space="0" w:color="auto" w:frame="1"/>
        </w:rPr>
        <w:t xml:space="preserve">, </w:t>
      </w:r>
      <w:r w:rsidR="00397817" w:rsidRPr="00F004C0">
        <w:rPr>
          <w:rFonts w:ascii="Arial" w:hAnsi="Arial" w:cs="Arial"/>
          <w:bdr w:val="none" w:sz="0" w:space="0" w:color="auto" w:frame="1"/>
        </w:rPr>
        <w:t>eliminating</w:t>
      </w:r>
      <w:r w:rsidRPr="00F004C0">
        <w:rPr>
          <w:rFonts w:ascii="Arial" w:hAnsi="Arial" w:cs="Arial"/>
          <w:bdr w:val="none" w:sz="0" w:space="0" w:color="auto" w:frame="1"/>
        </w:rPr>
        <w:t xml:space="preserve"> </w:t>
      </w:r>
      <w:r w:rsidR="00B6563D" w:rsidRPr="00F004C0">
        <w:rPr>
          <w:rFonts w:ascii="Arial" w:hAnsi="Arial" w:cs="Arial"/>
          <w:bdr w:val="none" w:sz="0" w:space="0" w:color="auto" w:frame="1"/>
        </w:rPr>
        <w:t xml:space="preserve">content </w:t>
      </w:r>
      <w:r w:rsidRPr="00F004C0">
        <w:rPr>
          <w:rFonts w:ascii="Arial" w:hAnsi="Arial" w:cs="Arial"/>
          <w:bdr w:val="none" w:sz="0" w:space="0" w:color="auto" w:frame="1"/>
        </w:rPr>
        <w:t>overlap and</w:t>
      </w:r>
      <w:r w:rsidR="00C3249C">
        <w:rPr>
          <w:rFonts w:ascii="Arial" w:hAnsi="Arial" w:cs="Arial"/>
          <w:bdr w:val="none" w:sz="0" w:space="0" w:color="auto" w:frame="1"/>
        </w:rPr>
        <w:t xml:space="preserve"> </w:t>
      </w:r>
      <w:r w:rsidR="00B6563D" w:rsidRPr="00F004C0">
        <w:rPr>
          <w:rFonts w:ascii="Arial" w:hAnsi="Arial" w:cs="Arial"/>
          <w:bdr w:val="none" w:sz="0" w:space="0" w:color="auto" w:frame="1"/>
        </w:rPr>
        <w:t>reduc</w:t>
      </w:r>
      <w:r w:rsidR="006C16C3" w:rsidRPr="00F004C0">
        <w:rPr>
          <w:rFonts w:ascii="Arial" w:hAnsi="Arial" w:cs="Arial"/>
          <w:bdr w:val="none" w:sz="0" w:space="0" w:color="auto" w:frame="1"/>
        </w:rPr>
        <w:t>ing</w:t>
      </w:r>
      <w:r w:rsidR="00B6563D" w:rsidRPr="00F004C0">
        <w:rPr>
          <w:rFonts w:ascii="Arial" w:hAnsi="Arial" w:cs="Arial"/>
          <w:bdr w:val="none" w:sz="0" w:space="0" w:color="auto" w:frame="1"/>
        </w:rPr>
        <w:t xml:space="preserve"> administrative burden by </w:t>
      </w:r>
      <w:r w:rsidRPr="00F004C0">
        <w:rPr>
          <w:rFonts w:ascii="Arial" w:hAnsi="Arial" w:cs="Arial"/>
          <w:bdr w:val="none" w:sz="0" w:space="0" w:color="auto" w:frame="1"/>
        </w:rPr>
        <w:t>standardiz</w:t>
      </w:r>
      <w:r w:rsidR="00B6563D" w:rsidRPr="00F004C0">
        <w:rPr>
          <w:rFonts w:ascii="Arial" w:hAnsi="Arial" w:cs="Arial"/>
          <w:bdr w:val="none" w:sz="0" w:space="0" w:color="auto" w:frame="1"/>
        </w:rPr>
        <w:t xml:space="preserve">ing and streamlining the </w:t>
      </w:r>
      <w:r w:rsidRPr="00F004C0">
        <w:rPr>
          <w:rFonts w:ascii="Arial" w:hAnsi="Arial" w:cs="Arial"/>
          <w:bdr w:val="none" w:sz="0" w:space="0" w:color="auto" w:frame="1"/>
        </w:rPr>
        <w:t>review processes across the enterprise. </w:t>
      </w:r>
      <w:r w:rsidRPr="00F004C0">
        <w:rPr>
          <w:rStyle w:val="apple-converted-space"/>
          <w:rFonts w:ascii="Arial" w:hAnsi="Arial" w:cs="Arial"/>
          <w:bdr w:val="none" w:sz="0" w:space="0" w:color="auto" w:frame="1"/>
        </w:rPr>
        <w:t> </w:t>
      </w:r>
    </w:p>
    <w:p w14:paraId="7F49A228" w14:textId="77777777" w:rsidR="00D73E3C" w:rsidRPr="00F004C0" w:rsidRDefault="00D73E3C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46DED895" w14:textId="2D3804EE" w:rsidR="00D73E3C" w:rsidRPr="00F004C0" w:rsidRDefault="00D73E3C" w:rsidP="00D73E3C">
      <w:pPr>
        <w:pStyle w:val="xmsonormal"/>
        <w:spacing w:before="0" w:beforeAutospacing="0" w:after="0" w:afterAutospacing="0"/>
        <w:rPr>
          <w:rFonts w:ascii="Arial" w:hAnsi="Arial" w:cs="Arial"/>
          <w:spacing w:val="-1"/>
          <w:bdr w:val="none" w:sz="0" w:space="0" w:color="auto" w:frame="1"/>
        </w:rPr>
      </w:pPr>
      <w:r w:rsidRPr="00F004C0">
        <w:rPr>
          <w:rFonts w:ascii="Arial" w:hAnsi="Arial" w:cs="Arial"/>
          <w:spacing w:val="-1"/>
          <w:bdr w:val="none" w:sz="0" w:space="0" w:color="auto" w:frame="1"/>
        </w:rPr>
        <w:t xml:space="preserve">The </w:t>
      </w:r>
      <w:r w:rsidR="00F94803">
        <w:rPr>
          <w:rFonts w:ascii="Arial" w:hAnsi="Arial" w:cs="Arial"/>
          <w:spacing w:val="-1"/>
          <w:bdr w:val="none" w:sz="0" w:space="0" w:color="auto" w:frame="1"/>
        </w:rPr>
        <w:t>document</w:t>
      </w:r>
      <w:r w:rsidR="00F94803" w:rsidRPr="00F004C0">
        <w:rPr>
          <w:rFonts w:ascii="Arial" w:hAnsi="Arial" w:cs="Arial"/>
          <w:spacing w:val="-1"/>
          <w:bdr w:val="none" w:sz="0" w:space="0" w:color="auto" w:frame="1"/>
        </w:rPr>
        <w:t xml:space="preserve"> </w:t>
      </w:r>
      <w:r w:rsidRPr="00F004C0">
        <w:rPr>
          <w:rFonts w:ascii="Arial" w:hAnsi="Arial" w:cs="Arial"/>
          <w:spacing w:val="-1"/>
          <w:bdr w:val="none" w:sz="0" w:space="0" w:color="auto" w:frame="1"/>
        </w:rPr>
        <w:t xml:space="preserve">provides a concise framework for use by acquisition teams within the Department of the Army when procuring </w:t>
      </w:r>
      <w:r w:rsidR="00F004C0" w:rsidRPr="00F004C0">
        <w:rPr>
          <w:rFonts w:ascii="Arial" w:hAnsi="Arial" w:cs="Arial"/>
          <w:spacing w:val="-1"/>
          <w:bdr w:val="none" w:sz="0" w:space="0" w:color="auto" w:frame="1"/>
        </w:rPr>
        <w:t>services</w:t>
      </w:r>
      <w:r w:rsidR="00FD35E9">
        <w:rPr>
          <w:rFonts w:ascii="Arial" w:hAnsi="Arial" w:cs="Arial"/>
          <w:spacing w:val="-1"/>
          <w:bdr w:val="none" w:sz="0" w:space="0" w:color="auto" w:frame="1"/>
        </w:rPr>
        <w:t xml:space="preserve">, satisfying </w:t>
      </w:r>
      <w:r w:rsidRPr="00F004C0">
        <w:rPr>
          <w:rFonts w:ascii="Arial" w:hAnsi="Arial" w:cs="Arial"/>
          <w:spacing w:val="-1"/>
          <w:bdr w:val="none" w:sz="0" w:space="0" w:color="auto" w:frame="1"/>
        </w:rPr>
        <w:t xml:space="preserve">the content requirements </w:t>
      </w:r>
      <w:r w:rsidR="006C16C3" w:rsidRPr="00F004C0">
        <w:rPr>
          <w:rFonts w:ascii="Arial" w:hAnsi="Arial" w:cs="Arial"/>
          <w:bdr w:val="none" w:sz="0" w:space="0" w:color="auto" w:frame="1"/>
        </w:rPr>
        <w:t>identified at</w:t>
      </w:r>
      <w:r w:rsidR="0078734B">
        <w:rPr>
          <w:rFonts w:ascii="Arial" w:hAnsi="Arial" w:cs="Arial"/>
          <w:bdr w:val="none" w:sz="0" w:space="0" w:color="auto" w:frame="1"/>
        </w:rPr>
        <w:t xml:space="preserve"> </w:t>
      </w:r>
      <w:r w:rsidRPr="00F004C0">
        <w:rPr>
          <w:rStyle w:val="apple-converted-space"/>
          <w:rFonts w:ascii="Arial" w:hAnsi="Arial" w:cs="Arial"/>
          <w:spacing w:val="-1"/>
          <w:bdr w:val="none" w:sz="0" w:space="0" w:color="auto" w:frame="1"/>
        </w:rPr>
        <w:t>Federal Acquisition</w:t>
      </w:r>
      <w:r w:rsidRPr="00F004C0">
        <w:rPr>
          <w:rStyle w:val="apple-converted-space"/>
          <w:rFonts w:ascii="Arial" w:hAnsi="Arial" w:cs="Arial"/>
          <w:bdr w:val="none" w:sz="0" w:space="0" w:color="auto" w:frame="1"/>
        </w:rPr>
        <w:t xml:space="preserve"> Regulation (FAR) 7.105, Defense Federal Acquisition Regulation Supplement (DFARS) 207.105, and </w:t>
      </w:r>
      <w:r w:rsidRPr="00F004C0">
        <w:rPr>
          <w:rFonts w:ascii="Arial" w:hAnsi="Arial" w:cs="Arial"/>
          <w:bdr w:val="none" w:sz="0" w:space="0" w:color="auto" w:frame="1"/>
        </w:rPr>
        <w:t>Army Federal Acquisition Regulation Supplement</w:t>
      </w:r>
      <w:r w:rsidRPr="00F004C0">
        <w:rPr>
          <w:rStyle w:val="apple-converted-space"/>
          <w:rFonts w:ascii="Arial" w:hAnsi="Arial" w:cs="Arial"/>
          <w:spacing w:val="1"/>
          <w:bdr w:val="none" w:sz="0" w:space="0" w:color="auto" w:frame="1"/>
        </w:rPr>
        <w:t> </w:t>
      </w:r>
      <w:r w:rsidRPr="00F004C0">
        <w:rPr>
          <w:rFonts w:ascii="Arial" w:hAnsi="Arial" w:cs="Arial"/>
          <w:bdr w:val="none" w:sz="0" w:space="0" w:color="auto" w:frame="1"/>
        </w:rPr>
        <w:t>(AFARS) 5137.5. </w:t>
      </w:r>
    </w:p>
    <w:p w14:paraId="6E27B64D" w14:textId="77777777" w:rsidR="00D73E3C" w:rsidRPr="00F004C0" w:rsidRDefault="00D73E3C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</w:p>
    <w:p w14:paraId="57C0E0CE" w14:textId="1E075B0E" w:rsidR="00524421" w:rsidRDefault="00397817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bdr w:val="none" w:sz="0" w:space="0" w:color="auto" w:frame="1"/>
        </w:rPr>
        <w:t xml:space="preserve">Information and </w:t>
      </w:r>
      <w:r w:rsidR="00524421" w:rsidRPr="00F004C0">
        <w:rPr>
          <w:rFonts w:ascii="Arial" w:hAnsi="Arial" w:cs="Arial"/>
          <w:bdr w:val="none" w:sz="0" w:space="0" w:color="auto" w:frame="1"/>
        </w:rPr>
        <w:t>Guidance</w:t>
      </w:r>
      <w:r>
        <w:rPr>
          <w:rFonts w:ascii="Arial" w:hAnsi="Arial" w:cs="Arial"/>
          <w:bdr w:val="none" w:sz="0" w:space="0" w:color="auto" w:frame="1"/>
        </w:rPr>
        <w:t xml:space="preserve"> relative to the </w:t>
      </w:r>
      <w:r w:rsidR="00524421" w:rsidRPr="00F004C0">
        <w:rPr>
          <w:rFonts w:ascii="Arial" w:hAnsi="Arial" w:cs="Arial"/>
          <w:bdr w:val="none" w:sz="0" w:space="0" w:color="auto" w:frame="1"/>
        </w:rPr>
        <w:t>completi</w:t>
      </w:r>
      <w:r>
        <w:rPr>
          <w:rFonts w:ascii="Arial" w:hAnsi="Arial" w:cs="Arial"/>
          <w:bdr w:val="none" w:sz="0" w:space="0" w:color="auto" w:frame="1"/>
        </w:rPr>
        <w:t>o</w:t>
      </w:r>
      <w:r w:rsidR="00524421" w:rsidRPr="00F004C0">
        <w:rPr>
          <w:rFonts w:ascii="Arial" w:hAnsi="Arial" w:cs="Arial"/>
          <w:bdr w:val="none" w:sz="0" w:space="0" w:color="auto" w:frame="1"/>
        </w:rPr>
        <w:t>n</w:t>
      </w:r>
      <w:r>
        <w:rPr>
          <w:rFonts w:ascii="Arial" w:hAnsi="Arial" w:cs="Arial"/>
          <w:bdr w:val="none" w:sz="0" w:space="0" w:color="auto" w:frame="1"/>
        </w:rPr>
        <w:t xml:space="preserve"> of</w:t>
      </w:r>
      <w:r w:rsidR="00524421" w:rsidRPr="00F004C0">
        <w:rPr>
          <w:rFonts w:ascii="Arial" w:hAnsi="Arial" w:cs="Arial"/>
          <w:bdr w:val="none" w:sz="0" w:space="0" w:color="auto" w:frame="1"/>
        </w:rPr>
        <w:t xml:space="preserve"> the CSASAP:</w:t>
      </w:r>
    </w:p>
    <w:p w14:paraId="5E263E91" w14:textId="5B782833" w:rsidR="00397817" w:rsidRDefault="00397817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</w:p>
    <w:p w14:paraId="2BAB00C0" w14:textId="4B243CFA" w:rsidR="00FD35E9" w:rsidRPr="00FD35E9" w:rsidRDefault="00FD35E9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  <w:bdr w:val="none" w:sz="0" w:space="0" w:color="auto" w:frame="1"/>
        </w:rPr>
      </w:pPr>
      <w:r w:rsidRPr="00FD35E9">
        <w:rPr>
          <w:rFonts w:ascii="Arial" w:hAnsi="Arial" w:cs="Arial"/>
          <w:b/>
          <w:bCs/>
          <w:bdr w:val="none" w:sz="0" w:space="0" w:color="auto" w:frame="1"/>
        </w:rPr>
        <w:t>Information:</w:t>
      </w:r>
    </w:p>
    <w:p w14:paraId="48440F19" w14:textId="77777777" w:rsidR="00FD35E9" w:rsidRPr="00F004C0" w:rsidRDefault="00FD35E9" w:rsidP="00D73E3C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</w:p>
    <w:p w14:paraId="199DC9B9" w14:textId="7AAA0ED2" w:rsidR="00524421" w:rsidRPr="00F004C0" w:rsidRDefault="00D73E3C" w:rsidP="00524421">
      <w:pPr>
        <w:pStyle w:val="xmsonormal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dr w:val="none" w:sz="0" w:space="0" w:color="auto" w:frame="1"/>
        </w:rPr>
      </w:pPr>
      <w:r w:rsidRPr="00F004C0">
        <w:rPr>
          <w:rFonts w:ascii="Arial" w:hAnsi="Arial" w:cs="Arial"/>
          <w:bdr w:val="none" w:sz="0" w:space="0" w:color="auto" w:frame="1"/>
        </w:rPr>
        <w:t xml:space="preserve">Army leadership has recently </w:t>
      </w:r>
      <w:r w:rsidR="001457B0" w:rsidRPr="00F004C0">
        <w:rPr>
          <w:rFonts w:ascii="Arial" w:hAnsi="Arial" w:cs="Arial"/>
          <w:bdr w:val="none" w:sz="0" w:space="0" w:color="auto" w:frame="1"/>
        </w:rPr>
        <w:t xml:space="preserve">emphasized the need to </w:t>
      </w:r>
      <w:r w:rsidRPr="00F004C0">
        <w:rPr>
          <w:rFonts w:ascii="Arial" w:hAnsi="Arial" w:cs="Arial"/>
          <w:bdr w:val="none" w:sz="0" w:space="0" w:color="auto" w:frame="1"/>
        </w:rPr>
        <w:t>creat</w:t>
      </w:r>
      <w:r w:rsidR="001457B0" w:rsidRPr="00F004C0">
        <w:rPr>
          <w:rFonts w:ascii="Arial" w:hAnsi="Arial" w:cs="Arial"/>
          <w:bdr w:val="none" w:sz="0" w:space="0" w:color="auto" w:frame="1"/>
        </w:rPr>
        <w:t>e</w:t>
      </w:r>
      <w:r w:rsidRPr="00F004C0">
        <w:rPr>
          <w:rFonts w:ascii="Arial" w:hAnsi="Arial" w:cs="Arial"/>
          <w:bdr w:val="none" w:sz="0" w:space="0" w:color="auto" w:frame="1"/>
        </w:rPr>
        <w:t xml:space="preserve"> opportunities for small businesses. DFARS 215.304(c)(i)(B) states that proposals addressing the extent of small business performance</w:t>
      </w:r>
      <w:r w:rsidRPr="00F004C0">
        <w:rPr>
          <w:rStyle w:val="apple-converted-space"/>
          <w:rFonts w:ascii="Arial" w:hAnsi="Arial" w:cs="Arial"/>
          <w:bdr w:val="none" w:sz="0" w:space="0" w:color="auto" w:frame="1"/>
        </w:rPr>
        <w:t> </w:t>
      </w:r>
      <w:r w:rsidRPr="00F004C0">
        <w:rPr>
          <w:rFonts w:ascii="Arial" w:hAnsi="Arial" w:cs="Arial"/>
          <w:u w:val="single"/>
          <w:bdr w:val="none" w:sz="0" w:space="0" w:color="auto" w:frame="1"/>
        </w:rPr>
        <w:t>shall be separate</w:t>
      </w:r>
      <w:r w:rsidRPr="00F004C0">
        <w:rPr>
          <w:rStyle w:val="apple-converted-space"/>
          <w:rFonts w:ascii="Arial" w:hAnsi="Arial" w:cs="Arial"/>
          <w:bdr w:val="none" w:sz="0" w:space="0" w:color="auto" w:frame="1"/>
        </w:rPr>
        <w:t> </w:t>
      </w:r>
      <w:r w:rsidRPr="00F004C0">
        <w:rPr>
          <w:rFonts w:ascii="Arial" w:hAnsi="Arial" w:cs="Arial"/>
          <w:bdr w:val="none" w:sz="0" w:space="0" w:color="auto" w:frame="1"/>
        </w:rPr>
        <w:t xml:space="preserve">from Small Business Subcontracting Plans submitted pursuant to the clause at FAR </w:t>
      </w:r>
      <w:r w:rsidR="00F004C0" w:rsidRPr="00F004C0">
        <w:rPr>
          <w:rFonts w:ascii="Arial" w:hAnsi="Arial" w:cs="Arial"/>
          <w:bdr w:val="none" w:sz="0" w:space="0" w:color="auto" w:frame="1"/>
        </w:rPr>
        <w:t>52.219-9 and</w:t>
      </w:r>
      <w:r w:rsidRPr="00F004C0">
        <w:rPr>
          <w:rFonts w:ascii="Arial" w:hAnsi="Arial" w:cs="Arial"/>
          <w:bdr w:val="none" w:sz="0" w:space="0" w:color="auto" w:frame="1"/>
        </w:rPr>
        <w:t xml:space="preserve"> </w:t>
      </w:r>
      <w:r w:rsidRPr="00F94803">
        <w:rPr>
          <w:rFonts w:ascii="Arial" w:hAnsi="Arial" w:cs="Arial"/>
          <w:u w:val="single"/>
          <w:bdr w:val="none" w:sz="0" w:space="0" w:color="auto" w:frame="1"/>
        </w:rPr>
        <w:t>shall be structured</w:t>
      </w:r>
      <w:r w:rsidRPr="00F004C0">
        <w:rPr>
          <w:rFonts w:ascii="Arial" w:hAnsi="Arial" w:cs="Arial"/>
          <w:bdr w:val="none" w:sz="0" w:space="0" w:color="auto" w:frame="1"/>
        </w:rPr>
        <w:t xml:space="preserve"> to allow for consideration of offers from small businesses.  </w:t>
      </w:r>
    </w:p>
    <w:p w14:paraId="4B0A2F07" w14:textId="77777777" w:rsidR="00524421" w:rsidRPr="00F004C0" w:rsidRDefault="00524421" w:rsidP="00F004C0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bdr w:val="none" w:sz="0" w:space="0" w:color="auto" w:frame="1"/>
        </w:rPr>
      </w:pPr>
    </w:p>
    <w:p w14:paraId="310185A6" w14:textId="017B8B1E" w:rsidR="00D73E3C" w:rsidRDefault="00F94803" w:rsidP="00524421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bdr w:val="none" w:sz="0" w:space="0" w:color="auto" w:frame="1"/>
        </w:rPr>
      </w:pPr>
      <w:r>
        <w:rPr>
          <w:rFonts w:ascii="Arial" w:hAnsi="Arial" w:cs="Arial"/>
          <w:bdr w:val="none" w:sz="0" w:space="0" w:color="auto" w:frame="1"/>
        </w:rPr>
        <w:t xml:space="preserve">NOTE: </w:t>
      </w:r>
      <w:r w:rsidR="00D73E3C" w:rsidRPr="00F004C0">
        <w:rPr>
          <w:rFonts w:ascii="Arial" w:hAnsi="Arial" w:cs="Arial"/>
          <w:bdr w:val="none" w:sz="0" w:space="0" w:color="auto" w:frame="1"/>
        </w:rPr>
        <w:t>Examples of evaluation factors that can be used are the extent of which firms are specifically identified in proposals; the extent of commitment to use such firms; the extent of participation of such firms in terms of total value; and the type, complexity and variety of work being performed.</w:t>
      </w:r>
    </w:p>
    <w:p w14:paraId="6185D3CF" w14:textId="3BAB9D8B" w:rsidR="00F004C0" w:rsidRDefault="00F004C0" w:rsidP="00524421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bdr w:val="none" w:sz="0" w:space="0" w:color="auto" w:frame="1"/>
        </w:rPr>
      </w:pPr>
    </w:p>
    <w:p w14:paraId="240B0EAD" w14:textId="3213CCF5" w:rsidR="00A72280" w:rsidRPr="00F94803" w:rsidRDefault="00D73E3C" w:rsidP="00F004C0">
      <w:pPr>
        <w:pStyle w:val="xmsonormal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  <w:r w:rsidRPr="00F004C0">
        <w:rPr>
          <w:rFonts w:ascii="Arial" w:hAnsi="Arial" w:cs="Arial"/>
          <w:bdr w:val="none" w:sz="0" w:space="0" w:color="auto" w:frame="1"/>
        </w:rPr>
        <w:t xml:space="preserve">The CSASAP emphasizes </w:t>
      </w:r>
      <w:r w:rsidR="006955C5">
        <w:rPr>
          <w:rFonts w:ascii="Arial" w:hAnsi="Arial" w:cs="Arial"/>
          <w:bdr w:val="none" w:sz="0" w:space="0" w:color="auto" w:frame="1"/>
        </w:rPr>
        <w:t xml:space="preserve">and addresses </w:t>
      </w:r>
      <w:r w:rsidR="00A72280" w:rsidRPr="00F004C0">
        <w:rPr>
          <w:rFonts w:ascii="Arial" w:hAnsi="Arial" w:cs="Arial"/>
          <w:bdr w:val="none" w:sz="0" w:space="0" w:color="auto" w:frame="1"/>
        </w:rPr>
        <w:t>intellectual property (IP), data deliverables and associated license rights</w:t>
      </w:r>
      <w:r w:rsidR="00A72280" w:rsidRPr="00F004C0">
        <w:rPr>
          <w:rFonts w:ascii="Arial" w:hAnsi="Arial" w:cs="Arial"/>
          <w:bdr w:val="none" w:sz="0" w:space="0" w:color="auto" w:frame="1"/>
        </w:rPr>
        <w:t xml:space="preserve"> </w:t>
      </w:r>
      <w:r w:rsidR="006955C5">
        <w:rPr>
          <w:rFonts w:ascii="Arial" w:hAnsi="Arial" w:cs="Arial"/>
          <w:bdr w:val="none" w:sz="0" w:space="0" w:color="auto" w:frame="1"/>
        </w:rPr>
        <w:t xml:space="preserve">in </w:t>
      </w:r>
      <w:r w:rsidRPr="00F004C0">
        <w:rPr>
          <w:rFonts w:ascii="Arial" w:hAnsi="Arial" w:cs="Arial"/>
          <w:bdr w:val="none" w:sz="0" w:space="0" w:color="auto" w:frame="1"/>
        </w:rPr>
        <w:t xml:space="preserve">section 1(g) </w:t>
      </w:r>
      <w:r w:rsidR="007A0A8E" w:rsidRPr="00F004C0">
        <w:rPr>
          <w:rFonts w:ascii="Arial" w:hAnsi="Arial" w:cs="Arial"/>
          <w:bdr w:val="none" w:sz="0" w:space="0" w:color="auto" w:frame="1"/>
        </w:rPr>
        <w:t>Intellectual Property/Data Rights</w:t>
      </w:r>
      <w:r w:rsidR="00FD35E9">
        <w:rPr>
          <w:rFonts w:ascii="Arial" w:hAnsi="Arial" w:cs="Arial"/>
          <w:bdr w:val="none" w:sz="0" w:space="0" w:color="auto" w:frame="1"/>
        </w:rPr>
        <w:t xml:space="preserve">. </w:t>
      </w:r>
      <w:r w:rsidR="000E160D">
        <w:rPr>
          <w:rFonts w:ascii="Arial" w:hAnsi="Arial" w:cs="Arial"/>
          <w:bdr w:val="none" w:sz="0" w:space="0" w:color="auto" w:frame="1"/>
        </w:rPr>
        <w:t>Recommend IP</w:t>
      </w:r>
      <w:r w:rsidR="007A0A8E" w:rsidRPr="00F004C0">
        <w:rPr>
          <w:rFonts w:ascii="Arial" w:hAnsi="Arial" w:cs="Arial"/>
          <w:bdr w:val="none" w:sz="0" w:space="0" w:color="auto" w:frame="1"/>
        </w:rPr>
        <w:t xml:space="preserve"> </w:t>
      </w:r>
      <w:r w:rsidR="00FC65F9">
        <w:rPr>
          <w:rFonts w:ascii="Arial" w:hAnsi="Arial" w:cs="Arial"/>
          <w:bdr w:val="none" w:sz="0" w:space="0" w:color="auto" w:frame="1"/>
        </w:rPr>
        <w:t xml:space="preserve">and an IP Strategy </w:t>
      </w:r>
      <w:r w:rsidR="006955C5">
        <w:rPr>
          <w:rFonts w:ascii="Arial" w:hAnsi="Arial" w:cs="Arial"/>
          <w:bdr w:val="none" w:sz="0" w:space="0" w:color="auto" w:frame="1"/>
        </w:rPr>
        <w:t>be addressed</w:t>
      </w:r>
      <w:r w:rsidR="00A72280">
        <w:rPr>
          <w:rFonts w:ascii="Arial" w:hAnsi="Arial" w:cs="Arial"/>
          <w:bdr w:val="none" w:sz="0" w:space="0" w:color="auto" w:frame="1"/>
        </w:rPr>
        <w:t xml:space="preserve"> early in</w:t>
      </w:r>
      <w:r w:rsidRPr="00F004C0">
        <w:rPr>
          <w:rFonts w:ascii="Arial" w:hAnsi="Arial" w:cs="Arial"/>
          <w:bdr w:val="none" w:sz="0" w:space="0" w:color="auto" w:frame="1"/>
        </w:rPr>
        <w:t xml:space="preserve"> the </w:t>
      </w:r>
      <w:r w:rsidR="00F94803">
        <w:rPr>
          <w:rFonts w:ascii="Arial" w:hAnsi="Arial" w:cs="Arial"/>
          <w:bdr w:val="none" w:sz="0" w:space="0" w:color="auto" w:frame="1"/>
        </w:rPr>
        <w:t xml:space="preserve">acquisition </w:t>
      </w:r>
      <w:r w:rsidRPr="00F004C0">
        <w:rPr>
          <w:rFonts w:ascii="Arial" w:hAnsi="Arial" w:cs="Arial"/>
          <w:bdr w:val="none" w:sz="0" w:space="0" w:color="auto" w:frame="1"/>
        </w:rPr>
        <w:t>planning process</w:t>
      </w:r>
      <w:r w:rsidR="00FC65F9">
        <w:rPr>
          <w:rFonts w:ascii="Arial" w:hAnsi="Arial" w:cs="Arial"/>
          <w:bdr w:val="none" w:sz="0" w:space="0" w:color="auto" w:frame="1"/>
        </w:rPr>
        <w:t>,</w:t>
      </w:r>
      <w:r w:rsidR="000E160D">
        <w:rPr>
          <w:rFonts w:ascii="Arial" w:hAnsi="Arial" w:cs="Arial"/>
          <w:bdr w:val="none" w:sz="0" w:space="0" w:color="auto" w:frame="1"/>
        </w:rPr>
        <w:t xml:space="preserve"> and ideally consider and include IP as part of lifecycle / sustainment planning</w:t>
      </w:r>
      <w:r w:rsidR="00F94803">
        <w:rPr>
          <w:rFonts w:ascii="Arial" w:hAnsi="Arial" w:cs="Arial"/>
          <w:bdr w:val="none" w:sz="0" w:space="0" w:color="auto" w:frame="1"/>
        </w:rPr>
        <w:t>.</w:t>
      </w:r>
    </w:p>
    <w:p w14:paraId="7C3A4533" w14:textId="77777777" w:rsidR="00A72280" w:rsidRPr="00F94803" w:rsidRDefault="00A72280" w:rsidP="00F9480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</w:rPr>
      </w:pPr>
    </w:p>
    <w:p w14:paraId="6397B533" w14:textId="544EF254" w:rsidR="00D73E3C" w:rsidRPr="00F004C0" w:rsidRDefault="00A72280" w:rsidP="00F94803">
      <w:pPr>
        <w:pStyle w:val="xmsonormal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dr w:val="none" w:sz="0" w:space="0" w:color="auto" w:frame="1"/>
        </w:rPr>
        <w:t>NOTE:</w:t>
      </w:r>
      <w:r w:rsidR="00524421" w:rsidRPr="00F004C0">
        <w:rPr>
          <w:rFonts w:ascii="Arial" w:hAnsi="Arial" w:cs="Arial"/>
          <w:bdr w:val="none" w:sz="0" w:space="0" w:color="auto" w:frame="1"/>
        </w:rPr>
        <w:t xml:space="preserve"> </w:t>
      </w:r>
      <w:r w:rsidR="0000795A">
        <w:rPr>
          <w:rFonts w:ascii="Arial" w:hAnsi="Arial" w:cs="Arial"/>
          <w:bdr w:val="none" w:sz="0" w:space="0" w:color="auto" w:frame="1"/>
        </w:rPr>
        <w:t>In July 2023 t</w:t>
      </w:r>
      <w:r w:rsidRPr="00F004C0">
        <w:rPr>
          <w:rFonts w:ascii="Arial" w:hAnsi="Arial" w:cs="Arial"/>
          <w:bdr w:val="none" w:sz="0" w:space="0" w:color="auto" w:frame="1"/>
        </w:rPr>
        <w:t xml:space="preserve">he Army </w:t>
      </w:r>
      <w:r w:rsidR="00951B05">
        <w:rPr>
          <w:rFonts w:ascii="Arial" w:hAnsi="Arial" w:cs="Arial"/>
          <w:bdr w:val="none" w:sz="0" w:space="0" w:color="auto" w:frame="1"/>
        </w:rPr>
        <w:t>stood up</w:t>
      </w:r>
      <w:r w:rsidR="00951B05" w:rsidRPr="00F004C0">
        <w:rPr>
          <w:rFonts w:ascii="Arial" w:hAnsi="Arial" w:cs="Arial"/>
          <w:bdr w:val="none" w:sz="0" w:space="0" w:color="auto" w:frame="1"/>
        </w:rPr>
        <w:t xml:space="preserve"> </w:t>
      </w:r>
      <w:r w:rsidRPr="00F004C0">
        <w:rPr>
          <w:rFonts w:ascii="Arial" w:hAnsi="Arial" w:cs="Arial"/>
          <w:bdr w:val="none" w:sz="0" w:space="0" w:color="auto" w:frame="1"/>
        </w:rPr>
        <w:t>an intellectual property cell of experts</w:t>
      </w:r>
      <w:r w:rsidR="00951B05">
        <w:rPr>
          <w:rFonts w:ascii="Arial" w:hAnsi="Arial" w:cs="Arial"/>
          <w:bdr w:val="none" w:sz="0" w:space="0" w:color="auto" w:frame="1"/>
        </w:rPr>
        <w:t xml:space="preserve"> </w:t>
      </w:r>
      <w:r>
        <w:rPr>
          <w:rFonts w:ascii="Arial" w:hAnsi="Arial" w:cs="Arial"/>
          <w:bdr w:val="none" w:sz="0" w:space="0" w:color="auto" w:frame="1"/>
        </w:rPr>
        <w:t xml:space="preserve">to </w:t>
      </w:r>
      <w:r w:rsidRPr="00F004C0">
        <w:rPr>
          <w:rFonts w:ascii="Arial" w:hAnsi="Arial" w:cs="Arial"/>
          <w:bdr w:val="none" w:sz="0" w:space="0" w:color="auto" w:frame="1"/>
        </w:rPr>
        <w:t>focus on and support the acquisition of intellectual property (IP), data deliverables and associated license rights</w:t>
      </w:r>
      <w:r w:rsidR="00F94803">
        <w:rPr>
          <w:rFonts w:ascii="Arial" w:hAnsi="Arial" w:cs="Arial"/>
          <w:bdr w:val="none" w:sz="0" w:space="0" w:color="auto" w:frame="1"/>
        </w:rPr>
        <w:t xml:space="preserve"> across the Army enterprise</w:t>
      </w:r>
      <w:r>
        <w:rPr>
          <w:rFonts w:ascii="Arial" w:hAnsi="Arial" w:cs="Arial"/>
          <w:bdr w:val="none" w:sz="0" w:space="0" w:color="auto" w:frame="1"/>
        </w:rPr>
        <w:t>.</w:t>
      </w:r>
      <w:r w:rsidRPr="00F004C0">
        <w:rPr>
          <w:rFonts w:ascii="Arial" w:hAnsi="Arial" w:cs="Arial"/>
          <w:bdr w:val="none" w:sz="0" w:space="0" w:color="auto" w:frame="1"/>
        </w:rPr>
        <w:t xml:space="preserve"> </w:t>
      </w:r>
      <w:r w:rsidR="00951B05">
        <w:rPr>
          <w:rFonts w:ascii="Arial" w:hAnsi="Arial" w:cs="Arial"/>
          <w:bdr w:val="none" w:sz="0" w:space="0" w:color="auto" w:frame="1"/>
        </w:rPr>
        <w:t>S</w:t>
      </w:r>
      <w:r w:rsidR="00524421" w:rsidRPr="00F004C0">
        <w:rPr>
          <w:rFonts w:ascii="Arial" w:hAnsi="Arial" w:cs="Arial"/>
          <w:bdr w:val="none" w:sz="0" w:space="0" w:color="auto" w:frame="1"/>
        </w:rPr>
        <w:t xml:space="preserve">upport may be obtained from the IP cell of experts </w:t>
      </w:r>
      <w:r w:rsidR="00F94803">
        <w:rPr>
          <w:rFonts w:ascii="Arial" w:hAnsi="Arial" w:cs="Arial"/>
          <w:bdr w:val="none" w:sz="0" w:space="0" w:color="auto" w:frame="1"/>
        </w:rPr>
        <w:t xml:space="preserve">to assist with issues or concerns during requirement generation, </w:t>
      </w:r>
      <w:r w:rsidR="00951B05">
        <w:rPr>
          <w:rFonts w:ascii="Arial" w:hAnsi="Arial" w:cs="Arial"/>
          <w:bdr w:val="none" w:sz="0" w:space="0" w:color="auto" w:frame="1"/>
        </w:rPr>
        <w:t>or</w:t>
      </w:r>
      <w:r w:rsidR="00951B05">
        <w:rPr>
          <w:rFonts w:ascii="Arial" w:hAnsi="Arial" w:cs="Arial"/>
          <w:bdr w:val="none" w:sz="0" w:space="0" w:color="auto" w:frame="1"/>
        </w:rPr>
        <w:t xml:space="preserve"> </w:t>
      </w:r>
      <w:r w:rsidR="00F94803">
        <w:rPr>
          <w:rFonts w:ascii="Arial" w:hAnsi="Arial" w:cs="Arial"/>
          <w:bdr w:val="none" w:sz="0" w:space="0" w:color="auto" w:frame="1"/>
        </w:rPr>
        <w:t xml:space="preserve">during the development of acquisition documents </w:t>
      </w:r>
      <w:r w:rsidR="00524421" w:rsidRPr="00F004C0">
        <w:rPr>
          <w:rFonts w:ascii="Arial" w:hAnsi="Arial" w:cs="Arial"/>
          <w:bdr w:val="none" w:sz="0" w:space="0" w:color="auto" w:frame="1"/>
        </w:rPr>
        <w:t>(</w:t>
      </w:r>
      <w:r w:rsidR="001934BB">
        <w:rPr>
          <w:rFonts w:ascii="Arial" w:hAnsi="Arial" w:cs="Arial"/>
          <w:bdr w:val="none" w:sz="0" w:space="0" w:color="auto" w:frame="1"/>
        </w:rPr>
        <w:t xml:space="preserve">IP </w:t>
      </w:r>
      <w:r w:rsidR="00524421" w:rsidRPr="00F004C0">
        <w:rPr>
          <w:rFonts w:ascii="Arial" w:hAnsi="Arial" w:cs="Arial"/>
          <w:bdr w:val="none" w:sz="0" w:space="0" w:color="auto" w:frame="1"/>
        </w:rPr>
        <w:t>cell</w:t>
      </w:r>
      <w:r w:rsidR="00951B05">
        <w:rPr>
          <w:rFonts w:ascii="Arial" w:hAnsi="Arial" w:cs="Arial"/>
          <w:bdr w:val="none" w:sz="0" w:space="0" w:color="auto" w:frame="1"/>
        </w:rPr>
        <w:t xml:space="preserve"> contract information</w:t>
      </w:r>
      <w:r w:rsidR="00524421" w:rsidRPr="00F004C0">
        <w:rPr>
          <w:rFonts w:ascii="Arial" w:hAnsi="Arial" w:cs="Arial"/>
          <w:bdr w:val="none" w:sz="0" w:space="0" w:color="auto" w:frame="1"/>
        </w:rPr>
        <w:t xml:space="preserve"> is forthcoming)</w:t>
      </w:r>
      <w:r w:rsidR="00D73E3C" w:rsidRPr="00F004C0">
        <w:rPr>
          <w:rFonts w:ascii="Arial" w:hAnsi="Arial" w:cs="Arial"/>
          <w:bdr w:val="none" w:sz="0" w:space="0" w:color="auto" w:frame="1"/>
        </w:rPr>
        <w:t>.</w:t>
      </w:r>
      <w:r w:rsidR="00D73E3C" w:rsidRPr="00F004C0">
        <w:rPr>
          <w:rStyle w:val="apple-converted-space"/>
          <w:rFonts w:ascii="Arial" w:hAnsi="Arial" w:cs="Arial"/>
          <w:spacing w:val="-1"/>
          <w:bdr w:val="none" w:sz="0" w:space="0" w:color="auto" w:frame="1"/>
        </w:rPr>
        <w:t> </w:t>
      </w:r>
    </w:p>
    <w:p w14:paraId="4E0F5F23" w14:textId="7FFA37B1" w:rsidR="00D73E3C" w:rsidRDefault="00D73E3C" w:rsidP="00D73E3C">
      <w:pPr>
        <w:pStyle w:val="xmsonormal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  <w:r w:rsidRPr="00F004C0">
        <w:rPr>
          <w:rFonts w:ascii="Arial" w:hAnsi="Arial" w:cs="Arial"/>
          <w:bdr w:val="none" w:sz="0" w:space="0" w:color="auto" w:frame="1"/>
        </w:rPr>
        <w:t> </w:t>
      </w:r>
    </w:p>
    <w:p w14:paraId="403F6C9B" w14:textId="50973B47" w:rsidR="00F52644" w:rsidRPr="001934BB" w:rsidRDefault="00182870" w:rsidP="001934BB">
      <w:pPr>
        <w:pStyle w:val="ListParagraph"/>
        <w:numPr>
          <w:ilvl w:val="0"/>
          <w:numId w:val="3"/>
        </w:numPr>
        <w:rPr>
          <w:rFonts w:cs="Arial"/>
          <w:color w:val="000000" w:themeColor="text1"/>
          <w:sz w:val="24"/>
          <w:szCs w:val="24"/>
        </w:rPr>
      </w:pPr>
      <w:r w:rsidRPr="001934BB">
        <w:rPr>
          <w:rFonts w:cs="Arial"/>
          <w:b w:val="0"/>
          <w:bCs w:val="0"/>
          <w:color w:val="000000" w:themeColor="text1"/>
          <w:sz w:val="24"/>
          <w:szCs w:val="24"/>
        </w:rPr>
        <w:t xml:space="preserve">To maintain consistency with current AFARS Appendix GG approval </w:t>
      </w:r>
      <w:r w:rsidR="001934BB" w:rsidRPr="001934BB">
        <w:rPr>
          <w:rFonts w:cs="Arial"/>
          <w:b w:val="0"/>
          <w:bCs w:val="0"/>
          <w:color w:val="000000" w:themeColor="text1"/>
          <w:sz w:val="24"/>
          <w:szCs w:val="24"/>
        </w:rPr>
        <w:t>levels, stand</w:t>
      </w:r>
      <w:r w:rsidRPr="001934BB">
        <w:rPr>
          <w:rFonts w:cs="Arial"/>
          <w:b w:val="0"/>
          <w:bCs w:val="0"/>
          <w:color w:val="000000" w:themeColor="text1"/>
          <w:sz w:val="24"/>
          <w:szCs w:val="24"/>
        </w:rPr>
        <w:t>-alone Acquisition Strategies (AS) and Acquisition Plans (AP)</w:t>
      </w:r>
      <w:r w:rsidR="00F52644" w:rsidRPr="001934BB">
        <w:rPr>
          <w:rFonts w:cs="Arial"/>
          <w:b w:val="0"/>
          <w:bCs w:val="0"/>
          <w:color w:val="000000" w:themeColor="text1"/>
          <w:sz w:val="24"/>
          <w:szCs w:val="24"/>
        </w:rPr>
        <w:t xml:space="preserve"> </w:t>
      </w:r>
      <w:r w:rsidR="001934BB" w:rsidRPr="001934BB">
        <w:rPr>
          <w:rFonts w:cs="Arial"/>
          <w:b w:val="0"/>
          <w:bCs w:val="0"/>
          <w:color w:val="000000" w:themeColor="text1"/>
          <w:sz w:val="24"/>
          <w:szCs w:val="24"/>
        </w:rPr>
        <w:t>remain unchanged</w:t>
      </w:r>
      <w:r w:rsidRPr="001934BB">
        <w:rPr>
          <w:rFonts w:cs="Arial"/>
          <w:b w:val="0"/>
          <w:bCs w:val="0"/>
          <w:color w:val="000000" w:themeColor="text1"/>
          <w:sz w:val="24"/>
          <w:szCs w:val="24"/>
        </w:rPr>
        <w:t xml:space="preserve"> by this template</w:t>
      </w:r>
      <w:r w:rsidR="00F52644" w:rsidRPr="001934BB">
        <w:rPr>
          <w:rFonts w:cs="Arial"/>
          <w:b w:val="0"/>
          <w:bCs w:val="0"/>
          <w:color w:val="000000" w:themeColor="text1"/>
          <w:sz w:val="24"/>
          <w:szCs w:val="24"/>
        </w:rPr>
        <w:t>.</w:t>
      </w:r>
      <w:r w:rsidRPr="001934BB">
        <w:rPr>
          <w:rFonts w:cs="Arial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477AE5F5" w14:textId="77777777" w:rsidR="00AD2770" w:rsidRDefault="00AD2770" w:rsidP="0018287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AA88D1C" w14:textId="229EF71D" w:rsidR="00F52644" w:rsidRPr="00FD35E9" w:rsidRDefault="00FD35E9" w:rsidP="0018287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D35E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Guidance:</w:t>
      </w:r>
    </w:p>
    <w:p w14:paraId="54FEE2AF" w14:textId="77777777" w:rsidR="00F94803" w:rsidRPr="001934BB" w:rsidRDefault="00F94803" w:rsidP="0018287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5736BC" w14:textId="27C569CA" w:rsidR="00182870" w:rsidRPr="001934BB" w:rsidRDefault="00F52644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hAnsi="Arial" w:cs="Arial"/>
          <w:color w:val="000000" w:themeColor="text1"/>
          <w:sz w:val="24"/>
          <w:szCs w:val="24"/>
        </w:rPr>
        <w:t xml:space="preserve">CSASAP </w:t>
      </w:r>
      <w:r w:rsidR="00182870" w:rsidRPr="001934BB">
        <w:rPr>
          <w:rFonts w:ascii="Arial" w:hAnsi="Arial" w:cs="Arial"/>
          <w:color w:val="000000" w:themeColor="text1"/>
          <w:sz w:val="24"/>
          <w:szCs w:val="24"/>
        </w:rPr>
        <w:t xml:space="preserve">documents will use the signature block(s) </w:t>
      </w:r>
      <w:r w:rsidRPr="001934BB">
        <w:rPr>
          <w:rFonts w:ascii="Arial" w:hAnsi="Arial" w:cs="Arial"/>
          <w:color w:val="000000" w:themeColor="text1"/>
          <w:sz w:val="24"/>
          <w:szCs w:val="24"/>
        </w:rPr>
        <w:t xml:space="preserve">identified </w:t>
      </w:r>
      <w:r w:rsidR="00182870" w:rsidRPr="001934BB">
        <w:rPr>
          <w:rFonts w:ascii="Arial" w:hAnsi="Arial" w:cs="Arial"/>
          <w:color w:val="000000" w:themeColor="text1"/>
          <w:sz w:val="24"/>
          <w:szCs w:val="24"/>
        </w:rPr>
        <w:t>below:</w:t>
      </w:r>
      <w:r w:rsidR="00182870" w:rsidRPr="001934BB">
        <w:rPr>
          <w:rFonts w:ascii="Arial" w:hAnsi="Arial" w:cs="Arial"/>
          <w:color w:val="000000" w:themeColor="text1"/>
          <w:sz w:val="24"/>
          <w:szCs w:val="24"/>
        </w:rPr>
        <w:br/>
      </w:r>
      <w:r w:rsidR="00182870" w:rsidRPr="001934BB">
        <w:rPr>
          <w:rFonts w:ascii="Arial" w:hAnsi="Arial" w:cs="Arial"/>
          <w:color w:val="000000" w:themeColor="text1"/>
          <w:sz w:val="24"/>
          <w:szCs w:val="24"/>
        </w:rPr>
        <w:br/>
      </w:r>
      <w:r w:rsidR="00182870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- C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="00182870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ASAPs for services acquisitions with a total value between $10M and less than $25M:  Chief of the Contracting Office (Notes 1 and 2)</w:t>
      </w:r>
    </w:p>
    <w:p w14:paraId="5BDBCFAB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1ABAB940" w14:textId="24128CEA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- C</w:t>
      </w:r>
      <w:r w:rsidR="00F52644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ASAPs for services acquisitions valued between $10M and less than either $25M for any fiscal year or $50M in total:  Chief of the Contracting Office (Note 1)</w:t>
      </w:r>
    </w:p>
    <w:p w14:paraId="086195D5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22BDCE18" w14:textId="704B2CA0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- C</w:t>
      </w:r>
      <w:r w:rsidR="00F52644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ASAPs for services acquisitions valued in an amount between $25M for any fiscal year and less than $50M in total:  Chief of the Contracting Office 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AND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Senior Contracting Official (Notes 1 and 3)</w:t>
      </w:r>
    </w:p>
    <w:p w14:paraId="66982DA8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771C760C" w14:textId="39EA206E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- C</w:t>
      </w:r>
      <w:r w:rsidR="00F52644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ASAPs for services acquisitions with a total value between $50M up to $100M:  Chief of the Contracting Office 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  <w:u w:val="single"/>
        </w:rPr>
        <w:t>AND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Senior Contracting Official (Notes 1 and 3)</w:t>
      </w:r>
    </w:p>
    <w:p w14:paraId="19E99968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31AEE5C0" w14:textId="556D95B3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- C</w:t>
      </w:r>
      <w:r w:rsidR="00F52644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ASAPs for services acquisitions with a total value above $100M but less than $250M:  Senior Contracting Official (Note 1)</w:t>
      </w:r>
    </w:p>
    <w:p w14:paraId="1DB0CEB8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22F725C3" w14:textId="306EE2D0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- C</w:t>
      </w:r>
      <w:r w:rsidR="00F52644"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ASAPs for services acquisitions with a total value of $250M or above or designated as special interest:  Senior Services Manager or DASA(P)</w:t>
      </w:r>
    </w:p>
    <w:p w14:paraId="7E70772A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3B98717B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1934BB">
        <w:rPr>
          <w:rFonts w:ascii="Arial" w:eastAsia="Times New Roman" w:hAnsi="Arial" w:cs="Arial"/>
          <w:color w:val="000000" w:themeColor="text1"/>
          <w:sz w:val="24"/>
          <w:szCs w:val="24"/>
        </w:rPr>
        <w:t>Notes:</w:t>
      </w:r>
    </w:p>
    <w:p w14:paraId="624652D3" w14:textId="77777777" w:rsidR="00182870" w:rsidRPr="001934BB" w:rsidRDefault="00182870" w:rsidP="00182870">
      <w:pPr>
        <w:pStyle w:val="ListParagraph"/>
        <w:numPr>
          <w:ilvl w:val="0"/>
          <w:numId w:val="1"/>
        </w:numPr>
        <w:rPr>
          <w:rFonts w:eastAsia="Times New Roman" w:cs="Arial"/>
          <w:b w:val="0"/>
          <w:bCs w:val="0"/>
          <w:color w:val="000000" w:themeColor="text1"/>
          <w:sz w:val="24"/>
          <w:szCs w:val="24"/>
        </w:rPr>
      </w:pPr>
      <w:r w:rsidRPr="001934BB">
        <w:rPr>
          <w:rFonts w:eastAsia="Times New Roman" w:cs="Arial"/>
          <w:b w:val="0"/>
          <w:bCs w:val="0"/>
          <w:color w:val="000000" w:themeColor="text1"/>
          <w:sz w:val="24"/>
          <w:szCs w:val="24"/>
        </w:rPr>
        <w:t>Assumes delegation from the HCA</w:t>
      </w:r>
    </w:p>
    <w:p w14:paraId="3EE44C02" w14:textId="77777777" w:rsidR="00182870" w:rsidRPr="001934BB" w:rsidRDefault="00182870" w:rsidP="00182870">
      <w:pPr>
        <w:pStyle w:val="ListParagraph"/>
        <w:numPr>
          <w:ilvl w:val="0"/>
          <w:numId w:val="1"/>
        </w:numPr>
        <w:rPr>
          <w:rFonts w:eastAsia="Times New Roman" w:cs="Arial"/>
          <w:b w:val="0"/>
          <w:bCs w:val="0"/>
          <w:color w:val="000000" w:themeColor="text1"/>
          <w:sz w:val="24"/>
          <w:szCs w:val="24"/>
        </w:rPr>
      </w:pPr>
      <w:r w:rsidRPr="001934BB">
        <w:rPr>
          <w:rFonts w:eastAsia="Times New Roman" w:cs="Arial"/>
          <w:b w:val="0"/>
          <w:bCs w:val="0"/>
          <w:color w:val="000000" w:themeColor="text1"/>
          <w:sz w:val="24"/>
          <w:szCs w:val="24"/>
        </w:rPr>
        <w:t>Follow contracting activity procedures for services acquisitions with a total value between the Simplified Acquisition Threshold but less than $10M</w:t>
      </w:r>
    </w:p>
    <w:p w14:paraId="5744BD05" w14:textId="77777777" w:rsidR="00182870" w:rsidRPr="001934BB" w:rsidRDefault="00182870" w:rsidP="00182870">
      <w:pPr>
        <w:pStyle w:val="ListParagraph"/>
        <w:numPr>
          <w:ilvl w:val="0"/>
          <w:numId w:val="1"/>
        </w:numPr>
        <w:rPr>
          <w:rFonts w:eastAsia="Times New Roman" w:cs="Arial"/>
          <w:b w:val="0"/>
          <w:bCs w:val="0"/>
          <w:color w:val="000000" w:themeColor="text1"/>
          <w:sz w:val="24"/>
          <w:szCs w:val="24"/>
        </w:rPr>
      </w:pPr>
      <w:r w:rsidRPr="001934BB">
        <w:rPr>
          <w:rFonts w:eastAsia="Times New Roman" w:cs="Arial"/>
          <w:b w:val="0"/>
          <w:bCs w:val="0"/>
          <w:color w:val="000000" w:themeColor="text1"/>
          <w:sz w:val="24"/>
          <w:szCs w:val="24"/>
        </w:rPr>
        <w:t xml:space="preserve">Alternatively, signature </w:t>
      </w:r>
      <w:r w:rsidRPr="001934BB">
        <w:rPr>
          <w:rFonts w:eastAsia="Times New Roman" w:cs="Arial"/>
          <w:b w:val="0"/>
          <w:bCs w:val="0"/>
          <w:color w:val="000000" w:themeColor="text1"/>
          <w:sz w:val="24"/>
          <w:szCs w:val="24"/>
          <w:u w:val="single"/>
        </w:rPr>
        <w:t>only</w:t>
      </w:r>
      <w:r w:rsidRPr="001934BB">
        <w:rPr>
          <w:rFonts w:eastAsia="Times New Roman" w:cs="Arial"/>
          <w:b w:val="0"/>
          <w:bCs w:val="0"/>
          <w:color w:val="000000" w:themeColor="text1"/>
          <w:sz w:val="24"/>
          <w:szCs w:val="24"/>
        </w:rPr>
        <w:t xml:space="preserve"> by the Senior Contracting Official).</w:t>
      </w:r>
    </w:p>
    <w:p w14:paraId="03144FEC" w14:textId="77777777" w:rsidR="00182870" w:rsidRPr="001934BB" w:rsidRDefault="00182870" w:rsidP="00182870">
      <w:pPr>
        <w:rPr>
          <w:rFonts w:ascii="Arial" w:eastAsia="Times New Roman" w:hAnsi="Arial" w:cs="Arial"/>
          <w:b/>
          <w:bCs/>
          <w:i/>
          <w:iCs/>
          <w:color w:val="FF0000"/>
          <w:sz w:val="24"/>
          <w:szCs w:val="24"/>
        </w:rPr>
      </w:pPr>
    </w:p>
    <w:p w14:paraId="626A90E4" w14:textId="2B568190" w:rsidR="00D73E3C" w:rsidRDefault="00D73E3C" w:rsidP="00D73E3C">
      <w:pPr>
        <w:pStyle w:val="xmsonormal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  <w:r w:rsidRPr="001934BB">
        <w:rPr>
          <w:rFonts w:ascii="Arial" w:hAnsi="Arial" w:cs="Arial"/>
          <w:bdr w:val="none" w:sz="0" w:space="0" w:color="auto" w:frame="1"/>
        </w:rPr>
        <w:t> </w:t>
      </w:r>
    </w:p>
    <w:p w14:paraId="30B53A4B" w14:textId="77777777" w:rsidR="00AD2770" w:rsidRDefault="00AD2770" w:rsidP="00D73E3C">
      <w:pPr>
        <w:pStyle w:val="xmsonormal"/>
        <w:spacing w:before="0" w:beforeAutospacing="0" w:after="0" w:afterAutospacing="0"/>
        <w:rPr>
          <w:rFonts w:ascii="Arial" w:hAnsi="Arial" w:cs="Arial"/>
          <w:bdr w:val="none" w:sz="0" w:space="0" w:color="auto" w:frame="1"/>
        </w:rPr>
      </w:pPr>
    </w:p>
    <w:p w14:paraId="05B38ABF" w14:textId="2DCAB55E" w:rsidR="004B3C98" w:rsidRPr="00AD2770" w:rsidRDefault="00524421" w:rsidP="00AD2770">
      <w:pPr>
        <w:pStyle w:val="ListParagraph"/>
        <w:numPr>
          <w:ilvl w:val="0"/>
          <w:numId w:val="3"/>
        </w:numPr>
        <w:rPr>
          <w:rFonts w:cs="Arial"/>
          <w:sz w:val="24"/>
          <w:szCs w:val="24"/>
        </w:rPr>
      </w:pPr>
      <w:r w:rsidRPr="00AD2770">
        <w:rPr>
          <w:rStyle w:val="apple-converted-space"/>
          <w:rFonts w:cs="Arial"/>
          <w:sz w:val="24"/>
          <w:szCs w:val="24"/>
          <w:bdr w:val="none" w:sz="0" w:space="0" w:color="auto" w:frame="1"/>
        </w:rPr>
        <w:t xml:space="preserve">Annotate not applicable (N/A) to any section or </w:t>
      </w:r>
      <w:r w:rsidRPr="00AD2770">
        <w:rPr>
          <w:rFonts w:cs="Arial"/>
          <w:spacing w:val="-1"/>
          <w:sz w:val="24"/>
          <w:szCs w:val="24"/>
          <w:bdr w:val="none" w:sz="0" w:space="0" w:color="auto" w:frame="1"/>
        </w:rPr>
        <w:t xml:space="preserve">paragraph </w:t>
      </w:r>
      <w:r w:rsidR="009538EC" w:rsidRPr="00AD2770">
        <w:rPr>
          <w:rFonts w:cs="Arial"/>
          <w:spacing w:val="-1"/>
          <w:sz w:val="24"/>
          <w:szCs w:val="24"/>
          <w:bdr w:val="none" w:sz="0" w:space="0" w:color="auto" w:frame="1"/>
        </w:rPr>
        <w:t xml:space="preserve">which does </w:t>
      </w:r>
      <w:r w:rsidRPr="00AD2770">
        <w:rPr>
          <w:rFonts w:cs="Arial"/>
          <w:spacing w:val="-1"/>
          <w:sz w:val="24"/>
          <w:szCs w:val="24"/>
          <w:bdr w:val="none" w:sz="0" w:space="0" w:color="auto" w:frame="1"/>
        </w:rPr>
        <w:t xml:space="preserve">not </w:t>
      </w:r>
      <w:r w:rsidR="009538EC" w:rsidRPr="00AD2770">
        <w:rPr>
          <w:rFonts w:cs="Arial"/>
          <w:spacing w:val="-1"/>
          <w:sz w:val="24"/>
          <w:szCs w:val="24"/>
          <w:bdr w:val="none" w:sz="0" w:space="0" w:color="auto" w:frame="1"/>
        </w:rPr>
        <w:t xml:space="preserve">apply </w:t>
      </w:r>
      <w:r w:rsidRPr="00AD2770">
        <w:rPr>
          <w:rFonts w:cs="Arial"/>
          <w:spacing w:val="-1"/>
          <w:sz w:val="24"/>
          <w:szCs w:val="24"/>
          <w:bdr w:val="none" w:sz="0" w:space="0" w:color="auto" w:frame="1"/>
        </w:rPr>
        <w:t>to your specific requirement</w:t>
      </w:r>
    </w:p>
    <w:bookmarkEnd w:id="0"/>
    <w:p w14:paraId="2145DD6F" w14:textId="4C486399" w:rsidR="004B3C98" w:rsidRPr="001934BB" w:rsidRDefault="004B3C98" w:rsidP="004B3C98">
      <w:pPr>
        <w:rPr>
          <w:rFonts w:ascii="Arial" w:hAnsi="Arial" w:cs="Arial"/>
        </w:rPr>
      </w:pPr>
    </w:p>
    <w:p w14:paraId="120E60AB" w14:textId="77777777" w:rsidR="009538EC" w:rsidRPr="00AD2770" w:rsidRDefault="009538EC" w:rsidP="00AD2770">
      <w:pPr>
        <w:pStyle w:val="ListParagraph"/>
        <w:numPr>
          <w:ilvl w:val="0"/>
          <w:numId w:val="3"/>
        </w:numPr>
        <w:spacing w:before="100" w:beforeAutospacing="1" w:after="100" w:afterAutospacing="1"/>
        <w:contextualSpacing/>
        <w:outlineLvl w:val="4"/>
        <w:rPr>
          <w:rFonts w:cs="Arial"/>
          <w:i/>
          <w:color w:val="FF0000"/>
          <w:sz w:val="24"/>
          <w:szCs w:val="24"/>
        </w:rPr>
      </w:pPr>
      <w:r w:rsidRPr="00AD2770">
        <w:rPr>
          <w:rFonts w:cs="Arial"/>
          <w:i/>
          <w:color w:val="FF0000"/>
          <w:sz w:val="24"/>
          <w:szCs w:val="24"/>
        </w:rPr>
        <w:t>Ensure this cover page and all areas providing instructional or sample language (red and or italicized font) are deleted before finalizing and submitting the document.</w:t>
      </w:r>
    </w:p>
    <w:p w14:paraId="4E04B467" w14:textId="77777777" w:rsidR="004039D9" w:rsidRPr="004B3C98" w:rsidRDefault="004039D9"/>
    <w:sectPr w:rsidR="004039D9" w:rsidRPr="004B3C9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270A6" w14:textId="77777777" w:rsidR="00B00FE3" w:rsidRDefault="00B00FE3" w:rsidP="00B00FE3">
      <w:r>
        <w:separator/>
      </w:r>
    </w:p>
  </w:endnote>
  <w:endnote w:type="continuationSeparator" w:id="0">
    <w:p w14:paraId="615A5602" w14:textId="77777777" w:rsidR="00B00FE3" w:rsidRDefault="00B00FE3" w:rsidP="00B00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6497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8FE57" w14:textId="33288B9D" w:rsidR="00A51179" w:rsidRDefault="00A511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3EBD06" w14:textId="709FF005" w:rsidR="00B00FE3" w:rsidRDefault="00A51179" w:rsidP="00A51179">
    <w:pPr>
      <w:pStyle w:val="Footer"/>
      <w:jc w:val="right"/>
    </w:pPr>
    <w:r>
      <w:t>JUL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158C" w14:textId="77777777" w:rsidR="00B00FE3" w:rsidRDefault="00B00FE3" w:rsidP="00B00FE3">
      <w:r>
        <w:separator/>
      </w:r>
    </w:p>
  </w:footnote>
  <w:footnote w:type="continuationSeparator" w:id="0">
    <w:p w14:paraId="7B36303B" w14:textId="77777777" w:rsidR="00B00FE3" w:rsidRDefault="00B00FE3" w:rsidP="00B00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D0455"/>
    <w:multiLevelType w:val="hybridMultilevel"/>
    <w:tmpl w:val="606ECB94"/>
    <w:lvl w:ilvl="0" w:tplc="C19E49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490629BE"/>
    <w:multiLevelType w:val="hybridMultilevel"/>
    <w:tmpl w:val="12D2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A712F"/>
    <w:multiLevelType w:val="hybridMultilevel"/>
    <w:tmpl w:val="6D06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90553">
    <w:abstractNumId w:val="0"/>
  </w:num>
  <w:num w:numId="2" w16cid:durableId="610937640">
    <w:abstractNumId w:val="1"/>
  </w:num>
  <w:num w:numId="3" w16cid:durableId="1988435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98"/>
    <w:rsid w:val="0000795A"/>
    <w:rsid w:val="000706FA"/>
    <w:rsid w:val="000E160D"/>
    <w:rsid w:val="000E3190"/>
    <w:rsid w:val="001457B0"/>
    <w:rsid w:val="00182870"/>
    <w:rsid w:val="001934BB"/>
    <w:rsid w:val="00397817"/>
    <w:rsid w:val="004039D9"/>
    <w:rsid w:val="004B3C98"/>
    <w:rsid w:val="00524421"/>
    <w:rsid w:val="005D5A52"/>
    <w:rsid w:val="006955C5"/>
    <w:rsid w:val="006C16C3"/>
    <w:rsid w:val="0078734B"/>
    <w:rsid w:val="00794631"/>
    <w:rsid w:val="007A0A8E"/>
    <w:rsid w:val="0088615B"/>
    <w:rsid w:val="008C54E8"/>
    <w:rsid w:val="00902486"/>
    <w:rsid w:val="00951B05"/>
    <w:rsid w:val="009538EC"/>
    <w:rsid w:val="00953E40"/>
    <w:rsid w:val="009B59E5"/>
    <w:rsid w:val="00A51179"/>
    <w:rsid w:val="00A72280"/>
    <w:rsid w:val="00AD2770"/>
    <w:rsid w:val="00B00FE3"/>
    <w:rsid w:val="00B426A3"/>
    <w:rsid w:val="00B6563D"/>
    <w:rsid w:val="00C3249C"/>
    <w:rsid w:val="00D73E3C"/>
    <w:rsid w:val="00EE49E0"/>
    <w:rsid w:val="00F004C0"/>
    <w:rsid w:val="00F167FC"/>
    <w:rsid w:val="00F52644"/>
    <w:rsid w:val="00F94803"/>
    <w:rsid w:val="00FC65F9"/>
    <w:rsid w:val="00FD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95F3"/>
  <w15:chartTrackingRefBased/>
  <w15:docId w15:val="{845191AE-950D-476B-9885-19215B5A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98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4B3C98"/>
    <w:pPr>
      <w:widowControl w:val="0"/>
      <w:outlineLvl w:val="0"/>
    </w:pPr>
    <w:rPr>
      <w:rFonts w:eastAsia="Calibri" w:cstheme="minorBidi"/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B3C98"/>
    <w:rPr>
      <w:rFonts w:ascii="Calibri" w:eastAsia="Calibri" w:hAnsi="Calibri"/>
      <w:b/>
      <w:bCs/>
      <w:sz w:val="38"/>
      <w:szCs w:val="38"/>
    </w:rPr>
  </w:style>
  <w:style w:type="paragraph" w:styleId="BodyText">
    <w:name w:val="Body Text"/>
    <w:basedOn w:val="Normal"/>
    <w:link w:val="BodyTextChar"/>
    <w:uiPriority w:val="1"/>
    <w:unhideWhenUsed/>
    <w:rsid w:val="004B3C98"/>
    <w:pPr>
      <w:ind w:left="340"/>
    </w:pPr>
    <w:rPr>
      <w:rFonts w:ascii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3C98"/>
    <w:rPr>
      <w:rFonts w:ascii="Arial" w:hAnsi="Arial" w:cs="Arial"/>
      <w:b/>
      <w:bCs/>
      <w:sz w:val="24"/>
      <w:szCs w:val="24"/>
    </w:rPr>
  </w:style>
  <w:style w:type="paragraph" w:customStyle="1" w:styleId="xmsonormal">
    <w:name w:val="x_msonormal"/>
    <w:basedOn w:val="Normal"/>
    <w:rsid w:val="00D73E3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msobodytext">
    <w:name w:val="x_msobodytext"/>
    <w:basedOn w:val="Normal"/>
    <w:rsid w:val="00D73E3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D73E3C"/>
  </w:style>
  <w:style w:type="paragraph" w:styleId="ListParagraph">
    <w:name w:val="List Paragraph"/>
    <w:basedOn w:val="Normal"/>
    <w:uiPriority w:val="1"/>
    <w:qFormat/>
    <w:rsid w:val="00182870"/>
    <w:pPr>
      <w:widowControl w:val="0"/>
    </w:pPr>
    <w:rPr>
      <w:rFonts w:ascii="Arial" w:hAnsi="Arial" w:cstheme="minorBidi"/>
      <w:b/>
      <w:bCs/>
    </w:rPr>
  </w:style>
  <w:style w:type="paragraph" w:styleId="Revision">
    <w:name w:val="Revision"/>
    <w:hidden/>
    <w:uiPriority w:val="99"/>
    <w:semiHidden/>
    <w:rsid w:val="00B6563D"/>
    <w:pPr>
      <w:spacing w:after="0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526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2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2644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2644"/>
    <w:rPr>
      <w:rFonts w:ascii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0F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FE3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00F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FE3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7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45C357AFA4F2AC40A04FC1B6134C3F4D006957BF758469794F92206A0210052193" ma:contentTypeVersion="31" ma:contentTypeDescription="" ma:contentTypeScope="" ma:versionID="0ebed717523fe6bfafa243c54f96ff2b">
  <xsd:schema xmlns:xsd="http://www.w3.org/2001/XMLSchema" xmlns:xs="http://www.w3.org/2001/XMLSchema" xmlns:p="http://schemas.microsoft.com/office/2006/metadata/properties" xmlns:ns2="6f0dca26-8475-4487-a1fb-5d7999a02c4f" xmlns:ns3="404a8138-0b43-42cb-84ef-893c7e4d6a3a" xmlns:ns4="http://schemas.microsoft.com/sharepoint/v3/fields" targetNamespace="http://schemas.microsoft.com/office/2006/metadata/properties" ma:root="true" ma:fieldsID="dc5f4ddbc24ce310e588fa9cdecea8fd" ns2:_="" ns3:_="" ns4:_="">
    <xsd:import namespace="6f0dca26-8475-4487-a1fb-5d7999a02c4f"/>
    <xsd:import namespace="404a8138-0b43-42cb-84ef-893c7e4d6a3a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empateCategory"/>
                <xsd:element ref="ns2:PubDate" minOccurs="0"/>
                <xsd:element ref="ns3:Phase" minOccurs="0"/>
                <xsd:element ref="ns3:RegulatoryTag" minOccurs="0"/>
                <xsd:element ref="ns3:Retired" minOccurs="0"/>
                <xsd:element ref="ns3:Document_x0020_Type" minOccurs="0"/>
                <xsd:element ref="ns3:ArchiveTemplates" minOccurs="0"/>
                <xsd:element ref="ns2:SharedWithUsers" minOccurs="0"/>
                <xsd:element ref="ns2:SharedWithDetails" minOccurs="0"/>
                <xsd:element ref="ns3:linkBehavior" minOccurs="0"/>
                <xsd:element ref="ns4:_Status" minOccurs="0"/>
                <xsd:element ref="ns3:Move_x0020_to_x0020_Archiv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dca26-8475-4487-a1fb-5d7999a02c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empateCategory" ma:index="11" ma:displayName="Tempate Category" ma:format="Dropdown" ma:internalName="TempateCategory">
      <xsd:simpleType>
        <xsd:restriction base="dms:Choice">
          <xsd:enumeration value="Source Selection Evaluation and Decision Documents"/>
          <xsd:enumeration value="Negotiation Documents"/>
          <xsd:enumeration value="Source Selection Plans and Appointments"/>
          <xsd:enumeration value="Pre-Solicit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PubDate" ma:index="13" nillable="true" ma:displayName="PubDate" ma:format="DateOnly" ma:internalName="PubDate">
      <xsd:simpleType>
        <xsd:restriction base="dms:DateTime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a8138-0b43-42cb-84ef-893c7e4d6a3a" elementFormDefault="qualified">
    <xsd:import namespace="http://schemas.microsoft.com/office/2006/documentManagement/types"/>
    <xsd:import namespace="http://schemas.microsoft.com/office/infopath/2007/PartnerControls"/>
    <xsd:element name="Phase" ma:index="14" nillable="true" ma:displayName="Phase" ma:internalName="Pha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Requirements Development"/>
                    <xsd:enumeration value="Pre-Solicitation"/>
                    <xsd:enumeration value="Solicitation"/>
                    <xsd:enumeration value="Evaluation"/>
                    <xsd:enumeration value="Award"/>
                    <xsd:enumeration value="Post-Award"/>
                    <xsd:enumeration value="Ratifications"/>
                    <xsd:enumeration value="Other Transactions"/>
                    <xsd:enumeration value="Guidance"/>
                  </xsd:restriction>
                </xsd:simpleType>
              </xsd:element>
            </xsd:sequence>
          </xsd:extension>
        </xsd:complexContent>
      </xsd:complexType>
    </xsd:element>
    <xsd:element name="RegulatoryTag" ma:index="15" nillable="true" ma:displayName="RegulatoryTag" ma:internalName="RegulatoryTag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FAR 1.602-3"/>
                        <xsd:enumeration value="FAR 7.1"/>
                        <xsd:enumeration value="FAR 7.105"/>
                        <xsd:enumeration value="FAR 7.107-2"/>
                        <xsd:enumeration value="FAR 11.404(b)"/>
                        <xsd:enumeration value="FAR 13.5"/>
                        <xsd:enumeration value="FAR 15"/>
                        <xsd:enumeration value="FAR 15.406-3"/>
                        <xsd:enumeration value="FAR 15.503"/>
                        <xsd:enumeration value="FAR 16.5"/>
                        <xsd:enumeration value="FAR 16.601"/>
                        <xsd:enumeration value="FAR 17.207"/>
                        <xsd:enumeration value="FAR 17.502-2"/>
                        <xsd:enumeration value="FAR 17.700"/>
                        <xsd:enumeration value="FAR 19.302"/>
                        <xsd:enumeration value="FAR 19.804"/>
                        <xsd:enumeration value="FAR 2.101"/>
                        <xsd:enumeration value="FAR 3.104"/>
                        <xsd:enumeration value="FAR 37.205"/>
                        <xsd:enumeration value="FAR 37.203-204"/>
                        <xsd:enumeration value="FAR 49.402"/>
                        <xsd:enumeration value="FAR 49.601"/>
                        <xsd:enumeration value="FAR 5.202"/>
                        <xsd:enumeration value="FAR 6"/>
                        <xsd:enumeration value="FAR 7.401"/>
                        <xsd:enumeration value="FAR 8"/>
                        <xsd:enumeration value="FAR 9.105"/>
                        <xsd:enumeration value="FAR 9.104"/>
                        <xsd:enumeration value="DFARS 201.170"/>
                        <xsd:enumeration value="DFARS 201.602-2"/>
                        <xsd:enumeration value="DFARS 207.1"/>
                        <xsd:enumeration value="DFARS 207.105"/>
                        <xsd:enumeration value="DFARS 212.102"/>
                        <xsd:enumeration value="DFARS 215.303"/>
                        <xsd:enumeration value="DFARS 217.700"/>
                        <xsd:enumeration value="DFARS 239.101"/>
                        <xsd:enumeration value="DFARS PGI 201.170-3"/>
                        <xsd:enumeration value="DFARS PGI 215.406-3"/>
                        <xsd:enumeration value="PGI 201.602-2"/>
                        <xsd:enumeration value="PGI 102"/>
                        <xsd:enumeration value="10 USC Section 2371b"/>
                        <xsd:enumeration value="AFARS 5101.602-3"/>
                        <xsd:enumeration value="AFARS 5107.107-2"/>
                        <xsd:enumeration value="AFARS 5101.602-3-90"/>
                        <xsd:enumeration value="AFARS 5101.602-2-92"/>
                        <xsd:enumeration value="AFARS 5153.303-4"/>
                        <xsd:enumeration value="AFARS 5153.303-5"/>
                        <xsd:enumeration value="AFARS 5137.204"/>
                        <xsd:enumeration value="AFARS 5137.5"/>
                        <xsd:enumeration value="AFARS 5107.9101"/>
                        <xsd:enumeration value="AFARS 5107.1"/>
                        <xsd:enumeration value="AFARS 5101.170"/>
                        <xsd:enumeration value="AFARS 5101.170(b)"/>
                        <xsd:enumeration value="AFARS 5101.170(b)(v)"/>
                        <xsd:enumeration value="AFARS 5112.102"/>
                        <xsd:enumeration value="AFARS 5115.406"/>
                        <xsd:enumeration value="AFARS 5139.101"/>
                        <xsd:enumeration value="AFARS PGI 5101.170-1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etired" ma:index="16" nillable="true" ma:displayName="Retired" ma:default="Active" ma:format="Dropdown" ma:internalName="Retired">
      <xsd:simpleType>
        <xsd:restriction base="dms:Choice">
          <xsd:enumeration value="Active"/>
          <xsd:enumeration value="Retired (move to archive)"/>
        </xsd:restriction>
      </xsd:simpleType>
    </xsd:element>
    <xsd:element name="Document_x0020_Type" ma:index="17" nillable="true" ma:displayName="Document Type" ma:format="Dropdown" ma:internalName="Document_x0020_Type">
      <xsd:simpleType>
        <xsd:restriction base="dms:Choice">
          <xsd:enumeration value="Source Selection Evaluation and Decision Documents"/>
          <xsd:enumeration value="Pre-Solicitation Documents"/>
          <xsd:enumeration value="Negoti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ArchiveTemplates" ma:index="18" nillable="true" ma:displayName="ArchiveTemplates" ma:internalName="ArchiveTemplat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Behavior" ma:index="21" nillable="true" ma:displayName="linkBehavior" ma:default="Library Default" ma:format="Dropdown" ma:internalName="linkBehavior">
      <xsd:simpleType>
        <xsd:restriction base="dms:Choice">
          <xsd:enumeration value="Library Default"/>
          <xsd:enumeration value="Download"/>
          <xsd:enumeration value="Open in Browser"/>
        </xsd:restriction>
      </xsd:simpleType>
    </xsd:element>
    <xsd:element name="Move_x0020_to_x0020_Archives" ma:index="23" nillable="true" ma:displayName="Move to Archives" ma:internalName="Move_x0020_to_x0020_Archiv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2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12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4CA05-DEB0-4DA6-AEF3-476D12B87E48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0ED06C1-4961-4617-B48F-87DB04C7A0E5}"/>
</file>

<file path=customXml/itemProps3.xml><?xml version="1.0" encoding="utf-8"?>
<ds:datastoreItem xmlns:ds="http://schemas.openxmlformats.org/officeDocument/2006/customXml" ds:itemID="{07CE123A-08CC-4A4A-899D-EC1A9E3EE9F1}"/>
</file>

<file path=customXml/itemProps4.xml><?xml version="1.0" encoding="utf-8"?>
<ds:datastoreItem xmlns:ds="http://schemas.openxmlformats.org/officeDocument/2006/customXml" ds:itemID="{6A2BCEF8-2EE6-40C5-88CD-E7355ED2F9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Information Systems Agency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CSASAP Guidance</dc:title>
  <dc:subject/>
  <dc:creator>Williams, Harold E CIV USARMY HQDA ASA ALT (USA)</dc:creator>
  <cp:keywords/>
  <dc:description/>
  <cp:lastModifiedBy>Patricia</cp:lastModifiedBy>
  <cp:revision>5</cp:revision>
  <dcterms:created xsi:type="dcterms:W3CDTF">2023-08-01T17:54:00Z</dcterms:created>
  <dcterms:modified xsi:type="dcterms:W3CDTF">2023-08-01T19:13:00Z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0x01010028F9D108F5C0F24E9299268BAF4FC8B0</vt:lpwstr>
  </property>
  <property fmtid="{D5CDD505-2E9C-101B-9397-08002B2CF9AE}" pid="3" name="_dlc_DocIdItemGuid">
    <vt:lpwstr>55be3f6f-eaff-4bf3-88c8-9aef984f7287</vt:lpwstr>
  </property>
  <property fmtid="{D5CDD505-2E9C-101B-9397-08002B2CF9AE}" pid="4" name="Order">
    <vt:r8>23300</vt:r8>
  </property>
  <property fmtid="{D5CDD505-2E9C-101B-9397-08002B2CF9AE}" pid="5" name="Answer">
    <vt:lpwstr/>
  </property>
</Properties>
</file>