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nts/RobotoSlab-bold.ttf" ContentType="application/x-font-ttf"/>
  <Override PartName="/word/fonts/RobotoSlab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552825" cy="1897801"/>
            <wp:effectExtent b="0" l="0" r="0" t="0"/>
            <wp:docPr descr="Placeholder image" id="1" name="image2.png"/>
            <a:graphic>
              <a:graphicData uri="http://schemas.openxmlformats.org/drawingml/2006/picture">
                <pic:pic>
                  <pic:nvPicPr>
                    <pic:cNvPr descr="Placeholder image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8978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az97se5ul39q" w:id="0"/>
      <w:bookmarkEnd w:id="0"/>
      <w:r w:rsidDel="00000000" w:rsidR="00000000" w:rsidRPr="00000000">
        <w:rPr>
          <w:rtl w:val="0"/>
        </w:rPr>
        <w:t xml:space="preserve">Math – 1st Period</w:t>
      </w:r>
    </w:p>
    <w:p w:rsidR="00000000" w:rsidDel="00000000" w:rsidP="00000000" w:rsidRDefault="00000000" w:rsidRPr="00000000" w14:paraId="00000003">
      <w:pPr>
        <w:pStyle w:val="Sub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666666"/>
        </w:rPr>
      </w:pPr>
      <w:bookmarkStart w:colFirst="0" w:colLast="0" w:name="_ws7mb2zihyzt" w:id="1"/>
      <w:bookmarkEnd w:id="1"/>
      <w:r w:rsidDel="00000000" w:rsidR="00000000" w:rsidRPr="00000000">
        <w:rPr>
          <w:rtl w:val="0"/>
        </w:rPr>
        <w:t xml:space="preserve">Lesson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120" w:line="240" w:lineRule="auto"/>
        <w:jc w:val="center"/>
        <w:rPr>
          <w:rFonts w:ascii="Roboto Slab" w:cs="Roboto Slab" w:eastAsia="Roboto Slab" w:hAnsi="Roboto Slab"/>
          <w:color w:val="000000"/>
          <w:sz w:val="32"/>
          <w:szCs w:val="32"/>
        </w:rPr>
      </w:pPr>
      <w:r>
        <w:t>Teacher: Alex Rivera</w:t>
      </w:r>
    </w:p>
    <w:p w:rsidR="00000000" w:rsidDel="00000000" w:rsidP="00000000" w:rsidRDefault="00000000" w:rsidRPr="00000000" w14:paraId="0000000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120" w:line="240" w:lineRule="auto"/>
        <w:jc w:val="center"/>
        <w:rPr>
          <w:color w:val="0288d1"/>
        </w:rPr>
      </w:pPr>
      <w:r>
        <w:t>Date: December 18, 2025</w:t>
      </w:r>
    </w:p>
    <w:p w:rsidR="00000000" w:rsidDel="00000000" w:rsidP="00000000" w:rsidRDefault="00000000" w:rsidRPr="00000000" w14:paraId="00000006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29aed"/>
        </w:rPr>
      </w:pPr>
      <w:bookmarkStart w:colFirst="0" w:colLast="0" w:name="_yatuiomnjwdy" w:id="2"/>
      <w:bookmarkEnd w:id="2"/>
      <w:r w:rsidDel="00000000" w:rsidR="00000000" w:rsidRPr="00000000">
        <w:rPr>
          <w:rtl w:val="0"/>
        </w:rPr>
        <w:t xml:space="preserve">Overview &amp; Purpose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00"/>
        </w:rPr>
      </w:pPr>
      <w:r>
        <w:t>Students will build conceptual understanding of unit fractions (1/n) as equal parts of a whole using manipulatives and real-life contexts. The lesson connects area models and number lines to support transfer across representations.</w:t>
      </w:r>
    </w:p>
    <w:p w:rsidR="00000000" w:rsidDel="00000000" w:rsidP="00000000" w:rsidRDefault="00000000" w:rsidRPr="00000000" w14:paraId="00000008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5s33of7u91i6" w:id="3"/>
      <w:bookmarkEnd w:id="3"/>
      <w:r w:rsidDel="00000000" w:rsidR="00000000" w:rsidRPr="00000000">
        <w:rPr>
          <w:rtl w:val="0"/>
        </w:rPr>
        <w:t xml:space="preserve">Education Standards</w:t>
      </w:r>
    </w:p>
    <w:p>
      <w:r>
        <w:t>• CCSS.MATH.PRACTICE.MP4: Model with mathematics.</w:t>
      </w:r>
    </w:p>
    <w:p>
      <w:r>
        <w:t>• CCSS.MATH.PRACTICE.MP1: Make sense of problems and persevere in solving them.</w:t>
      </w:r>
    </w:p>
    <w:p w:rsidR="00000000" w:rsidDel="00000000" w:rsidP="00000000" w:rsidRDefault="00000000" w:rsidRPr="00000000" w14:paraId="00000009">
      <w:pPr>
        <w:pageBreakBefore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200" w:lineRule="auto"/>
        <w:ind w:left="720" w:hanging="360"/>
      </w:pPr>
      <w:r>
        <w:t>CCSS.MATH.CONTENT.3.NF.A.1: Understand a fraction 1/b as one part when a whole is partitioned into b equal parts; understand a fraction a/b as a parts of size 1/b.</w:t>
      </w:r>
    </w:p>
    <w:p w:rsidR="00000000" w:rsidDel="00000000" w:rsidP="00000000" w:rsidRDefault="00000000" w:rsidRPr="00000000" w14:paraId="0000000C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qd1ku6pizov2" w:id="4"/>
      <w:bookmarkEnd w:id="4"/>
      <w:r w:rsidDel="00000000" w:rsidR="00000000" w:rsidRPr="00000000">
        <w:rPr>
          <w:rtl w:val="0"/>
        </w:rPr>
        <w:t xml:space="preserve">Objectives</w:t>
      </w:r>
    </w:p>
    <w:p>
      <w:r>
        <w:t>• Explain why equal parts must be the same size to form equal fractions.</w:t>
      </w:r>
    </w:p>
    <w:p>
      <w:r>
        <w:t>• Represent unit fractions with area models and on number lines.</w:t>
      </w:r>
    </w:p>
    <w:p w:rsidR="00000000" w:rsidDel="00000000" w:rsidP="00000000" w:rsidRDefault="00000000" w:rsidRPr="00000000" w14:paraId="0000000D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200" w:lineRule="auto"/>
        <w:ind w:left="720" w:hanging="360"/>
        <w:rPr/>
      </w:pPr>
      <w:r>
        <w:t>Define a unit fraction as 1 part of a whole partitioned into n equal parts.</w:t>
      </w:r>
    </w:p>
    <w:p w:rsidR="00000000" w:rsidDel="00000000" w:rsidP="00000000" w:rsidRDefault="00000000" w:rsidRPr="00000000" w14:paraId="00000010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vi67xmikl1i8" w:id="5"/>
      <w:bookmarkEnd w:id="5"/>
      <w:r w:rsidDel="00000000" w:rsidR="00000000" w:rsidRPr="00000000">
        <w:rPr>
          <w:rtl w:val="0"/>
        </w:rPr>
        <w:t xml:space="preserve">Materials Needed</w:t>
      </w:r>
    </w:p>
    <w:p>
      <w:r>
        <w:t>• Projector/slides</w:t>
      </w:r>
    </w:p>
    <w:p>
      <w:r>
        <w:t>• Whiteboards and dry-erase markers</w:t>
      </w:r>
    </w:p>
    <w:p>
      <w:r>
        <w:t>• Number line handout (0–1, tick marks by eighths)</w:t>
      </w:r>
    </w:p>
    <w:p>
      <w:r>
        <w:t>• Exit ticket (3 items): (1) Partition a rectangle into 4 equal parts and shade 1/4. (2) Mark 1/4 and 3/4 on a 0–1 number line. (3) In one sentence, state the rule about equal-sized parts. Collect and sort by correct/partial/needs support.</w:t>
      </w:r>
    </w:p>
    <w:p>
      <w:r>
        <w:t>• Turn-and-talk: Partners explain why 1/3 is less than 1/2 using area models; teacher circulates with a 3-point checklist (uses vocabulary; references equal parts; compares sizes correctly).</w:t>
      </w:r>
    </w:p>
    <w:p>
      <w:r>
        <w:t>Whiteboard quick checks: Students write the name and symbol of a shown unit fraction (e.g., one-fourth, 1/4) and hold up. Teacher scans for 80%+ accuracy.</w:t>
      </w:r>
    </w:p>
    <w:p w:rsidR="00000000" w:rsidDel="00000000" w:rsidP="00000000" w:rsidRDefault="00000000" w:rsidRPr="00000000" w14:paraId="00000015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Vivamus ultrices eros nec lectus interdum condimentum.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ind w:left="720" w:hanging="360"/>
      </w:pPr>
      <w:r w:rsidDel="00000000" w:rsidR="00000000" w:rsidRPr="00000000">
        <w:rPr>
          <w:rtl w:val="0"/>
        </w:rPr>
        <w:t xml:space="preserve">Cras vel felis a leo pretium pulvinar.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ind w:left="720" w:hanging="360"/>
      </w:pPr>
      <w:r w:rsidDel="00000000" w:rsidR="00000000" w:rsidRPr="00000000">
        <w:rPr>
          <w:rtl w:val="0"/>
        </w:rPr>
        <w:t xml:space="preserve">Curabitur tincidunt elementum ante</w:t>
      </w:r>
    </w:p>
    <w:p w:rsidR="00000000" w:rsidDel="00000000" w:rsidP="00000000" w:rsidRDefault="00000000" w:rsidRPr="00000000" w14:paraId="00000018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5yyh8t4mddto" w:id="7"/>
      <w:bookmarkEnd w:id="7"/>
      <w:r w:rsidDel="00000000" w:rsidR="00000000" w:rsidRPr="00000000">
        <w:rPr>
          <w:rtl w:val="0"/>
        </w:rPr>
        <w:t xml:space="preserve">Activity</w:t>
      </w:r>
    </w:p>
    <w:p w:rsidR="00000000" w:rsidDel="00000000" w:rsidP="00000000" w:rsidRDefault="00000000" w:rsidRPr="00000000" w14:paraId="0000001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i w:val="1"/>
          <w:iCs w:val="1"/>
          <w:color w:val="666666"/>
        </w:rPr>
      </w:pPr>
      <w:r w:rsidDel="00000000" w:rsidR="00000000" w:rsidRPr="00000000">
        <w:rPr>
          <w:i w:val="1"/>
          <w:iCs w:val="1"/>
          <w:color w:val="666666"/>
          <w:rtl w:val="0"/>
        </w:rPr>
        <w:t xml:space="preserve">Describe activity that will reinforce the lesson</w:t>
      </w:r>
    </w:p>
    <w:p w:rsidR="00000000" w:rsidDel="00000000" w:rsidP="00000000" w:rsidRDefault="00000000" w:rsidRPr="00000000" w14:paraId="0000001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>
        <w:t>Mini-lesson modeling partitions with fraction strips; guided practice building 1/2, 1/3, and 1/4; students place these on number lines; brief share-out where students justify which unit fraction is largest/smallest and why.</w:t>
      </w:r>
    </w:p>
    <w:p w:rsidR="00000000" w:rsidDel="00000000" w:rsidP="00000000" w:rsidRDefault="00000000" w:rsidRPr="00000000" w14:paraId="0000001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600" w:lineRule="auto"/>
        <w:jc w:val="center"/>
        <w:rPr/>
      </w:pPr>
      <w:r>
        <w:t>Mini-lesson modeling partitions with fraction strips; guided practice building 1/2, 1/3, and 1/4; students place these on number lines; brief share-out where students justify which unit fraction is largest/smallest and why.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5840" w:w="12240" w:orient="portrait"/>
      <w:pgMar w:bottom="1080" w:top="1080" w:left="1440" w:right="1440" w:header="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Roboto Slab">
    <w:embedRegular w:fontKey="{00000000-0000-0000-0000-000000000000}" r:id="rId1" w:subsetted="0"/>
    <w:embedBold w:fontKey="{00000000-0000-0000-0000-000000000000}" r:id="rId2" w:subsetted="0"/>
  </w:font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ind w:hanging="15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ind w:hanging="15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600" w:lineRule="auto"/>
      <w:ind w:hanging="15"/>
      <w:jc w:val="right"/>
      <w:rPr>
        <w:rFonts w:ascii="Roboto Slab" w:cs="Roboto Slab" w:eastAsia="Roboto Slab" w:hAnsi="Roboto Slab"/>
        <w:b w:val="1"/>
        <w:bCs w:val="1"/>
        <w:color w:val="ee0000"/>
      </w:rPr>
    </w:pPr>
    <w:r w:rsidDel="00000000" w:rsidR="00000000" w:rsidRPr="00000000">
      <w:rPr>
        <w:rFonts w:ascii="Roboto Slab" w:cs="Roboto Slab" w:eastAsia="Roboto Slab" w:hAnsi="Roboto Slab"/>
        <w:b w:val="1"/>
        <w:bCs w:val="1"/>
        <w:color w:val="ee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ind w:hanging="15"/>
      <w:rPr/>
    </w:pPr>
    <w:r w:rsidDel="00000000" w:rsidR="00000000" w:rsidRPr="00000000">
      <w:rPr/>
      <w:drawing>
        <wp:inline distB="114300" distT="114300" distL="114300" distR="114300">
          <wp:extent cx="5943600" cy="50800"/>
          <wp:effectExtent b="0" l="0" r="0" t="0"/>
          <wp:docPr descr="horizontal line" id="2" name="image1.png"/>
          <a:graphic>
            <a:graphicData uri="http://schemas.openxmlformats.org/drawingml/2006/picture">
              <pic:pic>
                <pic:nvPicPr>
                  <pic:cNvPr descr="horizontal lin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943600" cy="508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Rule="auto"/>
      <w:jc w:val="right"/>
      <w:rPr>
        <w:rFonts w:ascii="Roboto Slab" w:cs="Roboto Slab" w:eastAsia="Roboto Slab" w:hAnsi="Roboto Slab"/>
        <w:color w:val="ee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sz w:val="24"/>
        <w:szCs w:val="24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lineRule="auto"/>
    </w:pPr>
    <w:rPr>
      <w:rFonts w:ascii="Roboto Slab" w:cs="Roboto Slab" w:eastAsia="Roboto Slab" w:hAnsi="Roboto Slab"/>
      <w:b w:val="1"/>
      <w:bCs w:val="1"/>
      <w:color w:val="63a600"/>
      <w:sz w:val="36"/>
      <w:szCs w:val="36"/>
    </w:rPr>
  </w:style>
  <w:style w:type="paragraph" w:styleId="Heading2">
    <w:name w:val="heading 2"/>
    <w:basedOn w:val="Normal"/>
    <w:next w:val="Normal"/>
    <w:pPr>
      <w:pageBreakBefore w:val="0"/>
      <w:spacing w:before="120" w:line="240" w:lineRule="auto"/>
    </w:pPr>
    <w:rPr>
      <w:rFonts w:ascii="Roboto Slab" w:cs="Roboto Slab" w:eastAsia="Roboto Slab" w:hAnsi="Roboto Slab"/>
      <w:color w:val="029aed"/>
      <w:sz w:val="32"/>
      <w:szCs w:val="32"/>
    </w:rPr>
  </w:style>
  <w:style w:type="paragraph" w:styleId="Heading3">
    <w:name w:val="heading 3"/>
    <w:basedOn w:val="Normal"/>
    <w:next w:val="Normal"/>
    <w:pPr>
      <w:pageBreakBefore w:val="0"/>
    </w:pPr>
    <w:rPr>
      <w:rFonts w:ascii="Roboto Slab" w:cs="Roboto Slab" w:eastAsia="Roboto Slab" w:hAnsi="Roboto Slab"/>
      <w:color w:val="ff5722"/>
      <w:sz w:val="32"/>
      <w:szCs w:val="3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before="320" w:line="240" w:lineRule="auto"/>
      <w:ind w:hanging="15"/>
      <w:jc w:val="center"/>
    </w:pPr>
    <w:rPr>
      <w:rFonts w:ascii="Roboto Slab" w:cs="Roboto Slab" w:eastAsia="Roboto Slab" w:hAnsi="Roboto Slab"/>
      <w:b w:val="1"/>
      <w:bCs w:val="1"/>
      <w:color w:val="ff572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after="400" w:before="400" w:lineRule="auto"/>
      <w:jc w:val="center"/>
    </w:pPr>
    <w:rPr>
      <w:i w:val="1"/>
      <w:iCs w:val="1"/>
      <w:color w:val="666666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Slab-regular.ttf"/><Relationship Id="rId2" Type="http://schemas.openxmlformats.org/officeDocument/2006/relationships/font" Target="fonts/RobotoSlab-bold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5" Type="http://schemas.openxmlformats.org/officeDocument/2006/relationships/font" Target="fonts/Roboto-italic.ttf"/><Relationship Id="rId6" Type="http://schemas.openxmlformats.org/officeDocument/2006/relationships/font" Target="fonts/Roboto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