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KPI Operations Management System</w:t>
      </w:r>
    </w:p>
    <w:p>
      <w:pPr>
        <w:pStyle w:val="Heading2"/>
      </w:pPr>
      <w:r>
        <w:t>System Capability and Standards Review Dossier</w:t>
      </w:r>
    </w:p>
    <w:p>
      <w:r>
        <w:rPr>
          <w:b/>
        </w:rPr>
        <w:t>Document number:</w:t>
      </w:r>
      <w:r>
        <w:rPr>
          <w:b w:val="0"/>
        </w:rPr>
        <w:t xml:space="preserve"> KPI-SYS-STD-001</w:t>
      </w:r>
    </w:p>
    <w:p>
      <w:r>
        <w:rPr>
          <w:b/>
        </w:rPr>
        <w:t>Version:</w:t>
      </w:r>
      <w:r>
        <w:rPr>
          <w:b w:val="0"/>
        </w:rPr>
        <w:t xml:space="preserve"> 1.0</w:t>
      </w:r>
    </w:p>
    <w:p>
      <w:r>
        <w:rPr>
          <w:b/>
        </w:rPr>
        <w:t>Review date:</w:t>
      </w:r>
      <w:r>
        <w:rPr>
          <w:b w:val="0"/>
        </w:rPr>
        <w:t xml:space="preserve"> 7 September 2026</w:t>
      </w:r>
    </w:p>
    <w:p>
      <w:r>
        <w:rPr>
          <w:b/>
        </w:rPr>
        <w:t>System owner:</w:t>
      </w:r>
      <w:r>
        <w:rPr>
          <w:b w:val="0"/>
        </w:rPr>
        <w:t xml:space="preserve"> Kampala Pharmaceutical Industries</w:t>
      </w:r>
    </w:p>
    <w:p>
      <w:r>
        <w:rPr>
          <w:b/>
        </w:rPr>
        <w:t>Document status:</w:t>
      </w:r>
      <w:r>
        <w:rPr>
          <w:b w:val="0"/>
        </w:rPr>
        <w:t xml:space="preserve"> Draft for QA, IT and Regulatory review</w:t>
      </w:r>
    </w:p>
    <w:p>
      <w:pPr>
        <w:pStyle w:val="IntenseQuote"/>
      </w:pPr>
      <w:r>
        <w:t>This dossier describes the capabilities visible in the application source code and configuration. It is not, by itself, proof of GMP, 21 CFR Part 11, EU GMP Annex 11 or any other regulatory compliance. Compliance claims require approved procedures, validated infrastructure, executed tests, training records, signed deviations and QA release.</w:t>
      </w:r>
    </w:p>
    <w:p>
      <w:pPr>
        <w:pStyle w:val="Heading2"/>
      </w:pPr>
      <w:r>
        <w:t>1. Executive summary</w:t>
      </w:r>
    </w:p>
    <w:p>
      <w:r>
        <w:rPr>
          <w:b w:val="0"/>
        </w:rPr>
        <w:t>The KPI Operations Management System is a Django web application for electronic batch manufacturing records, production workflow control, quality activities, material traceability, finished-goods control, maintenance breakdowns and quality-system records.</w:t>
      </w:r>
    </w:p>
    <w:p>
      <w:r>
        <w:rPr>
          <w:b w:val="0"/>
        </w:rPr>
        <w:t>The system supports three main manufacturing families: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F4E78"/>
          </w:tcPr>
          <w:p>
            <w:r/>
            <w:r>
              <w:rPr>
                <w:b/>
                <w:color w:val="FFFFFF"/>
              </w:rPr>
              <w:t>Product family</w:t>
            </w:r>
          </w:p>
        </w:tc>
        <w:tc>
          <w:tcPr>
            <w:tcW w:type="dxa" w:w="3360"/>
            <w:vAlign w:val="center"/>
            <w:shd w:fill="1F4E78"/>
          </w:tcPr>
          <w:p>
            <w:r/>
            <w:r>
              <w:rPr>
                <w:b/>
                <w:color w:val="FFFFFF"/>
              </w:rPr>
              <w:t>Variant</w:t>
            </w:r>
          </w:p>
        </w:tc>
        <w:tc>
          <w:tcPr>
            <w:tcW w:type="dxa" w:w="3360"/>
            <w:vAlign w:val="center"/>
            <w:shd w:fill="1F4E78"/>
          </w:tcPr>
          <w:p>
            <w:r/>
            <w:r>
              <w:rPr>
                <w:b/>
                <w:color w:val="FFFFFF"/>
              </w:rPr>
              <w:t>Intended packing route</w:t>
            </w:r>
          </w:p>
        </w:tc>
      </w:tr>
      <w:tr>
        <w:tc>
          <w:tcPr>
            <w:tcW w:type="dxa" w:w="3360"/>
            <w:vAlign w:val="center"/>
          </w:tcPr>
          <w:p>
            <w:r/>
            <w:r>
              <w:rPr>
                <w:b w:val="0"/>
              </w:rPr>
              <w:t>Tablet</w:t>
            </w:r>
          </w:p>
        </w:tc>
        <w:tc>
          <w:tcPr>
            <w:tcW w:type="dxa" w:w="3360"/>
            <w:vAlign w:val="center"/>
          </w:tcPr>
          <w:p>
            <w:r/>
            <w:r>
              <w:rPr>
                <w:b w:val="0"/>
              </w:rPr>
              <w:t>Normal</w:t>
            </w:r>
          </w:p>
        </w:tc>
        <w:tc>
          <w:tcPr>
            <w:tcW w:type="dxa" w:w="3360"/>
            <w:vAlign w:val="center"/>
          </w:tcPr>
          <w:p>
            <w:r/>
            <w:r>
              <w:rPr>
                <w:b w:val="0"/>
              </w:rPr>
              <w:t>Blister packing</w:t>
            </w:r>
          </w:p>
        </w:tc>
      </w:tr>
      <w:tr>
        <w:tc>
          <w:tcPr>
            <w:tcW w:type="dxa" w:w="3360"/>
            <w:vAlign w:val="center"/>
          </w:tcPr>
          <w:p>
            <w:r/>
            <w:r>
              <w:rPr>
                <w:b w:val="0"/>
              </w:rPr>
              <w:t>Tablet</w:t>
            </w:r>
          </w:p>
        </w:tc>
        <w:tc>
          <w:tcPr>
            <w:tcW w:type="dxa" w:w="3360"/>
            <w:vAlign w:val="center"/>
          </w:tcPr>
          <w:p>
            <w:r/>
            <w:r>
              <w:rPr>
                <w:b w:val="0"/>
              </w:rPr>
              <w:t>Type 2</w:t>
            </w:r>
          </w:p>
        </w:tc>
        <w:tc>
          <w:tcPr>
            <w:tcW w:type="dxa" w:w="3360"/>
            <w:vAlign w:val="center"/>
          </w:tcPr>
          <w:p>
            <w:r/>
            <w:r>
              <w:rPr>
                <w:b w:val="0"/>
              </w:rPr>
              <w:t>Bulk packing</w:t>
            </w:r>
          </w:p>
        </w:tc>
      </w:tr>
      <w:tr>
        <w:tc>
          <w:tcPr>
            <w:tcW w:type="dxa" w:w="3360"/>
            <w:vAlign w:val="center"/>
          </w:tcPr>
          <w:p>
            <w:r/>
            <w:r>
              <w:rPr>
                <w:b w:val="0"/>
              </w:rPr>
              <w:t>Capsule</w:t>
            </w:r>
          </w:p>
        </w:tc>
        <w:tc>
          <w:tcPr>
            <w:tcW w:type="dxa" w:w="3360"/>
            <w:vAlign w:val="center"/>
          </w:tcPr>
          <w:p>
            <w:r/>
            <w:r>
              <w:rPr>
                <w:b w:val="0"/>
              </w:rPr>
              <w:t>Normal</w:t>
            </w:r>
          </w:p>
        </w:tc>
        <w:tc>
          <w:tcPr>
            <w:tcW w:type="dxa" w:w="3360"/>
            <w:vAlign w:val="center"/>
          </w:tcPr>
          <w:p>
            <w:r/>
            <w:r>
              <w:rPr>
                <w:b w:val="0"/>
              </w:rPr>
              <w:t>Blister packing</w:t>
            </w:r>
          </w:p>
        </w:tc>
      </w:tr>
      <w:tr>
        <w:tc>
          <w:tcPr>
            <w:tcW w:type="dxa" w:w="3360"/>
            <w:vAlign w:val="center"/>
          </w:tcPr>
          <w:p>
            <w:r/>
            <w:r>
              <w:rPr>
                <w:b w:val="0"/>
              </w:rPr>
              <w:t>Capsule</w:t>
            </w:r>
          </w:p>
        </w:tc>
        <w:tc>
          <w:tcPr>
            <w:tcW w:type="dxa" w:w="3360"/>
            <w:vAlign w:val="center"/>
          </w:tcPr>
          <w:p>
            <w:r/>
            <w:r>
              <w:rPr>
                <w:b w:val="0"/>
              </w:rPr>
              <w:t>UG</w:t>
            </w:r>
          </w:p>
        </w:tc>
        <w:tc>
          <w:tcPr>
            <w:tcW w:type="dxa" w:w="3360"/>
            <w:vAlign w:val="center"/>
          </w:tcPr>
          <w:p>
            <w:r/>
            <w:r>
              <w:rPr>
                <w:b w:val="0"/>
              </w:rPr>
              <w:t>Bulk packing</w:t>
            </w:r>
          </w:p>
        </w:tc>
      </w:tr>
      <w:tr>
        <w:tc>
          <w:tcPr>
            <w:tcW w:type="dxa" w:w="3360"/>
            <w:vAlign w:val="center"/>
          </w:tcPr>
          <w:p>
            <w:r/>
            <w:r>
              <w:rPr>
                <w:b w:val="0"/>
              </w:rPr>
              <w:t>Ointment</w:t>
            </w:r>
          </w:p>
        </w:tc>
        <w:tc>
          <w:tcPr>
            <w:tcW w:type="dxa" w:w="3360"/>
            <w:vAlign w:val="center"/>
          </w:tcPr>
          <w:p>
            <w:r/>
            <w:r>
              <w:rPr>
                <w:b w:val="0"/>
              </w:rPr>
              <w:t>Not variant-specific</w:t>
            </w:r>
          </w:p>
        </w:tc>
        <w:tc>
          <w:tcPr>
            <w:tcW w:type="dxa" w:w="3360"/>
            <w:vAlign w:val="center"/>
          </w:tcPr>
          <w:p>
            <w:r/>
            <w:r>
              <w:rPr>
                <w:b w:val="0"/>
              </w:rPr>
              <w:t>Tube filling and secondary packaging</w:t>
            </w:r>
          </w:p>
        </w:tc>
      </w:tr>
    </w:tbl>
    <w:p/>
    <w:p>
      <w:r>
        <w:rPr>
          <w:b w:val="0"/>
        </w:rPr>
        <w:t xml:space="preserve">The core application is functionally broad. However, the repository itself shows that formal validation execution is still required. The system should therefore be presented for standards review as </w:t>
      </w:r>
      <w:r>
        <w:rPr>
          <w:b/>
        </w:rPr>
        <w:t>implemented software pending controlled validation</w:t>
      </w:r>
      <w:r>
        <w:rPr>
          <w:b w:val="0"/>
        </w:rPr>
        <w:t>, not as automatically compliant software.</w:t>
      </w:r>
    </w:p>
    <w:p>
      <w:pPr>
        <w:pStyle w:val="Heading2"/>
      </w:pPr>
      <w:r>
        <w:t>2. Scope</w:t>
      </w:r>
    </w:p>
    <w:p>
      <w:pPr>
        <w:pStyle w:val="Heading3"/>
      </w:pPr>
      <w:r>
        <w:t>Included</w:t>
      </w:r>
    </w:p>
    <w:p>
      <w:pPr>
        <w:pStyle w:val="ListBullet"/>
      </w:pPr>
      <w:r>
        <w:t>User authentication, roles and dashboards</w:t>
      </w:r>
    </w:p>
    <w:p>
      <w:pPr>
        <w:pStyle w:val="ListBullet"/>
      </w:pPr>
      <w:r>
        <w:t>BMR creation, approval, production and closure</w:t>
      </w:r>
    </w:p>
    <w:p>
      <w:pPr>
        <w:pStyle w:val="ListBullet"/>
      </w:pPr>
      <w:r>
        <w:t>Product-specific workflow phases</w:t>
      </w:r>
    </w:p>
    <w:p>
      <w:pPr>
        <w:pStyle w:val="ListBullet"/>
      </w:pPr>
      <w:r>
        <w:t>Material release and dispensing</w:t>
      </w:r>
    </w:p>
    <w:p>
      <w:pPr>
        <w:pStyle w:val="ListBullet"/>
      </w:pPr>
      <w:r>
        <w:t>Manufacturing and packaging records</w:t>
      </w:r>
    </w:p>
    <w:p>
      <w:pPr>
        <w:pStyle w:val="ListBullet"/>
      </w:pPr>
      <w:r>
        <w:t>Line clearance and QA signing gates</w:t>
      </w:r>
    </w:p>
    <w:p>
      <w:pPr>
        <w:pStyle w:val="ListBullet"/>
      </w:pPr>
      <w:r>
        <w:t>QC checkpoints, quarantine and release decisions</w:t>
      </w:r>
    </w:p>
    <w:p>
      <w:pPr>
        <w:pStyle w:val="ListBullet"/>
      </w:pPr>
      <w:r>
        <w:t>Finished-goods storage and release records</w:t>
      </w:r>
    </w:p>
    <w:p>
      <w:pPr>
        <w:pStyle w:val="ListBullet"/>
      </w:pPr>
      <w:r>
        <w:t>Maintenance breakdown recording and notifications</w:t>
      </w:r>
    </w:p>
    <w:p>
      <w:pPr>
        <w:pStyle w:val="ListBullet"/>
      </w:pPr>
      <w:r>
        <w:t>QMS records including documents, deviations, CAPA, audits, risks, calibration and training</w:t>
      </w:r>
    </w:p>
    <w:p>
      <w:pPr>
        <w:pStyle w:val="ListBullet"/>
      </w:pPr>
      <w:r>
        <w:t>Reports, analytics, notifications and activity tracking</w:t>
      </w:r>
    </w:p>
    <w:p>
      <w:pPr>
        <w:pStyle w:val="Heading3"/>
      </w:pPr>
      <w:r>
        <w:t>Not established by this document</w:t>
      </w:r>
    </w:p>
    <w:p>
      <w:pPr>
        <w:pStyle w:val="ListBullet"/>
      </w:pPr>
      <w:r>
        <w:t>Regulatory approval of the software</w:t>
      </w:r>
    </w:p>
    <w:p>
      <w:pPr>
        <w:pStyle w:val="ListBullet"/>
      </w:pPr>
      <w:r>
        <w:t>Validation of the production installation</w:t>
      </w:r>
    </w:p>
    <w:p>
      <w:pPr>
        <w:pStyle w:val="ListBullet"/>
      </w:pPr>
      <w:r>
        <w:t>Proof that every configured workflow is correct for every product</w:t>
      </w:r>
    </w:p>
    <w:p>
      <w:pPr>
        <w:pStyle w:val="ListBullet"/>
      </w:pPr>
      <w:r>
        <w:t>Proof that backups, disaster recovery, access reviews or electronic signatures meet company SOPs</w:t>
      </w:r>
    </w:p>
    <w:p>
      <w:pPr>
        <w:pStyle w:val="ListBullet"/>
      </w:pPr>
      <w:r>
        <w:t>Proof of performance under the intended production load</w:t>
      </w:r>
    </w:p>
    <w:p>
      <w:pPr>
        <w:pStyle w:val="Heading2"/>
      </w:pPr>
      <w:r>
        <w:t>3. Technical architecture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F4E78"/>
          </w:tcPr>
          <w:p>
            <w:r/>
            <w:r>
              <w:rPr>
                <w:b/>
                <w:color w:val="FFFFFF"/>
              </w:rPr>
              <w:t>Area</w:t>
            </w:r>
          </w:p>
        </w:tc>
        <w:tc>
          <w:tcPr>
            <w:tcW w:type="dxa" w:w="3360"/>
            <w:vAlign w:val="center"/>
            <w:shd w:fill="1F4E78"/>
          </w:tcPr>
          <w:p>
            <w:r/>
            <w:r>
              <w:rPr>
                <w:b/>
                <w:color w:val="FFFFFF"/>
              </w:rPr>
              <w:t>Implemented capability</w:t>
            </w:r>
          </w:p>
        </w:tc>
        <w:tc>
          <w:tcPr>
            <w:tcW w:type="dxa" w:w="3360"/>
            <w:vAlign w:val="center"/>
            <w:shd w:fill="1F4E78"/>
          </w:tcPr>
          <w:p>
            <w:r/>
            <w:r>
              <w:rPr>
                <w:b/>
                <w:color w:val="FFFFFF"/>
              </w:rPr>
              <w:t>Review status</w:t>
            </w:r>
          </w:p>
        </w:tc>
      </w:tr>
      <w:tr>
        <w:tc>
          <w:tcPr>
            <w:tcW w:type="dxa" w:w="3360"/>
            <w:vAlign w:val="center"/>
          </w:tcPr>
          <w:p>
            <w:r/>
            <w:r>
              <w:rPr>
                <w:b w:val="0"/>
              </w:rPr>
              <w:t>Application</w:t>
            </w:r>
          </w:p>
        </w:tc>
        <w:tc>
          <w:tcPr>
            <w:tcW w:type="dxa" w:w="3360"/>
            <w:vAlign w:val="center"/>
          </w:tcPr>
          <w:p>
            <w:r/>
            <w:r>
              <w:rPr>
                <w:b w:val="0"/>
              </w:rPr>
              <w:t>Django web application with separate accounts, BMR, workflow, dashboards, products, reports, quarantine and finished-goods modules</w:t>
            </w:r>
          </w:p>
        </w:tc>
        <w:tc>
          <w:tcPr>
            <w:tcW w:type="dxa" w:w="3360"/>
            <w:vAlign w:val="center"/>
          </w:tcPr>
          <w:p>
            <w:r/>
            <w:r>
              <w:rPr>
                <w:b w:val="0"/>
              </w:rPr>
              <w:t>Implemented</w:t>
            </w:r>
          </w:p>
        </w:tc>
      </w:tr>
      <w:tr>
        <w:tc>
          <w:tcPr>
            <w:tcW w:type="dxa" w:w="3360"/>
            <w:vAlign w:val="center"/>
          </w:tcPr>
          <w:p>
            <w:r/>
            <w:r>
              <w:rPr>
                <w:b w:val="0"/>
              </w:rPr>
              <w:t>Database</w:t>
            </w:r>
          </w:p>
        </w:tc>
        <w:tc>
          <w:tcPr>
            <w:tcW w:type="dxa" w:w="3360"/>
            <w:vAlign w:val="center"/>
          </w:tcPr>
          <w:p>
            <w:r/>
            <w:r>
              <w:rPr>
                <w:b w:val="0"/>
              </w:rPr>
              <w:t>Django ORM with migrations; SQLite exists for development/testing</w:t>
            </w:r>
          </w:p>
        </w:tc>
        <w:tc>
          <w:tcPr>
            <w:tcW w:type="dxa" w:w="3360"/>
            <w:vAlign w:val="center"/>
          </w:tcPr>
          <w:p>
            <w:r/>
            <w:r>
              <w:rPr>
                <w:b w:val="0"/>
              </w:rPr>
              <w:t>Implemented; production database must be approved</w:t>
            </w:r>
          </w:p>
        </w:tc>
      </w:tr>
      <w:tr>
        <w:tc>
          <w:tcPr>
            <w:tcW w:type="dxa" w:w="3360"/>
            <w:vAlign w:val="center"/>
          </w:tcPr>
          <w:p>
            <w:r/>
            <w:r>
              <w:rPr>
                <w:b w:val="0"/>
              </w:rPr>
              <w:t>API</w:t>
            </w:r>
          </w:p>
        </w:tc>
        <w:tc>
          <w:tcPr>
            <w:tcW w:type="dxa" w:w="3360"/>
            <w:vAlign w:val="center"/>
          </w:tcPr>
          <w:p>
            <w:r/>
            <w:r>
              <w:rPr>
                <w:b w:val="0"/>
              </w:rPr>
              <w:t>Django REST Framework components are present</w:t>
            </w:r>
          </w:p>
        </w:tc>
        <w:tc>
          <w:tcPr>
            <w:tcW w:type="dxa" w:w="3360"/>
            <w:vAlign w:val="center"/>
          </w:tcPr>
          <w:p>
            <w:r/>
            <w:r>
              <w:rPr>
                <w:b w:val="0"/>
              </w:rPr>
              <w:t>Requires endpoint inventory and OQ testing</w:t>
            </w:r>
          </w:p>
        </w:tc>
      </w:tr>
      <w:tr>
        <w:tc>
          <w:tcPr>
            <w:tcW w:type="dxa" w:w="3360"/>
            <w:vAlign w:val="center"/>
          </w:tcPr>
          <w:p>
            <w:r/>
            <w:r>
              <w:rPr>
                <w:b w:val="0"/>
              </w:rPr>
              <w:t>Real-time updates</w:t>
            </w:r>
          </w:p>
        </w:tc>
        <w:tc>
          <w:tcPr>
            <w:tcW w:type="dxa" w:w="3360"/>
            <w:vAlign w:val="center"/>
          </w:tcPr>
          <w:p>
            <w:r/>
            <w:r>
              <w:rPr>
                <w:b w:val="0"/>
              </w:rPr>
              <w:t>Django Channels, WebSocket consumers and notification signals are present</w:t>
            </w:r>
          </w:p>
        </w:tc>
        <w:tc>
          <w:tcPr>
            <w:tcW w:type="dxa" w:w="3360"/>
            <w:vAlign w:val="center"/>
          </w:tcPr>
          <w:p>
            <w:r/>
            <w:r>
              <w:rPr>
                <w:b w:val="0"/>
              </w:rPr>
              <w:t>Requires operational test</w:t>
            </w:r>
          </w:p>
        </w:tc>
      </w:tr>
      <w:tr>
        <w:tc>
          <w:tcPr>
            <w:tcW w:type="dxa" w:w="3360"/>
            <w:vAlign w:val="center"/>
          </w:tcPr>
          <w:p>
            <w:r/>
            <w:r>
              <w:rPr>
                <w:b w:val="0"/>
              </w:rPr>
              <w:t>Front end</w:t>
            </w:r>
          </w:p>
        </w:tc>
        <w:tc>
          <w:tcPr>
            <w:tcW w:type="dxa" w:w="3360"/>
            <w:vAlign w:val="center"/>
          </w:tcPr>
          <w:p>
            <w:r/>
            <w:r>
              <w:rPr>
                <w:b w:val="0"/>
              </w:rPr>
              <w:t>Server-rendered HTML templates, JavaScript and responsive styles</w:t>
            </w:r>
          </w:p>
        </w:tc>
        <w:tc>
          <w:tcPr>
            <w:tcW w:type="dxa" w:w="3360"/>
            <w:vAlign w:val="center"/>
          </w:tcPr>
          <w:p>
            <w:r/>
            <w:r>
              <w:rPr>
                <w:b w:val="0"/>
              </w:rPr>
              <w:t>Implemented; usability requires PQ</w:t>
            </w:r>
          </w:p>
        </w:tc>
      </w:tr>
      <w:tr>
        <w:tc>
          <w:tcPr>
            <w:tcW w:type="dxa" w:w="3360"/>
            <w:vAlign w:val="center"/>
          </w:tcPr>
          <w:p>
            <w:r/>
            <w:r>
              <w:rPr>
                <w:b w:val="0"/>
              </w:rPr>
              <w:t>Deployment</w:t>
            </w:r>
          </w:p>
        </w:tc>
        <w:tc>
          <w:tcPr>
            <w:tcW w:type="dxa" w:w="3360"/>
            <w:vAlign w:val="center"/>
          </w:tcPr>
          <w:p>
            <w:r/>
            <w:r>
              <w:rPr>
                <w:b w:val="0"/>
              </w:rPr>
              <w:t>WSGI/ASGI configuration and deployment scripts are present</w:t>
            </w:r>
          </w:p>
        </w:tc>
        <w:tc>
          <w:tcPr>
            <w:tcW w:type="dxa" w:w="3360"/>
            <w:vAlign w:val="center"/>
          </w:tcPr>
          <w:p>
            <w:r/>
            <w:r>
              <w:rPr>
                <w:b w:val="0"/>
              </w:rPr>
              <w:t>IQ required</w:t>
            </w:r>
          </w:p>
        </w:tc>
      </w:tr>
      <w:tr>
        <w:tc>
          <w:tcPr>
            <w:tcW w:type="dxa" w:w="3360"/>
            <w:vAlign w:val="center"/>
          </w:tcPr>
          <w:p>
            <w:r/>
            <w:r>
              <w:rPr>
                <w:b w:val="0"/>
              </w:rPr>
              <w:t>Reporting</w:t>
            </w:r>
          </w:p>
        </w:tc>
        <w:tc>
          <w:tcPr>
            <w:tcW w:type="dxa" w:w="3360"/>
            <w:vAlign w:val="center"/>
          </w:tcPr>
          <w:p>
            <w:r/>
            <w:r>
              <w:rPr>
                <w:b w:val="0"/>
              </w:rPr>
              <w:t>Production, quality, timeline, BMR, quarantine and finished-goods reports are present</w:t>
            </w:r>
          </w:p>
        </w:tc>
        <w:tc>
          <w:tcPr>
            <w:tcW w:type="dxa" w:w="3360"/>
            <w:vAlign w:val="center"/>
          </w:tcPr>
          <w:p>
            <w:r/>
            <w:r>
              <w:rPr>
                <w:b w:val="0"/>
              </w:rPr>
              <w:t>Requires report verification</w:t>
            </w:r>
          </w:p>
        </w:tc>
      </w:tr>
      <w:tr>
        <w:tc>
          <w:tcPr>
            <w:tcW w:type="dxa" w:w="3360"/>
            <w:vAlign w:val="center"/>
          </w:tcPr>
          <w:p>
            <w:r/>
            <w:r>
              <w:rPr>
                <w:b w:val="0"/>
              </w:rPr>
              <w:t>Configuration</w:t>
            </w:r>
          </w:p>
        </w:tc>
        <w:tc>
          <w:tcPr>
            <w:tcW w:type="dxa" w:w="3360"/>
            <w:vAlign w:val="center"/>
          </w:tcPr>
          <w:p>
            <w:r/>
            <w:r>
              <w:rPr>
                <w:b w:val="0"/>
              </w:rPr>
              <w:t>Database-backed workflow, dashboard and quality settings</w:t>
            </w:r>
          </w:p>
        </w:tc>
        <w:tc>
          <w:tcPr>
            <w:tcW w:type="dxa" w:w="3360"/>
            <w:vAlign w:val="center"/>
          </w:tcPr>
          <w:p>
            <w:r/>
            <w:r>
              <w:rPr>
                <w:b w:val="0"/>
              </w:rPr>
              <w:t>Requires change-control procedure</w:t>
            </w:r>
          </w:p>
        </w:tc>
      </w:tr>
    </w:tbl>
    <w:p/>
    <w:p>
      <w:pPr>
        <w:pStyle w:val="Heading2"/>
      </w:pPr>
      <w:r>
        <w:t>4. Capability register</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rPr>
              <w:t>Capability</w:t>
            </w:r>
          </w:p>
        </w:tc>
        <w:tc>
          <w:tcPr>
            <w:tcW w:type="dxa" w:w="2520"/>
            <w:vAlign w:val="center"/>
            <w:shd w:fill="1F4E78"/>
          </w:tcPr>
          <w:p>
            <w:r/>
            <w:r>
              <w:rPr>
                <w:b/>
                <w:color w:val="FFFFFF"/>
              </w:rPr>
              <w:t>What the software can do</w:t>
            </w:r>
          </w:p>
        </w:tc>
        <w:tc>
          <w:tcPr>
            <w:tcW w:type="dxa" w:w="2520"/>
            <w:vAlign w:val="center"/>
            <w:shd w:fill="1F4E78"/>
          </w:tcPr>
          <w:p>
            <w:r/>
            <w:r>
              <w:rPr>
                <w:b/>
                <w:color w:val="FFFFFF"/>
              </w:rPr>
              <w:t>Evidence area</w:t>
            </w:r>
          </w:p>
        </w:tc>
        <w:tc>
          <w:tcPr>
            <w:tcW w:type="dxa" w:w="2520"/>
            <w:vAlign w:val="center"/>
            <w:shd w:fill="1F4E78"/>
          </w:tcPr>
          <w:p>
            <w:r/>
            <w:r>
              <w:rPr>
                <w:b/>
                <w:color w:val="FFFFFF"/>
              </w:rPr>
              <w:t>Status for standards review</w:t>
            </w:r>
          </w:p>
        </w:tc>
      </w:tr>
      <w:tr>
        <w:tc>
          <w:tcPr>
            <w:tcW w:type="dxa" w:w="2520"/>
            <w:vAlign w:val="center"/>
          </w:tcPr>
          <w:p>
            <w:r/>
            <w:r>
              <w:rPr>
                <w:b w:val="0"/>
              </w:rPr>
              <w:t>Product master</w:t>
            </w:r>
          </w:p>
        </w:tc>
        <w:tc>
          <w:tcPr>
            <w:tcW w:type="dxa" w:w="2520"/>
            <w:vAlign w:val="center"/>
          </w:tcPr>
          <w:p>
            <w:r/>
            <w:r>
              <w:rPr>
                <w:b w:val="0"/>
              </w:rPr>
              <w:t>Stores products, product type, tablet type, capsule type, batch-size data and specifications</w:t>
            </w:r>
          </w:p>
        </w:tc>
        <w:tc>
          <w:tcPr>
            <w:tcW w:type="dxa" w:w="2520"/>
            <w:vAlign w:val="center"/>
          </w:tcPr>
          <w:p>
            <w:r/>
            <w:r>
              <w:rPr>
                <w:b w:val="0"/>
              </w:rPr>
              <w:t>`products/models.py`</w:t>
            </w:r>
          </w:p>
        </w:tc>
        <w:tc>
          <w:tcPr>
            <w:tcW w:type="dxa" w:w="2520"/>
            <w:vAlign w:val="center"/>
          </w:tcPr>
          <w:p>
            <w:r/>
            <w:r>
              <w:rPr>
                <w:b w:val="0"/>
              </w:rPr>
              <w:t>Implemented; master-data governance required</w:t>
            </w:r>
          </w:p>
        </w:tc>
      </w:tr>
      <w:tr>
        <w:tc>
          <w:tcPr>
            <w:tcW w:type="dxa" w:w="2520"/>
            <w:vAlign w:val="center"/>
          </w:tcPr>
          <w:p>
            <w:r/>
            <w:r>
              <w:rPr>
                <w:b w:val="0"/>
              </w:rPr>
              <w:t>BMR creation</w:t>
            </w:r>
          </w:p>
        </w:tc>
        <w:tc>
          <w:tcPr>
            <w:tcW w:type="dxa" w:w="2520"/>
            <w:vAlign w:val="center"/>
          </w:tcPr>
          <w:p>
            <w:r/>
            <w:r>
              <w:rPr>
                <w:b w:val="0"/>
              </w:rPr>
              <w:t>Creates electronic batch records linked to a product and template</w:t>
            </w:r>
          </w:p>
        </w:tc>
        <w:tc>
          <w:tcPr>
            <w:tcW w:type="dxa" w:w="2520"/>
            <w:vAlign w:val="center"/>
          </w:tcPr>
          <w:p>
            <w:r/>
            <w:r>
              <w:rPr>
                <w:b w:val="0"/>
              </w:rPr>
              <w:t>`bmr/models.py`, `bmr/views.py`</w:t>
            </w:r>
          </w:p>
        </w:tc>
        <w:tc>
          <w:tcPr>
            <w:tcW w:type="dxa" w:w="2520"/>
            <w:vAlign w:val="center"/>
          </w:tcPr>
          <w:p>
            <w:r/>
            <w:r>
              <w:rPr>
                <w:b w:val="0"/>
              </w:rPr>
              <w:t>Implemented</w:t>
            </w:r>
          </w:p>
        </w:tc>
      </w:tr>
      <w:tr>
        <w:tc>
          <w:tcPr>
            <w:tcW w:type="dxa" w:w="2520"/>
            <w:vAlign w:val="center"/>
          </w:tcPr>
          <w:p>
            <w:r/>
            <w:r>
              <w:rPr>
                <w:b w:val="0"/>
              </w:rPr>
              <w:t>BMR approval</w:t>
            </w:r>
          </w:p>
        </w:tc>
        <w:tc>
          <w:tcPr>
            <w:tcW w:type="dxa" w:w="2520"/>
            <w:vAlign w:val="center"/>
          </w:tcPr>
          <w:p>
            <w:r/>
            <w:r>
              <w:rPr>
                <w:b w:val="0"/>
              </w:rPr>
              <w:t>Routes records for regulatory/QA review and records approval decisions</w:t>
            </w:r>
          </w:p>
        </w:tc>
        <w:tc>
          <w:tcPr>
            <w:tcW w:type="dxa" w:w="2520"/>
            <w:vAlign w:val="center"/>
          </w:tcPr>
          <w:p>
            <w:r/>
            <w:r>
              <w:rPr>
                <w:b w:val="0"/>
              </w:rPr>
              <w:t>`dashboards/views.py`, `workflow/services.py`</w:t>
            </w:r>
          </w:p>
        </w:tc>
        <w:tc>
          <w:tcPr>
            <w:tcW w:type="dxa" w:w="2520"/>
            <w:vAlign w:val="center"/>
          </w:tcPr>
          <w:p>
            <w:r/>
            <w:r>
              <w:rPr>
                <w:b w:val="0"/>
              </w:rPr>
              <w:t>Implemented; test all rejection paths</w:t>
            </w:r>
          </w:p>
        </w:tc>
      </w:tr>
      <w:tr>
        <w:tc>
          <w:tcPr>
            <w:tcW w:type="dxa" w:w="2520"/>
            <w:vAlign w:val="center"/>
          </w:tcPr>
          <w:p>
            <w:r/>
            <w:r>
              <w:rPr>
                <w:b w:val="0"/>
              </w:rPr>
              <w:t>Batch numbering</w:t>
            </w:r>
          </w:p>
        </w:tc>
        <w:tc>
          <w:tcPr>
            <w:tcW w:type="dxa" w:w="2520"/>
            <w:vAlign w:val="center"/>
          </w:tcPr>
          <w:p>
            <w:r/>
            <w:r>
              <w:rPr>
                <w:b w:val="0"/>
              </w:rPr>
              <w:t>Validates the configured batch-number format and product uniqueness rules</w:t>
            </w:r>
          </w:p>
        </w:tc>
        <w:tc>
          <w:tcPr>
            <w:tcW w:type="dxa" w:w="2520"/>
            <w:vAlign w:val="center"/>
          </w:tcPr>
          <w:p>
            <w:r/>
            <w:r>
              <w:rPr>
                <w:b w:val="0"/>
              </w:rPr>
              <w:t>`bmr/models.py`</w:t>
            </w:r>
          </w:p>
        </w:tc>
        <w:tc>
          <w:tcPr>
            <w:tcW w:type="dxa" w:w="2520"/>
            <w:vAlign w:val="center"/>
          </w:tcPr>
          <w:p>
            <w:r/>
            <w:r>
              <w:rPr>
                <w:b w:val="0"/>
              </w:rPr>
              <w:t>Implemented; confirm business format</w:t>
            </w:r>
          </w:p>
        </w:tc>
      </w:tr>
      <w:tr>
        <w:tc>
          <w:tcPr>
            <w:tcW w:type="dxa" w:w="2520"/>
            <w:vAlign w:val="center"/>
          </w:tcPr>
          <w:p>
            <w:r/>
            <w:r>
              <w:rPr>
                <w:b w:val="0"/>
              </w:rPr>
              <w:t>BMR templates</w:t>
            </w:r>
          </w:p>
        </w:tc>
        <w:tc>
          <w:tcPr>
            <w:tcW w:type="dxa" w:w="2520"/>
            <w:vAlign w:val="center"/>
          </w:tcPr>
          <w:p>
            <w:r/>
            <w:r>
              <w:rPr>
                <w:b w:val="0"/>
              </w:rPr>
              <w:t>Supports product-specific, product-type and universal template selection</w:t>
            </w:r>
          </w:p>
        </w:tc>
        <w:tc>
          <w:tcPr>
            <w:tcW w:type="dxa" w:w="2520"/>
            <w:vAlign w:val="center"/>
          </w:tcPr>
          <w:p>
            <w:r/>
            <w:r>
              <w:rPr>
                <w:b w:val="0"/>
              </w:rPr>
              <w:t>`bmr/models.py`</w:t>
            </w:r>
          </w:p>
        </w:tc>
        <w:tc>
          <w:tcPr>
            <w:tcW w:type="dxa" w:w="2520"/>
            <w:vAlign w:val="center"/>
          </w:tcPr>
          <w:p>
            <w:r/>
            <w:r>
              <w:rPr>
                <w:b w:val="0"/>
              </w:rPr>
              <w:t>Implemented; template governance required</w:t>
            </w:r>
          </w:p>
        </w:tc>
      </w:tr>
      <w:tr>
        <w:tc>
          <w:tcPr>
            <w:tcW w:type="dxa" w:w="2520"/>
            <w:vAlign w:val="center"/>
          </w:tcPr>
          <w:p>
            <w:r/>
            <w:r>
              <w:rPr>
                <w:b w:val="0"/>
              </w:rPr>
              <w:t>Production workflow</w:t>
            </w:r>
          </w:p>
        </w:tc>
        <w:tc>
          <w:tcPr>
            <w:tcW w:type="dxa" w:w="2520"/>
            <w:vAlign w:val="center"/>
          </w:tcPr>
          <w:p>
            <w:r/>
            <w:r>
              <w:rPr>
                <w:b w:val="0"/>
              </w:rPr>
              <w:t>Creates phase executions, statuses, ordering and next-phase activation</w:t>
            </w:r>
          </w:p>
        </w:tc>
        <w:tc>
          <w:tcPr>
            <w:tcW w:type="dxa" w:w="2520"/>
            <w:vAlign w:val="center"/>
          </w:tcPr>
          <w:p>
            <w:r/>
            <w:r>
              <w:rPr>
                <w:b w:val="0"/>
              </w:rPr>
              <w:t>`workflow/services.py`, `workflow/models.py`</w:t>
            </w:r>
          </w:p>
        </w:tc>
        <w:tc>
          <w:tcPr>
            <w:tcW w:type="dxa" w:w="2520"/>
            <w:vAlign w:val="center"/>
          </w:tcPr>
          <w:p>
            <w:r/>
            <w:r>
              <w:rPr>
                <w:b w:val="0"/>
              </w:rPr>
              <w:t>Implemented; OQ required</w:t>
            </w:r>
          </w:p>
        </w:tc>
      </w:tr>
      <w:tr>
        <w:tc>
          <w:tcPr>
            <w:tcW w:type="dxa" w:w="2520"/>
            <w:vAlign w:val="center"/>
          </w:tcPr>
          <w:p>
            <w:r/>
            <w:r>
              <w:rPr>
                <w:b w:val="0"/>
              </w:rPr>
              <w:t>Tablet blister/bulk split</w:t>
            </w:r>
          </w:p>
        </w:tc>
        <w:tc>
          <w:tcPr>
            <w:tcW w:type="dxa" w:w="2520"/>
            <w:vAlign w:val="center"/>
          </w:tcPr>
          <w:p>
            <w:r/>
            <w:r>
              <w:rPr>
                <w:b w:val="0"/>
              </w:rPr>
              <w:t>Normal tablet and type-2 tablet use different packing templates</w:t>
            </w:r>
          </w:p>
        </w:tc>
        <w:tc>
          <w:tcPr>
            <w:tcW w:type="dxa" w:w="2520"/>
            <w:vAlign w:val="center"/>
          </w:tcPr>
          <w:p>
            <w:r/>
            <w:r>
              <w:rPr>
                <w:b w:val="0"/>
              </w:rPr>
              <w:t>`workflow/services.py`, workflow templates</w:t>
            </w:r>
          </w:p>
        </w:tc>
        <w:tc>
          <w:tcPr>
            <w:tcW w:type="dxa" w:w="2520"/>
            <w:vAlign w:val="center"/>
          </w:tcPr>
          <w:p>
            <w:r/>
            <w:r>
              <w:rPr>
                <w:b w:val="0"/>
              </w:rPr>
              <w:t>Implemented</w:t>
            </w:r>
          </w:p>
        </w:tc>
      </w:tr>
      <w:tr>
        <w:tc>
          <w:tcPr>
            <w:tcW w:type="dxa" w:w="2520"/>
            <w:vAlign w:val="center"/>
          </w:tcPr>
          <w:p>
            <w:r/>
            <w:r>
              <w:rPr>
                <w:b w:val="0"/>
              </w:rPr>
              <w:t>Capsule blister/bulk split</w:t>
            </w:r>
          </w:p>
        </w:tc>
        <w:tc>
          <w:tcPr>
            <w:tcW w:type="dxa" w:w="2520"/>
            <w:vAlign w:val="center"/>
          </w:tcPr>
          <w:p>
            <w:r/>
            <w:r>
              <w:rPr>
                <w:b w:val="0"/>
              </w:rPr>
              <w:t>Normal capsule uses blister; UG capsule uses bulk</w:t>
            </w:r>
          </w:p>
        </w:tc>
        <w:tc>
          <w:tcPr>
            <w:tcW w:type="dxa" w:w="2520"/>
            <w:vAlign w:val="center"/>
          </w:tcPr>
          <w:p>
            <w:r/>
            <w:r>
              <w:rPr>
                <w:b w:val="0"/>
              </w:rPr>
              <w:t>`workflow/services.py`, `workflow/utils.py`</w:t>
            </w:r>
          </w:p>
        </w:tc>
        <w:tc>
          <w:tcPr>
            <w:tcW w:type="dxa" w:w="2520"/>
            <w:vAlign w:val="center"/>
          </w:tcPr>
          <w:p>
            <w:r/>
            <w:r>
              <w:rPr>
                <w:b w:val="0"/>
              </w:rPr>
              <w:t>Corrected; migration and OQ required</w:t>
            </w:r>
          </w:p>
        </w:tc>
      </w:tr>
      <w:tr>
        <w:tc>
          <w:tcPr>
            <w:tcW w:type="dxa" w:w="2520"/>
            <w:vAlign w:val="center"/>
          </w:tcPr>
          <w:p>
            <w:r/>
            <w:r>
              <w:rPr>
                <w:b w:val="0"/>
              </w:rPr>
              <w:t>Ointment workflow</w:t>
            </w:r>
          </w:p>
        </w:tc>
        <w:tc>
          <w:tcPr>
            <w:tcW w:type="dxa" w:w="2520"/>
            <w:vAlign w:val="center"/>
          </w:tcPr>
          <w:p>
            <w:r/>
            <w:r>
              <w:rPr>
                <w:b w:val="0"/>
              </w:rPr>
              <w:t>Supports mixing, QC, tube filling, secondary packaging and final QA</w:t>
            </w:r>
          </w:p>
        </w:tc>
        <w:tc>
          <w:tcPr>
            <w:tcW w:type="dxa" w:w="2520"/>
            <w:vAlign w:val="center"/>
          </w:tcPr>
          <w:p>
            <w:r/>
            <w:r>
              <w:rPr>
                <w:b w:val="0"/>
              </w:rPr>
              <w:t>Workflow templates</w:t>
            </w:r>
          </w:p>
        </w:tc>
        <w:tc>
          <w:tcPr>
            <w:tcW w:type="dxa" w:w="2520"/>
            <w:vAlign w:val="center"/>
          </w:tcPr>
          <w:p>
            <w:r/>
            <w:r>
              <w:rPr>
                <w:b w:val="0"/>
              </w:rPr>
              <w:t>Implemented</w:t>
            </w:r>
          </w:p>
        </w:tc>
      </w:tr>
      <w:tr>
        <w:tc>
          <w:tcPr>
            <w:tcW w:type="dxa" w:w="2520"/>
            <w:vAlign w:val="center"/>
          </w:tcPr>
          <w:p>
            <w:r/>
            <w:r>
              <w:rPr>
                <w:b w:val="0"/>
              </w:rPr>
              <w:t>Line clearance</w:t>
            </w:r>
          </w:p>
        </w:tc>
        <w:tc>
          <w:tcPr>
            <w:tcW w:type="dxa" w:w="2520"/>
            <w:vAlign w:val="center"/>
          </w:tcPr>
          <w:p>
            <w:r/>
            <w:r>
              <w:rPr>
                <w:b w:val="0"/>
              </w:rPr>
              <w:t>Supports operator completion, supervisor signing and QA approval gates</w:t>
            </w:r>
          </w:p>
        </w:tc>
        <w:tc>
          <w:tcPr>
            <w:tcW w:type="dxa" w:w="2520"/>
            <w:vAlign w:val="center"/>
          </w:tcPr>
          <w:p>
            <w:r/>
            <w:r>
              <w:rPr>
                <w:b w:val="0"/>
              </w:rPr>
              <w:t>`BatchPhaseExecution` fields and phase views</w:t>
            </w:r>
          </w:p>
        </w:tc>
        <w:tc>
          <w:tcPr>
            <w:tcW w:type="dxa" w:w="2520"/>
            <w:vAlign w:val="center"/>
          </w:tcPr>
          <w:p>
            <w:r/>
            <w:r>
              <w:rPr>
                <w:b w:val="0"/>
              </w:rPr>
              <w:t>Implemented; test unauthorized transitions</w:t>
            </w:r>
          </w:p>
        </w:tc>
      </w:tr>
      <w:tr>
        <w:tc>
          <w:tcPr>
            <w:tcW w:type="dxa" w:w="2520"/>
            <w:vAlign w:val="center"/>
          </w:tcPr>
          <w:p>
            <w:r/>
            <w:r>
              <w:rPr>
                <w:b w:val="0"/>
              </w:rPr>
              <w:t>Process signing</w:t>
            </w:r>
          </w:p>
        </w:tc>
        <w:tc>
          <w:tcPr>
            <w:tcW w:type="dxa" w:w="2520"/>
            <w:vAlign w:val="center"/>
          </w:tcPr>
          <w:p>
            <w:r/>
            <w:r>
              <w:rPr>
                <w:b w:val="0"/>
              </w:rPr>
              <w:t>Supports operator submission followed by QA signing for selected phases</w:t>
            </w:r>
          </w:p>
        </w:tc>
        <w:tc>
          <w:tcPr>
            <w:tcW w:type="dxa" w:w="2520"/>
            <w:vAlign w:val="center"/>
          </w:tcPr>
          <w:p>
            <w:r/>
            <w:r>
              <w:rPr>
                <w:b w:val="0"/>
              </w:rPr>
              <w:t>`BatchPhaseExecution` fields and phase views</w:t>
            </w:r>
          </w:p>
        </w:tc>
        <w:tc>
          <w:tcPr>
            <w:tcW w:type="dxa" w:w="2520"/>
            <w:vAlign w:val="center"/>
          </w:tcPr>
          <w:p>
            <w:r/>
            <w:r>
              <w:rPr>
                <w:b w:val="0"/>
              </w:rPr>
              <w:t>Implemented; signature validation required</w:t>
            </w:r>
          </w:p>
        </w:tc>
      </w:tr>
      <w:tr>
        <w:tc>
          <w:tcPr>
            <w:tcW w:type="dxa" w:w="2520"/>
            <w:vAlign w:val="center"/>
          </w:tcPr>
          <w:p>
            <w:r/>
            <w:r>
              <w:rPr>
                <w:b w:val="0"/>
              </w:rPr>
              <w:t>Manufacturing data</w:t>
            </w:r>
          </w:p>
        </w:tc>
        <w:tc>
          <w:tcPr>
            <w:tcW w:type="dxa" w:w="2520"/>
            <w:vAlign w:val="center"/>
          </w:tcPr>
          <w:p>
            <w:r/>
            <w:r>
              <w:rPr>
                <w:b w:val="0"/>
              </w:rPr>
              <w:t>Captures phase-specific data, comments, machine use, dates and shifts</w:t>
            </w:r>
          </w:p>
        </w:tc>
        <w:tc>
          <w:tcPr>
            <w:tcW w:type="dxa" w:w="2520"/>
            <w:vAlign w:val="center"/>
          </w:tcPr>
          <w:p>
            <w:r/>
            <w:r>
              <w:rPr>
                <w:b w:val="0"/>
              </w:rPr>
              <w:t>BMR templates and phase views</w:t>
            </w:r>
          </w:p>
        </w:tc>
        <w:tc>
          <w:tcPr>
            <w:tcW w:type="dxa" w:w="2520"/>
            <w:vAlign w:val="center"/>
          </w:tcPr>
          <w:p>
            <w:r/>
            <w:r>
              <w:rPr>
                <w:b w:val="0"/>
              </w:rPr>
              <w:t>Implemented; verify completeness and immutability</w:t>
            </w:r>
          </w:p>
        </w:tc>
      </w:tr>
      <w:tr>
        <w:tc>
          <w:tcPr>
            <w:tcW w:type="dxa" w:w="2520"/>
            <w:vAlign w:val="center"/>
          </w:tcPr>
          <w:p>
            <w:r/>
            <w:r>
              <w:rPr>
                <w:b w:val="0"/>
              </w:rPr>
              <w:t>QC checkpoints</w:t>
            </w:r>
          </w:p>
        </w:tc>
        <w:tc>
          <w:tcPr>
            <w:tcW w:type="dxa" w:w="2520"/>
            <w:vAlign w:val="center"/>
          </w:tcPr>
          <w:p>
            <w:r/>
            <w:r>
              <w:rPr>
                <w:b w:val="0"/>
              </w:rPr>
              <w:t>Supports pass/fail results, approvals, rejection reasons and rollback targets</w:t>
            </w:r>
          </w:p>
        </w:tc>
        <w:tc>
          <w:tcPr>
            <w:tcW w:type="dxa" w:w="2520"/>
            <w:vAlign w:val="center"/>
          </w:tcPr>
          <w:p>
            <w:r/>
            <w:r>
              <w:rPr>
                <w:b w:val="0"/>
              </w:rPr>
              <w:t>`workflow/services.py`, QC dashboards</w:t>
            </w:r>
          </w:p>
        </w:tc>
        <w:tc>
          <w:tcPr>
            <w:tcW w:type="dxa" w:w="2520"/>
            <w:vAlign w:val="center"/>
          </w:tcPr>
          <w:p>
            <w:r/>
            <w:r>
              <w:rPr>
                <w:b w:val="0"/>
              </w:rPr>
              <w:t>Implemented; OQ required</w:t>
            </w:r>
          </w:p>
        </w:tc>
      </w:tr>
      <w:tr>
        <w:tc>
          <w:tcPr>
            <w:tcW w:type="dxa" w:w="2520"/>
            <w:vAlign w:val="center"/>
          </w:tcPr>
          <w:p>
            <w:r/>
            <w:r>
              <w:rPr>
                <w:b w:val="0"/>
              </w:rPr>
              <w:t>Quarantine</w:t>
            </w:r>
          </w:p>
        </w:tc>
        <w:tc>
          <w:tcPr>
            <w:tcW w:type="dxa" w:w="2520"/>
            <w:vAlign w:val="center"/>
          </w:tcPr>
          <w:p>
            <w:r/>
            <w:r>
              <w:rPr>
                <w:b w:val="0"/>
              </w:rPr>
              <w:t>Places material/batches in quarantine and supports sample/release/reject workflows</w:t>
            </w:r>
          </w:p>
        </w:tc>
        <w:tc>
          <w:tcPr>
            <w:tcW w:type="dxa" w:w="2520"/>
            <w:vAlign w:val="center"/>
          </w:tcPr>
          <w:p>
            <w:r/>
            <w:r>
              <w:rPr>
                <w:b w:val="0"/>
              </w:rPr>
              <w:t>`quarantine/`, workflow services</w:t>
            </w:r>
          </w:p>
        </w:tc>
        <w:tc>
          <w:tcPr>
            <w:tcW w:type="dxa" w:w="2520"/>
            <w:vAlign w:val="center"/>
          </w:tcPr>
          <w:p>
            <w:r/>
            <w:r>
              <w:rPr>
                <w:b w:val="0"/>
              </w:rPr>
              <w:t>Implemented; end-to-end PQ required</w:t>
            </w:r>
          </w:p>
        </w:tc>
      </w:tr>
      <w:tr>
        <w:tc>
          <w:tcPr>
            <w:tcW w:type="dxa" w:w="2520"/>
            <w:vAlign w:val="center"/>
          </w:tcPr>
          <w:p>
            <w:r/>
            <w:r>
              <w:rPr>
                <w:b w:val="0"/>
              </w:rPr>
              <w:t>Material traceability</w:t>
            </w:r>
          </w:p>
        </w:tc>
        <w:tc>
          <w:tcPr>
            <w:tcW w:type="dxa" w:w="2520"/>
            <w:vAlign w:val="center"/>
          </w:tcPr>
          <w:p>
            <w:r/>
            <w:r>
              <w:rPr>
                <w:b w:val="0"/>
              </w:rPr>
              <w:t>Tracks material release, dispensing and packaging-material release</w:t>
            </w:r>
          </w:p>
        </w:tc>
        <w:tc>
          <w:tcPr>
            <w:tcW w:type="dxa" w:w="2520"/>
            <w:vAlign w:val="center"/>
          </w:tcPr>
          <w:p>
            <w:r/>
            <w:r>
              <w:rPr>
                <w:b w:val="0"/>
              </w:rPr>
              <w:t>BMR and workflow modules</w:t>
            </w:r>
          </w:p>
        </w:tc>
        <w:tc>
          <w:tcPr>
            <w:tcW w:type="dxa" w:w="2520"/>
            <w:vAlign w:val="center"/>
          </w:tcPr>
          <w:p>
            <w:r/>
            <w:r>
              <w:rPr>
                <w:b w:val="0"/>
              </w:rPr>
              <w:t>Implemented; reconcile against physical stores</w:t>
            </w:r>
          </w:p>
        </w:tc>
      </w:tr>
      <w:tr>
        <w:tc>
          <w:tcPr>
            <w:tcW w:type="dxa" w:w="2520"/>
            <w:vAlign w:val="center"/>
          </w:tcPr>
          <w:p>
            <w:r/>
            <w:r>
              <w:rPr>
                <w:b w:val="0"/>
              </w:rPr>
              <w:t>Packaging records</w:t>
            </w:r>
          </w:p>
        </w:tc>
        <w:tc>
          <w:tcPr>
            <w:tcW w:type="dxa" w:w="2520"/>
            <w:vAlign w:val="center"/>
          </w:tcPr>
          <w:p>
            <w:r/>
            <w:r>
              <w:rPr>
                <w:b w:val="0"/>
              </w:rPr>
              <w:t>Supports blister packing, bulk packing, secondary packaging and IPC records</w:t>
            </w:r>
          </w:p>
        </w:tc>
        <w:tc>
          <w:tcPr>
            <w:tcW w:type="dxa" w:w="2520"/>
            <w:vAlign w:val="center"/>
          </w:tcPr>
          <w:p>
            <w:r/>
            <w:r>
              <w:rPr>
                <w:b w:val="0"/>
              </w:rPr>
              <w:t>`dashboards/bmr_form_views.py`, packing templates</w:t>
            </w:r>
          </w:p>
        </w:tc>
        <w:tc>
          <w:tcPr>
            <w:tcW w:type="dxa" w:w="2520"/>
            <w:vAlign w:val="center"/>
          </w:tcPr>
          <w:p>
            <w:r/>
            <w:r>
              <w:rPr>
                <w:b w:val="0"/>
              </w:rPr>
              <w:t>Implemented; product-route tests required</w:t>
            </w:r>
          </w:p>
        </w:tc>
      </w:tr>
      <w:tr>
        <w:tc>
          <w:tcPr>
            <w:tcW w:type="dxa" w:w="2520"/>
            <w:vAlign w:val="center"/>
          </w:tcPr>
          <w:p>
            <w:r/>
            <w:r>
              <w:rPr>
                <w:b w:val="0"/>
              </w:rPr>
              <w:t>QA handoff</w:t>
            </w:r>
          </w:p>
        </w:tc>
        <w:tc>
          <w:tcPr>
            <w:tcW w:type="dxa" w:w="2520"/>
            <w:vAlign w:val="center"/>
          </w:tcPr>
          <w:p>
            <w:r/>
            <w:r>
              <w:rPr>
                <w:b w:val="0"/>
              </w:rPr>
              <w:t>Sends operator-completed sections to QA dashboards for review/signing</w:t>
            </w:r>
          </w:p>
        </w:tc>
        <w:tc>
          <w:tcPr>
            <w:tcW w:type="dxa" w:w="2520"/>
            <w:vAlign w:val="center"/>
          </w:tcPr>
          <w:p>
            <w:r/>
            <w:r>
              <w:rPr>
                <w:b w:val="0"/>
              </w:rPr>
              <w:t>QA dashboard and phase views</w:t>
            </w:r>
          </w:p>
        </w:tc>
        <w:tc>
          <w:tcPr>
            <w:tcW w:type="dxa" w:w="2520"/>
            <w:vAlign w:val="center"/>
          </w:tcPr>
          <w:p>
            <w:r/>
            <w:r>
              <w:rPr>
                <w:b w:val="0"/>
              </w:rPr>
              <w:t>Implemented; test with each product route</w:t>
            </w:r>
          </w:p>
        </w:tc>
      </w:tr>
      <w:tr>
        <w:tc>
          <w:tcPr>
            <w:tcW w:type="dxa" w:w="2520"/>
            <w:vAlign w:val="center"/>
          </w:tcPr>
          <w:p>
            <w:r/>
            <w:r>
              <w:rPr>
                <w:b w:val="0"/>
              </w:rPr>
              <w:t>Finished goods</w:t>
            </w:r>
          </w:p>
        </w:tc>
        <w:tc>
          <w:tcPr>
            <w:tcW w:type="dxa" w:w="2520"/>
            <w:vAlign w:val="center"/>
          </w:tcPr>
          <w:p>
            <w:r/>
            <w:r>
              <w:rPr>
                <w:b w:val="0"/>
              </w:rPr>
              <w:t>Supports finished-goods storage and release records</w:t>
            </w:r>
          </w:p>
        </w:tc>
        <w:tc>
          <w:tcPr>
            <w:tcW w:type="dxa" w:w="2520"/>
            <w:vAlign w:val="center"/>
          </w:tcPr>
          <w:p>
            <w:r/>
            <w:r>
              <w:rPr>
                <w:b w:val="0"/>
              </w:rPr>
              <w:t>`fgs_management/`</w:t>
            </w:r>
          </w:p>
        </w:tc>
        <w:tc>
          <w:tcPr>
            <w:tcW w:type="dxa" w:w="2520"/>
            <w:vAlign w:val="center"/>
          </w:tcPr>
          <w:p>
            <w:r/>
            <w:r>
              <w:rPr>
                <w:b w:val="0"/>
              </w:rPr>
              <w:t>Implemented; release authorization requires testing</w:t>
            </w:r>
          </w:p>
        </w:tc>
      </w:tr>
      <w:tr>
        <w:tc>
          <w:tcPr>
            <w:tcW w:type="dxa" w:w="2520"/>
            <w:vAlign w:val="center"/>
          </w:tcPr>
          <w:p>
            <w:r/>
            <w:r>
              <w:rPr>
                <w:b w:val="0"/>
              </w:rPr>
              <w:t>Breakdown management</w:t>
            </w:r>
          </w:p>
        </w:tc>
        <w:tc>
          <w:tcPr>
            <w:tcW w:type="dxa" w:w="2520"/>
            <w:vAlign w:val="center"/>
          </w:tcPr>
          <w:p>
            <w:r/>
            <w:r>
              <w:rPr>
                <w:b w:val="0"/>
              </w:rPr>
              <w:t>Records breakdown occurrence, start/end, reason, machine and duration</w:t>
            </w:r>
          </w:p>
        </w:tc>
        <w:tc>
          <w:tcPr>
            <w:tcW w:type="dxa" w:w="2520"/>
            <w:vAlign w:val="center"/>
          </w:tcPr>
          <w:p>
            <w:r/>
            <w:r>
              <w:rPr>
                <w:b w:val="0"/>
              </w:rPr>
              <w:t>`BatchPhaseExecution`, maintenance dashboard</w:t>
            </w:r>
          </w:p>
        </w:tc>
        <w:tc>
          <w:tcPr>
            <w:tcW w:type="dxa" w:w="2520"/>
            <w:vAlign w:val="center"/>
          </w:tcPr>
          <w:p>
            <w:r/>
            <w:r>
              <w:rPr>
                <w:b w:val="0"/>
              </w:rPr>
              <w:t>Implemented; maintenance workflow requires PQ</w:t>
            </w:r>
          </w:p>
        </w:tc>
      </w:tr>
      <w:tr>
        <w:tc>
          <w:tcPr>
            <w:tcW w:type="dxa" w:w="2520"/>
            <w:vAlign w:val="center"/>
          </w:tcPr>
          <w:p>
            <w:r/>
            <w:r>
              <w:rPr>
                <w:b w:val="0"/>
              </w:rPr>
              <w:t>Maintenance notifications</w:t>
            </w:r>
          </w:p>
        </w:tc>
        <w:tc>
          <w:tcPr>
            <w:tcW w:type="dxa" w:w="2520"/>
            <w:vAlign w:val="center"/>
          </w:tcPr>
          <w:p>
            <w:r/>
            <w:r>
              <w:rPr>
                <w:b w:val="0"/>
              </w:rPr>
              <w:t>Notifies maintenance roles of machine stage/product impact</w:t>
            </w:r>
          </w:p>
        </w:tc>
        <w:tc>
          <w:tcPr>
            <w:tcW w:type="dxa" w:w="2520"/>
            <w:vAlign w:val="center"/>
          </w:tcPr>
          <w:p>
            <w:r/>
            <w:r>
              <w:rPr>
                <w:b w:val="0"/>
              </w:rPr>
              <w:t>workflow signals and maintenance dashboard</w:t>
            </w:r>
          </w:p>
        </w:tc>
        <w:tc>
          <w:tcPr>
            <w:tcW w:type="dxa" w:w="2520"/>
            <w:vAlign w:val="center"/>
          </w:tcPr>
          <w:p>
            <w:r/>
            <w:r>
              <w:rPr>
                <w:b w:val="0"/>
              </w:rPr>
              <w:t>Implemented; notification delivery requires test</w:t>
            </w:r>
          </w:p>
        </w:tc>
      </w:tr>
      <w:tr>
        <w:tc>
          <w:tcPr>
            <w:tcW w:type="dxa" w:w="2520"/>
            <w:vAlign w:val="center"/>
          </w:tcPr>
          <w:p>
            <w:r/>
            <w:r>
              <w:rPr>
                <w:b w:val="0"/>
              </w:rPr>
              <w:t>QMS documents</w:t>
            </w:r>
          </w:p>
        </w:tc>
        <w:tc>
          <w:tcPr>
            <w:tcW w:type="dxa" w:w="2520"/>
            <w:vAlign w:val="center"/>
          </w:tcPr>
          <w:p>
            <w:r/>
            <w:r>
              <w:rPr>
                <w:b w:val="0"/>
              </w:rPr>
              <w:t>Records controlled documents, versions, review/signature and status</w:t>
            </w:r>
          </w:p>
        </w:tc>
        <w:tc>
          <w:tcPr>
            <w:tcW w:type="dxa" w:w="2520"/>
            <w:vAlign w:val="center"/>
          </w:tcPr>
          <w:p>
            <w:r/>
            <w:r>
              <w:rPr>
                <w:b w:val="0"/>
              </w:rPr>
              <w:t>`dashboards/models.py`, QMS views</w:t>
            </w:r>
          </w:p>
        </w:tc>
        <w:tc>
          <w:tcPr>
            <w:tcW w:type="dxa" w:w="2520"/>
            <w:vAlign w:val="center"/>
          </w:tcPr>
          <w:p>
            <w:r/>
            <w:r>
              <w:rPr>
                <w:b w:val="0"/>
              </w:rPr>
              <w:t>Implemented; document-control SOP required</w:t>
            </w:r>
          </w:p>
        </w:tc>
      </w:tr>
      <w:tr>
        <w:tc>
          <w:tcPr>
            <w:tcW w:type="dxa" w:w="2520"/>
            <w:vAlign w:val="center"/>
          </w:tcPr>
          <w:p>
            <w:r/>
            <w:r>
              <w:rPr>
                <w:b w:val="0"/>
              </w:rPr>
              <w:t>Deviations</w:t>
            </w:r>
          </w:p>
        </w:tc>
        <w:tc>
          <w:tcPr>
            <w:tcW w:type="dxa" w:w="2520"/>
            <w:vAlign w:val="center"/>
          </w:tcPr>
          <w:p>
            <w:r/>
            <w:r>
              <w:rPr>
                <w:b w:val="0"/>
              </w:rPr>
              <w:t>Records deviation type, impact, root cause, QA decision and closure</w:t>
            </w:r>
          </w:p>
        </w:tc>
        <w:tc>
          <w:tcPr>
            <w:tcW w:type="dxa" w:w="2520"/>
            <w:vAlign w:val="center"/>
          </w:tcPr>
          <w:p>
            <w:r/>
            <w:r>
              <w:rPr>
                <w:b w:val="0"/>
              </w:rPr>
              <w:t>QMS models/views</w:t>
            </w:r>
          </w:p>
        </w:tc>
        <w:tc>
          <w:tcPr>
            <w:tcW w:type="dxa" w:w="2520"/>
            <w:vAlign w:val="center"/>
          </w:tcPr>
          <w:p>
            <w:r/>
            <w:r>
              <w:rPr>
                <w:b w:val="0"/>
              </w:rPr>
              <w:t>Implemented; workflow approval tests required</w:t>
            </w:r>
          </w:p>
        </w:tc>
      </w:tr>
      <w:tr>
        <w:tc>
          <w:tcPr>
            <w:tcW w:type="dxa" w:w="2520"/>
            <w:vAlign w:val="center"/>
          </w:tcPr>
          <w:p>
            <w:r/>
            <w:r>
              <w:rPr>
                <w:b w:val="0"/>
              </w:rPr>
              <w:t>CAPA</w:t>
            </w:r>
          </w:p>
        </w:tc>
        <w:tc>
          <w:tcPr>
            <w:tcW w:type="dxa" w:w="2520"/>
            <w:vAlign w:val="center"/>
          </w:tcPr>
          <w:p>
            <w:r/>
            <w:r>
              <w:rPr>
                <w:b w:val="0"/>
              </w:rPr>
              <w:t>Creates corrective/preventive actions, owners, due dates and effectiveness information</w:t>
            </w:r>
          </w:p>
        </w:tc>
        <w:tc>
          <w:tcPr>
            <w:tcW w:type="dxa" w:w="2520"/>
            <w:vAlign w:val="center"/>
          </w:tcPr>
          <w:p>
            <w:r/>
            <w:r>
              <w:rPr>
                <w:b w:val="0"/>
              </w:rPr>
              <w:t>QMS models/views</w:t>
            </w:r>
          </w:p>
        </w:tc>
        <w:tc>
          <w:tcPr>
            <w:tcW w:type="dxa" w:w="2520"/>
            <w:vAlign w:val="center"/>
          </w:tcPr>
          <w:p>
            <w:r/>
            <w:r>
              <w:rPr>
                <w:b w:val="0"/>
              </w:rPr>
              <w:t>Implemented; effectiveness verification required</w:t>
            </w:r>
          </w:p>
        </w:tc>
      </w:tr>
      <w:tr>
        <w:tc>
          <w:tcPr>
            <w:tcW w:type="dxa" w:w="2520"/>
            <w:vAlign w:val="center"/>
          </w:tcPr>
          <w:p>
            <w:r/>
            <w:r>
              <w:rPr>
                <w:b w:val="0"/>
              </w:rPr>
              <w:t>Change control</w:t>
            </w:r>
          </w:p>
        </w:tc>
        <w:tc>
          <w:tcPr>
            <w:tcW w:type="dxa" w:w="2520"/>
            <w:vAlign w:val="center"/>
          </w:tcPr>
          <w:p>
            <w:r/>
            <w:r>
              <w:rPr>
                <w:b w:val="0"/>
              </w:rPr>
              <w:t>Records changes and related QMS actions</w:t>
            </w:r>
          </w:p>
        </w:tc>
        <w:tc>
          <w:tcPr>
            <w:tcW w:type="dxa" w:w="2520"/>
            <w:vAlign w:val="center"/>
          </w:tcPr>
          <w:p>
            <w:r/>
            <w:r>
              <w:rPr>
                <w:b w:val="0"/>
              </w:rPr>
              <w:t>QMS models/views</w:t>
            </w:r>
          </w:p>
        </w:tc>
        <w:tc>
          <w:tcPr>
            <w:tcW w:type="dxa" w:w="2520"/>
            <w:vAlign w:val="center"/>
          </w:tcPr>
          <w:p>
            <w:r/>
            <w:r>
              <w:rPr>
                <w:b w:val="0"/>
              </w:rPr>
              <w:t>Implemented; verify approval segregation</w:t>
            </w:r>
          </w:p>
        </w:tc>
      </w:tr>
      <w:tr>
        <w:tc>
          <w:tcPr>
            <w:tcW w:type="dxa" w:w="2520"/>
            <w:vAlign w:val="center"/>
          </w:tcPr>
          <w:p>
            <w:r/>
            <w:r>
              <w:rPr>
                <w:b w:val="0"/>
              </w:rPr>
              <w:t>Audits and risks</w:t>
            </w:r>
          </w:p>
        </w:tc>
        <w:tc>
          <w:tcPr>
            <w:tcW w:type="dxa" w:w="2520"/>
            <w:vAlign w:val="center"/>
          </w:tcPr>
          <w:p>
            <w:r/>
            <w:r>
              <w:rPr>
                <w:b w:val="0"/>
              </w:rPr>
              <w:t>Records audits, observations, corrective actions and risk assessments</w:t>
            </w:r>
          </w:p>
        </w:tc>
        <w:tc>
          <w:tcPr>
            <w:tcW w:type="dxa" w:w="2520"/>
            <w:vAlign w:val="center"/>
          </w:tcPr>
          <w:p>
            <w:r/>
            <w:r>
              <w:rPr>
                <w:b w:val="0"/>
              </w:rPr>
              <w:t>QMS models/views</w:t>
            </w:r>
          </w:p>
        </w:tc>
        <w:tc>
          <w:tcPr>
            <w:tcW w:type="dxa" w:w="2520"/>
            <w:vAlign w:val="center"/>
          </w:tcPr>
          <w:p>
            <w:r/>
            <w:r>
              <w:rPr>
                <w:b w:val="0"/>
              </w:rPr>
              <w:t>Implemented; review scoring model</w:t>
            </w:r>
          </w:p>
        </w:tc>
      </w:tr>
      <w:tr>
        <w:tc>
          <w:tcPr>
            <w:tcW w:type="dxa" w:w="2520"/>
            <w:vAlign w:val="center"/>
          </w:tcPr>
          <w:p>
            <w:r/>
            <w:r>
              <w:rPr>
                <w:b w:val="0"/>
              </w:rPr>
              <w:t>Calibration</w:t>
            </w:r>
          </w:p>
        </w:tc>
        <w:tc>
          <w:tcPr>
            <w:tcW w:type="dxa" w:w="2520"/>
            <w:vAlign w:val="center"/>
          </w:tcPr>
          <w:p>
            <w:r/>
            <w:r>
              <w:rPr>
                <w:b w:val="0"/>
              </w:rPr>
              <w:t>Records equipment calibration and due dates</w:t>
            </w:r>
          </w:p>
        </w:tc>
        <w:tc>
          <w:tcPr>
            <w:tcW w:type="dxa" w:w="2520"/>
            <w:vAlign w:val="center"/>
          </w:tcPr>
          <w:p>
            <w:r/>
            <w:r>
              <w:rPr>
                <w:b w:val="0"/>
              </w:rPr>
              <w:t>QMS calibration models and alerts</w:t>
            </w:r>
          </w:p>
        </w:tc>
        <w:tc>
          <w:tcPr>
            <w:tcW w:type="dxa" w:w="2520"/>
            <w:vAlign w:val="center"/>
          </w:tcPr>
          <w:p>
            <w:r/>
            <w:r>
              <w:rPr>
                <w:b w:val="0"/>
              </w:rPr>
              <w:t>Implemented; verify alert scheduling</w:t>
            </w:r>
          </w:p>
        </w:tc>
      </w:tr>
      <w:tr>
        <w:tc>
          <w:tcPr>
            <w:tcW w:type="dxa" w:w="2520"/>
            <w:vAlign w:val="center"/>
          </w:tcPr>
          <w:p>
            <w:r/>
            <w:r>
              <w:rPr>
                <w:b w:val="0"/>
              </w:rPr>
              <w:t>Training</w:t>
            </w:r>
          </w:p>
        </w:tc>
        <w:tc>
          <w:tcPr>
            <w:tcW w:type="dxa" w:w="2520"/>
            <w:vAlign w:val="center"/>
          </w:tcPr>
          <w:p>
            <w:r/>
            <w:r>
              <w:rPr>
                <w:b w:val="0"/>
              </w:rPr>
              <w:t>Records training assignment/status and links to controlled documents</w:t>
            </w:r>
          </w:p>
        </w:tc>
        <w:tc>
          <w:tcPr>
            <w:tcW w:type="dxa" w:w="2520"/>
            <w:vAlign w:val="center"/>
          </w:tcPr>
          <w:p>
            <w:r/>
            <w:r>
              <w:rPr>
                <w:b w:val="0"/>
              </w:rPr>
              <w:t>QMS training models</w:t>
            </w:r>
          </w:p>
        </w:tc>
        <w:tc>
          <w:tcPr>
            <w:tcW w:type="dxa" w:w="2520"/>
            <w:vAlign w:val="center"/>
          </w:tcPr>
          <w:p>
            <w:r/>
            <w:r>
              <w:rPr>
                <w:b w:val="0"/>
              </w:rPr>
              <w:t>Implemented; verify qualification rules</w:t>
            </w:r>
          </w:p>
        </w:tc>
      </w:tr>
      <w:tr>
        <w:tc>
          <w:tcPr>
            <w:tcW w:type="dxa" w:w="2520"/>
            <w:vAlign w:val="center"/>
          </w:tcPr>
          <w:p>
            <w:r/>
            <w:r>
              <w:rPr>
                <w:b w:val="0"/>
              </w:rPr>
              <w:t>Notifications</w:t>
            </w:r>
          </w:p>
        </w:tc>
        <w:tc>
          <w:tcPr>
            <w:tcW w:type="dxa" w:w="2520"/>
            <w:vAlign w:val="center"/>
          </w:tcPr>
          <w:p>
            <w:r/>
            <w:r>
              <w:rPr>
                <w:b w:val="0"/>
              </w:rPr>
              <w:t>Supports dashboard, database and real-time notification mechanisms</w:t>
            </w:r>
          </w:p>
        </w:tc>
        <w:tc>
          <w:tcPr>
            <w:tcW w:type="dxa" w:w="2520"/>
            <w:vAlign w:val="center"/>
          </w:tcPr>
          <w:p>
            <w:r/>
            <w:r>
              <w:rPr>
                <w:b w:val="0"/>
              </w:rPr>
              <w:t>dashboards and workflow signals</w:t>
            </w:r>
          </w:p>
        </w:tc>
        <w:tc>
          <w:tcPr>
            <w:tcW w:type="dxa" w:w="2520"/>
            <w:vAlign w:val="center"/>
          </w:tcPr>
          <w:p>
            <w:r/>
            <w:r>
              <w:rPr>
                <w:b w:val="0"/>
              </w:rPr>
              <w:t>Implemented; delivery and acknowledgement require testing</w:t>
            </w:r>
          </w:p>
        </w:tc>
      </w:tr>
      <w:tr>
        <w:tc>
          <w:tcPr>
            <w:tcW w:type="dxa" w:w="2520"/>
            <w:vAlign w:val="center"/>
          </w:tcPr>
          <w:p>
            <w:r/>
            <w:r>
              <w:rPr>
                <w:b w:val="0"/>
              </w:rPr>
              <w:t>Analytics</w:t>
            </w:r>
          </w:p>
        </w:tc>
        <w:tc>
          <w:tcPr>
            <w:tcW w:type="dxa" w:w="2520"/>
            <w:vAlign w:val="center"/>
          </w:tcPr>
          <w:p>
            <w:r/>
            <w:r>
              <w:rPr>
                <w:b w:val="0"/>
              </w:rPr>
              <w:t>Provides production, quality, timing, equipment and inventory summaries</w:t>
            </w:r>
          </w:p>
        </w:tc>
        <w:tc>
          <w:tcPr>
            <w:tcW w:type="dxa" w:w="2520"/>
            <w:vAlign w:val="center"/>
          </w:tcPr>
          <w:p>
            <w:r/>
            <w:r>
              <w:rPr>
                <w:b w:val="0"/>
              </w:rPr>
              <w:t>`dashboards/analytics.py`</w:t>
            </w:r>
          </w:p>
        </w:tc>
        <w:tc>
          <w:tcPr>
            <w:tcW w:type="dxa" w:w="2520"/>
            <w:vAlign w:val="center"/>
          </w:tcPr>
          <w:p>
            <w:r/>
            <w:r>
              <w:rPr>
                <w:b w:val="0"/>
              </w:rPr>
              <w:t>Implemented; reconcile calculations</w:t>
            </w:r>
          </w:p>
        </w:tc>
      </w:tr>
      <w:tr>
        <w:tc>
          <w:tcPr>
            <w:tcW w:type="dxa" w:w="2520"/>
            <w:vAlign w:val="center"/>
          </w:tcPr>
          <w:p>
            <w:r/>
            <w:r>
              <w:rPr>
                <w:b w:val="0"/>
              </w:rPr>
              <w:t>Audit/activity records</w:t>
            </w:r>
          </w:p>
        </w:tc>
        <w:tc>
          <w:tcPr>
            <w:tcW w:type="dxa" w:w="2520"/>
            <w:vAlign w:val="center"/>
          </w:tcPr>
          <w:p>
            <w:r/>
            <w:r>
              <w:rPr>
                <w:b w:val="0"/>
              </w:rPr>
              <w:t>Stores user sessions, workflow events and QMS activity records</w:t>
            </w:r>
          </w:p>
        </w:tc>
        <w:tc>
          <w:tcPr>
            <w:tcW w:type="dxa" w:w="2520"/>
            <w:vAlign w:val="center"/>
          </w:tcPr>
          <w:p>
            <w:r/>
            <w:r>
              <w:rPr>
                <w:b w:val="0"/>
              </w:rPr>
              <w:t>accounts, workflow and dashboards models</w:t>
            </w:r>
          </w:p>
        </w:tc>
        <w:tc>
          <w:tcPr>
            <w:tcW w:type="dxa" w:w="2520"/>
            <w:vAlign w:val="center"/>
          </w:tcPr>
          <w:p>
            <w:r/>
            <w:r>
              <w:rPr>
                <w:b w:val="0"/>
              </w:rPr>
              <w:t>Present; audit-trail completeness must be demonstrated</w:t>
            </w:r>
          </w:p>
        </w:tc>
      </w:tr>
    </w:tbl>
    <w:p/>
    <w:p>
      <w:pPr>
        <w:pStyle w:val="Heading2"/>
      </w:pPr>
      <w:r>
        <w:t>5. End-to-end workflow descriptions</w:t>
      </w:r>
    </w:p>
    <w:p>
      <w:pPr>
        <w:pStyle w:val="Heading3"/>
      </w:pPr>
      <w:r>
        <w:t>5.1 BMR lifecycle</w:t>
      </w:r>
    </w:p>
    <w:p>
      <w:pPr>
        <w:pStyle w:val="ListNumber"/>
      </w:pPr>
      <w:r>
        <w:t>QA or an authorized user selects the product and template.</w:t>
      </w:r>
    </w:p>
    <w:p>
      <w:pPr>
        <w:pStyle w:val="ListNumber"/>
      </w:pPr>
      <w:r>
        <w:t>The BMR records product, batch, manufacturing and expiry details.</w:t>
      </w:r>
    </w:p>
    <w:p>
      <w:pPr>
        <w:pStyle w:val="ListNumber"/>
      </w:pPr>
      <w:r>
        <w:t>The record is submitted for approval.</w:t>
      </w:r>
    </w:p>
    <w:p>
      <w:pPr>
        <w:pStyle w:val="ListNumber"/>
      </w:pPr>
      <w:r>
        <w:t>Regulatory/QA approval or rejection is recorded.</w:t>
      </w:r>
    </w:p>
    <w:p>
      <w:pPr>
        <w:pStyle w:val="ListNumber"/>
      </w:pPr>
      <w:r>
        <w:t>The workflow engine creates phase executions based on the product route.</w:t>
      </w:r>
    </w:p>
    <w:p>
      <w:pPr>
        <w:pStyle w:val="ListNumber"/>
      </w:pPr>
      <w:r>
        <w:t>Authorized departments complete phases in sequence.</w:t>
      </w:r>
    </w:p>
    <w:p>
      <w:pPr>
        <w:pStyle w:val="ListNumber"/>
      </w:pPr>
      <w:r>
        <w:t>Required QA/QC gates control progression.</w:t>
      </w:r>
    </w:p>
    <w:p>
      <w:pPr>
        <w:pStyle w:val="ListNumber"/>
      </w:pPr>
      <w:r>
        <w:t>Completed batches proceed through final QA and finished-goods storage.</w:t>
      </w:r>
    </w:p>
    <w:p>
      <w:pPr>
        <w:pStyle w:val="Heading3"/>
      </w:pPr>
      <w:r>
        <w:t>5.2 Product-route rules</w:t>
      </w:r>
    </w:p>
    <w:p>
      <w:r>
        <w:rPr>
          <w:b w:val="0"/>
        </w:rPr>
        <w:t>The product route must be selected before BMR workflow creation and must not be changed casually after phase executions exist.</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F4E78"/>
          </w:tcPr>
          <w:p>
            <w:r/>
            <w:r>
              <w:rPr>
                <w:b/>
                <w:color w:val="FFFFFF"/>
              </w:rPr>
              <w:t>Product data</w:t>
            </w:r>
          </w:p>
        </w:tc>
        <w:tc>
          <w:tcPr>
            <w:tcW w:type="dxa" w:w="3360"/>
            <w:vAlign w:val="center"/>
            <w:shd w:fill="1F4E78"/>
          </w:tcPr>
          <w:p>
            <w:r/>
            <w:r>
              <w:rPr>
                <w:b/>
                <w:color w:val="FFFFFF"/>
              </w:rPr>
              <w:t>Workflow template</w:t>
            </w:r>
          </w:p>
        </w:tc>
        <w:tc>
          <w:tcPr>
            <w:tcW w:type="dxa" w:w="3360"/>
            <w:vAlign w:val="center"/>
            <w:shd w:fill="1F4E78"/>
          </w:tcPr>
          <w:p>
            <w:r/>
            <w:r>
              <w:rPr>
                <w:b/>
                <w:color w:val="FFFFFF"/>
              </w:rPr>
              <w:t>Packing phase</w:t>
            </w:r>
          </w:p>
        </w:tc>
      </w:tr>
      <w:tr>
        <w:tc>
          <w:tcPr>
            <w:tcW w:type="dxa" w:w="3360"/>
            <w:vAlign w:val="center"/>
          </w:tcPr>
          <w:p>
            <w:r/>
            <w:r>
              <w:rPr>
                <w:b w:val="0"/>
              </w:rPr>
              <w:t>`product_type=tablet`, normal</w:t>
            </w:r>
          </w:p>
        </w:tc>
        <w:tc>
          <w:tcPr>
            <w:tcW w:type="dxa" w:w="3360"/>
            <w:vAlign w:val="center"/>
          </w:tcPr>
          <w:p>
            <w:r/>
            <w:r>
              <w:rPr>
                <w:b w:val="0"/>
              </w:rPr>
              <w:t>`tablet`</w:t>
            </w:r>
          </w:p>
        </w:tc>
        <w:tc>
          <w:tcPr>
            <w:tcW w:type="dxa" w:w="3360"/>
            <w:vAlign w:val="center"/>
          </w:tcPr>
          <w:p>
            <w:r/>
            <w:r>
              <w:rPr>
                <w:b w:val="0"/>
              </w:rPr>
              <w:t>`blister_packing`</w:t>
            </w:r>
          </w:p>
        </w:tc>
      </w:tr>
      <w:tr>
        <w:tc>
          <w:tcPr>
            <w:tcW w:type="dxa" w:w="3360"/>
            <w:vAlign w:val="center"/>
          </w:tcPr>
          <w:p>
            <w:r/>
            <w:r>
              <w:rPr>
                <w:b w:val="0"/>
              </w:rPr>
              <w:t>`product_type=tablet`, `tablet_type=tablet_2`</w:t>
            </w:r>
          </w:p>
        </w:tc>
        <w:tc>
          <w:tcPr>
            <w:tcW w:type="dxa" w:w="3360"/>
            <w:vAlign w:val="center"/>
          </w:tcPr>
          <w:p>
            <w:r/>
            <w:r>
              <w:rPr>
                <w:b w:val="0"/>
              </w:rPr>
              <w:t>`tablet_type_2`</w:t>
            </w:r>
          </w:p>
        </w:tc>
        <w:tc>
          <w:tcPr>
            <w:tcW w:type="dxa" w:w="3360"/>
            <w:vAlign w:val="center"/>
          </w:tcPr>
          <w:p>
            <w:r/>
            <w:r>
              <w:rPr>
                <w:b w:val="0"/>
              </w:rPr>
              <w:t>`bulk_packing`</w:t>
            </w:r>
          </w:p>
        </w:tc>
      </w:tr>
      <w:tr>
        <w:tc>
          <w:tcPr>
            <w:tcW w:type="dxa" w:w="3360"/>
            <w:vAlign w:val="center"/>
          </w:tcPr>
          <w:p>
            <w:r/>
            <w:r>
              <w:rPr>
                <w:b w:val="0"/>
              </w:rPr>
              <w:t>`product_type=capsule`, `capsule_type=normal`</w:t>
            </w:r>
          </w:p>
        </w:tc>
        <w:tc>
          <w:tcPr>
            <w:tcW w:type="dxa" w:w="3360"/>
            <w:vAlign w:val="center"/>
          </w:tcPr>
          <w:p>
            <w:r/>
            <w:r>
              <w:rPr>
                <w:b w:val="0"/>
              </w:rPr>
              <w:t>`capsule`</w:t>
            </w:r>
          </w:p>
        </w:tc>
        <w:tc>
          <w:tcPr>
            <w:tcW w:type="dxa" w:w="3360"/>
            <w:vAlign w:val="center"/>
          </w:tcPr>
          <w:p>
            <w:r/>
            <w:r>
              <w:rPr>
                <w:b w:val="0"/>
              </w:rPr>
              <w:t>`blister_packing`</w:t>
            </w:r>
          </w:p>
        </w:tc>
      </w:tr>
      <w:tr>
        <w:tc>
          <w:tcPr>
            <w:tcW w:type="dxa" w:w="3360"/>
            <w:vAlign w:val="center"/>
          </w:tcPr>
          <w:p>
            <w:r/>
            <w:r>
              <w:rPr>
                <w:b w:val="0"/>
              </w:rPr>
              <w:t>`product_type=capsule`, `capsule_type=ug`</w:t>
            </w:r>
          </w:p>
        </w:tc>
        <w:tc>
          <w:tcPr>
            <w:tcW w:type="dxa" w:w="3360"/>
            <w:vAlign w:val="center"/>
          </w:tcPr>
          <w:p>
            <w:r/>
            <w:r>
              <w:rPr>
                <w:b w:val="0"/>
              </w:rPr>
              <w:t>`capsule_ug`</w:t>
            </w:r>
          </w:p>
        </w:tc>
        <w:tc>
          <w:tcPr>
            <w:tcW w:type="dxa" w:w="3360"/>
            <w:vAlign w:val="center"/>
          </w:tcPr>
          <w:p>
            <w:r/>
            <w:r>
              <w:rPr>
                <w:b w:val="0"/>
              </w:rPr>
              <w:t>`bulk_packing`</w:t>
            </w:r>
          </w:p>
        </w:tc>
      </w:tr>
    </w:tbl>
    <w:p/>
    <w:p>
      <w:r>
        <w:rPr>
          <w:b w:val="0"/>
        </w:rPr>
        <w:t>If a product type or variant is changed after a BMR is created, the existing phase executions do not automatically become a new workflow. The approved operational rule should be to correct the product before workflow initialization or process the change through a controlled, authorized rework/recreation procedure.</w:t>
      </w:r>
    </w:p>
    <w:p>
      <w:pPr>
        <w:pStyle w:val="Heading2"/>
      </w:pPr>
      <w:r>
        <w:t>6. Roles and access model</w:t>
      </w:r>
    </w:p>
    <w:p>
      <w:r>
        <w:rPr>
          <w:b w:val="0"/>
        </w:rPr>
        <w:t>The user model includes the following functional roles: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1F4E78"/>
          </w:tcPr>
          <w:p>
            <w:r/>
            <w:r>
              <w:rPr>
                <w:b/>
                <w:color w:val="FFFFFF"/>
              </w:rPr>
              <w:t>Group</w:t>
            </w:r>
          </w:p>
        </w:tc>
        <w:tc>
          <w:tcPr>
            <w:tcW w:type="dxa" w:w="5040"/>
            <w:vAlign w:val="center"/>
            <w:shd w:fill="1F4E78"/>
          </w:tcPr>
          <w:p>
            <w:r/>
            <w:r>
              <w:rPr>
                <w:b/>
                <w:color w:val="FFFFFF"/>
              </w:rPr>
              <w:t>Roles</w:t>
            </w:r>
          </w:p>
        </w:tc>
      </w:tr>
      <w:tr>
        <w:tc>
          <w:tcPr>
            <w:tcW w:type="dxa" w:w="5040"/>
            <w:vAlign w:val="center"/>
          </w:tcPr>
          <w:p>
            <w:r/>
            <w:r>
              <w:rPr>
                <w:b w:val="0"/>
              </w:rPr>
              <w:t>Administration</w:t>
            </w:r>
          </w:p>
        </w:tc>
        <w:tc>
          <w:tcPr>
            <w:tcW w:type="dxa" w:w="5040"/>
            <w:vAlign w:val="center"/>
          </w:tcPr>
          <w:p>
            <w:r/>
            <w:r>
              <w:rPr>
                <w:b w:val="0"/>
              </w:rPr>
              <w:t>Admin</w:t>
            </w:r>
          </w:p>
        </w:tc>
      </w:tr>
      <w:tr>
        <w:tc>
          <w:tcPr>
            <w:tcW w:type="dxa" w:w="5040"/>
            <w:vAlign w:val="center"/>
          </w:tcPr>
          <w:p>
            <w:r/>
            <w:r>
              <w:rPr>
                <w:b w:val="0"/>
              </w:rPr>
              <w:t>Quality</w:t>
            </w:r>
          </w:p>
        </w:tc>
        <w:tc>
          <w:tcPr>
            <w:tcW w:type="dxa" w:w="5040"/>
            <w:vAlign w:val="center"/>
          </w:tcPr>
          <w:p>
            <w:r/>
            <w:r>
              <w:rPr>
                <w:b w:val="0"/>
              </w:rPr>
              <w:t>Head QA, QA, QC, Quarantine Manager</w:t>
            </w:r>
          </w:p>
        </w:tc>
      </w:tr>
      <w:tr>
        <w:tc>
          <w:tcPr>
            <w:tcW w:type="dxa" w:w="5040"/>
            <w:vAlign w:val="center"/>
          </w:tcPr>
          <w:p>
            <w:r/>
            <w:r>
              <w:rPr>
                <w:b w:val="0"/>
              </w:rPr>
              <w:t>Regulatory</w:t>
            </w:r>
          </w:p>
        </w:tc>
        <w:tc>
          <w:tcPr>
            <w:tcW w:type="dxa" w:w="5040"/>
            <w:vAlign w:val="center"/>
          </w:tcPr>
          <w:p>
            <w:r/>
            <w:r>
              <w:rPr>
                <w:b w:val="0"/>
              </w:rPr>
              <w:t>Regulatory</w:t>
            </w:r>
          </w:p>
        </w:tc>
      </w:tr>
      <w:tr>
        <w:tc>
          <w:tcPr>
            <w:tcW w:type="dxa" w:w="5040"/>
            <w:vAlign w:val="center"/>
          </w:tcPr>
          <w:p>
            <w:r/>
            <w:r>
              <w:rPr>
                <w:b w:val="0"/>
              </w:rPr>
              <w:t>Production management</w:t>
            </w:r>
          </w:p>
        </w:tc>
        <w:tc>
          <w:tcPr>
            <w:tcW w:type="dxa" w:w="5040"/>
            <w:vAlign w:val="center"/>
          </w:tcPr>
          <w:p>
            <w:r/>
            <w:r>
              <w:rPr>
                <w:b w:val="0"/>
              </w:rPr>
              <w:t>Production Manager</w:t>
            </w:r>
          </w:p>
        </w:tc>
      </w:tr>
      <w:tr>
        <w:tc>
          <w:tcPr>
            <w:tcW w:type="dxa" w:w="5040"/>
            <w:vAlign w:val="center"/>
          </w:tcPr>
          <w:p>
            <w:r/>
            <w:r>
              <w:rPr>
                <w:b w:val="0"/>
              </w:rPr>
              <w:t>Materials</w:t>
            </w:r>
          </w:p>
        </w:tc>
        <w:tc>
          <w:tcPr>
            <w:tcW w:type="dxa" w:w="5040"/>
            <w:vAlign w:val="center"/>
          </w:tcPr>
          <w:p>
            <w:r/>
            <w:r>
              <w:rPr>
                <w:b w:val="0"/>
              </w:rPr>
              <w:t>Store Manager, Dispensing Manager, Packaging Store</w:t>
            </w:r>
          </w:p>
        </w:tc>
      </w:tr>
      <w:tr>
        <w:tc>
          <w:tcPr>
            <w:tcW w:type="dxa" w:w="5040"/>
            <w:vAlign w:val="center"/>
          </w:tcPr>
          <w:p>
            <w:r/>
            <w:r>
              <w:rPr>
                <w:b w:val="0"/>
              </w:rPr>
              <w:t>Finished goods</w:t>
            </w:r>
          </w:p>
        </w:tc>
        <w:tc>
          <w:tcPr>
            <w:tcW w:type="dxa" w:w="5040"/>
            <w:vAlign w:val="center"/>
          </w:tcPr>
          <w:p>
            <w:r/>
            <w:r>
              <w:rPr>
                <w:b w:val="0"/>
              </w:rPr>
              <w:t>Finished Goods Store</w:t>
            </w:r>
          </w:p>
        </w:tc>
      </w:tr>
      <w:tr>
        <w:tc>
          <w:tcPr>
            <w:tcW w:type="dxa" w:w="5040"/>
            <w:vAlign w:val="center"/>
          </w:tcPr>
          <w:p>
            <w:r/>
            <w:r>
              <w:rPr>
                <w:b w:val="0"/>
              </w:rPr>
              <w:t>Operations</w:t>
            </w:r>
          </w:p>
        </w:tc>
        <w:tc>
          <w:tcPr>
            <w:tcW w:type="dxa" w:w="5040"/>
            <w:vAlign w:val="center"/>
          </w:tcPr>
          <w:p>
            <w:r/>
            <w:r>
              <w:rPr>
                <w:b w:val="0"/>
              </w:rPr>
              <w:t>Mixing, tube-filling, granulation, blending, compression, coating, filling, sorting, packing and dispensing operators</w:t>
            </w:r>
          </w:p>
        </w:tc>
      </w:tr>
      <w:tr>
        <w:tc>
          <w:tcPr>
            <w:tcW w:type="dxa" w:w="5040"/>
            <w:vAlign w:val="center"/>
          </w:tcPr>
          <w:p>
            <w:r/>
            <w:r>
              <w:rPr>
                <w:b w:val="0"/>
              </w:rPr>
              <w:t>Equipment</w:t>
            </w:r>
          </w:p>
        </w:tc>
        <w:tc>
          <w:tcPr>
            <w:tcW w:type="dxa" w:w="5040"/>
            <w:vAlign w:val="center"/>
          </w:tcPr>
          <w:p>
            <w:r/>
            <w:r>
              <w:rPr>
                <w:b w:val="0"/>
              </w:rPr>
              <w:t>Equipment Operator, Maintenance Technician</w:t>
            </w:r>
          </w:p>
        </w:tc>
      </w:tr>
      <w:tr>
        <w:tc>
          <w:tcPr>
            <w:tcW w:type="dxa" w:w="5040"/>
            <w:vAlign w:val="center"/>
          </w:tcPr>
          <w:p>
            <w:r/>
            <w:r>
              <w:rPr>
                <w:b w:val="0"/>
              </w:rPr>
              <w:t>Support</w:t>
            </w:r>
          </w:p>
        </w:tc>
        <w:tc>
          <w:tcPr>
            <w:tcW w:type="dxa" w:w="5040"/>
            <w:vAlign w:val="center"/>
          </w:tcPr>
          <w:p>
            <w:r/>
            <w:r>
              <w:rPr>
                <w:b w:val="0"/>
              </w:rPr>
              <w:t>Cleaning Operator</w:t>
            </w:r>
          </w:p>
        </w:tc>
      </w:tr>
    </w:tbl>
    <w:p/>
    <w:p>
      <w:r>
        <w:rPr>
          <w:b w:val="0"/>
        </w:rPr>
        <w:t>Access is implemented through Django authentication, role checks, dashboard permissions and staff/superuser controls. QA must approve a role-permission matrix and verify least privilege, segregation of duties, inactive-user handling and periodic access review.</w:t>
      </w:r>
    </w:p>
    <w:p>
      <w:pPr>
        <w:pStyle w:val="Heading2"/>
      </w:pPr>
      <w:r>
        <w:t>7. Data integrity and electronic records</w:t>
      </w:r>
    </w:p>
    <w:p>
      <w:r>
        <w:rPr>
          <w:b w:val="0"/>
        </w:rPr>
        <w:t>The application contains controls that support data integrity:</w:t>
      </w:r>
    </w:p>
    <w:p>
      <w:pPr>
        <w:pStyle w:val="ListBullet"/>
      </w:pPr>
      <w:r>
        <w:t>User-attributed records and workflow actions</w:t>
      </w:r>
    </w:p>
    <w:p>
      <w:pPr>
        <w:pStyle w:val="ListBullet"/>
      </w:pPr>
      <w:r>
        <w:t>Timestamped approvals and phase execution data</w:t>
      </w:r>
    </w:p>
    <w:p>
      <w:pPr>
        <w:pStyle w:val="ListBullet"/>
      </w:pPr>
      <w:r>
        <w:t>Database constraints and foreign-key relationships</w:t>
      </w:r>
    </w:p>
    <w:p>
      <w:pPr>
        <w:pStyle w:val="ListBullet"/>
      </w:pPr>
      <w:r>
        <w:t>Status-controlled workflow progression</w:t>
      </w:r>
    </w:p>
    <w:p>
      <w:pPr>
        <w:pStyle w:val="ListBullet"/>
      </w:pPr>
      <w:r>
        <w:t>Role-restricted dashboards and actions</w:t>
      </w:r>
    </w:p>
    <w:p>
      <w:pPr>
        <w:pStyle w:val="ListBullet"/>
      </w:pPr>
      <w:r>
        <w:t>Line-clearance and process-signing statuses</w:t>
      </w:r>
    </w:p>
    <w:p>
      <w:pPr>
        <w:pStyle w:val="ListBullet"/>
      </w:pPr>
      <w:r>
        <w:t>QMS activity and field-audit records</w:t>
      </w:r>
    </w:p>
    <w:p>
      <w:pPr>
        <w:pStyle w:val="ListBullet"/>
      </w:pPr>
      <w:r>
        <w:t>User session tracking</w:t>
      </w:r>
    </w:p>
    <w:p>
      <w:pPr>
        <w:pStyle w:val="ListBullet"/>
      </w:pPr>
      <w:r>
        <w:t>Migration-controlled schema changes</w:t>
      </w:r>
    </w:p>
    <w:p>
      <w:r>
        <w:rPr>
          <w:b w:val="0"/>
        </w:rPr>
        <w:t>The following must be demonstrated before making a formal ALCOA+ or Part 11 claim:</w:t>
      </w:r>
    </w:p>
    <w:p>
      <w:pPr>
        <w:pStyle w:val="ListBullet"/>
      </w:pPr>
      <w:r>
        <w:t>Unique electronic-signature identity and re-authentication at signing</w:t>
      </w:r>
    </w:p>
    <w:p>
      <w:pPr>
        <w:pStyle w:val="ListBullet"/>
      </w:pPr>
      <w:r>
        <w:t>Signature meaning, signer name, date/time and record linkage</w:t>
      </w:r>
    </w:p>
    <w:p>
      <w:pPr>
        <w:pStyle w:val="ListBullet"/>
      </w:pPr>
      <w:r>
        <w:t>Prevention of unauthorized alteration or deletion</w:t>
      </w:r>
    </w:p>
    <w:p>
      <w:pPr>
        <w:pStyle w:val="ListBullet"/>
      </w:pPr>
      <w:r>
        <w:t>Secure, reviewable audit trail containing old and new values where required</w:t>
      </w:r>
    </w:p>
    <w:p>
      <w:pPr>
        <w:pStyle w:val="ListBullet"/>
      </w:pPr>
      <w:r>
        <w:t>Backup restoration and retention</w:t>
      </w:r>
    </w:p>
    <w:p>
      <w:pPr>
        <w:pStyle w:val="ListBullet"/>
      </w:pPr>
      <w:r>
        <w:t>Time synchronization and timezone control</w:t>
      </w:r>
    </w:p>
    <w:p>
      <w:pPr>
        <w:pStyle w:val="ListBullet"/>
      </w:pPr>
      <w:r>
        <w:t>Periodic access review and account deactivation</w:t>
      </w:r>
    </w:p>
    <w:p>
      <w:pPr>
        <w:pStyle w:val="ListBullet"/>
      </w:pPr>
      <w:r>
        <w:t>Controlled change management and release approval</w:t>
      </w:r>
    </w:p>
    <w:p>
      <w:pPr>
        <w:pStyle w:val="ListBullet"/>
      </w:pPr>
      <w:r>
        <w:t>Validation of exports, printed records and PDF output</w:t>
      </w:r>
    </w:p>
    <w:p>
      <w:pPr>
        <w:pStyle w:val="Heading2"/>
      </w:pPr>
      <w:r>
        <w:t>8. Security and operational controls</w:t>
      </w:r>
    </w:p>
    <w:p>
      <w:r>
        <w:rPr>
          <w:b w:val="0"/>
        </w:rPr>
        <w:t>Implemented or configured areas include authentication, role-based access, session timeout/security settings, user sessions, Django CSRF protection, password handling through Django and optional OTP-related middleware/configuration.</w:t>
      </w:r>
    </w:p>
    <w:p>
      <w:r>
        <w:rPr>
          <w:b w:val="0"/>
        </w:rPr>
        <w:t>Before production release, IT must verify:</w:t>
      </w:r>
    </w:p>
    <w:p>
      <w:pPr>
        <w:pStyle w:val="ListBullet"/>
      </w:pPr>
      <w:r>
        <w:t>Production uses a supported database rather than development SQLite.</w:t>
      </w:r>
    </w:p>
    <w:p>
      <w:pPr>
        <w:pStyle w:val="ListBullet"/>
      </w:pPr>
      <w:r>
        <w:t>Secrets are externalized and not stored in source control.</w:t>
      </w:r>
    </w:p>
    <w:p>
      <w:pPr>
        <w:pStyle w:val="ListBullet"/>
      </w:pPr>
      <w:r>
        <w:t>HTTPS is enforced.</w:t>
      </w:r>
    </w:p>
    <w:p>
      <w:pPr>
        <w:pStyle w:val="ListBullet"/>
      </w:pPr>
      <w:r>
        <w:t>Debug mode is disabled.</w:t>
      </w:r>
    </w:p>
    <w:p>
      <w:pPr>
        <w:pStyle w:val="ListBullet"/>
      </w:pPr>
      <w:r>
        <w:t>Backups are encrypted, tested and monitored.</w:t>
      </w:r>
    </w:p>
    <w:p>
      <w:pPr>
        <w:pStyle w:val="ListBullet"/>
      </w:pPr>
      <w:r>
        <w:t>Logs are retained, protected and reviewed.</w:t>
      </w:r>
    </w:p>
    <w:p>
      <w:pPr>
        <w:pStyle w:val="ListBullet"/>
      </w:pPr>
      <w:r>
        <w:t>Security patches are controlled.</w:t>
      </w:r>
    </w:p>
    <w:p>
      <w:pPr>
        <w:pStyle w:val="ListBullet"/>
      </w:pPr>
      <w:r>
        <w:t>Superuser access is restricted and reviewed.</w:t>
      </w:r>
    </w:p>
    <w:p>
      <w:pPr>
        <w:pStyle w:val="ListBullet"/>
      </w:pPr>
      <w:r>
        <w:t>Disaster recovery and business continuity procedures are tested.</w:t>
      </w:r>
    </w:p>
    <w:p>
      <w:pPr>
        <w:pStyle w:val="Heading2"/>
      </w:pPr>
      <w:r>
        <w:t>9. Validation and standards position</w:t>
      </w:r>
    </w:p>
    <w:p>
      <w:r>
        <w:rPr>
          <w:b w:val="0"/>
        </w:rPr>
        <w:t>The repository contains URS, OQ and traceability drafts, but document existence is not test execution. The following evidence is required for a defensible release package: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F4E78"/>
          </w:tcPr>
          <w:p>
            <w:r/>
            <w:r>
              <w:rPr>
                <w:b/>
                <w:color w:val="FFFFFF"/>
              </w:rPr>
              <w:t>Validation deliverable</w:t>
            </w:r>
          </w:p>
        </w:tc>
        <w:tc>
          <w:tcPr>
            <w:tcW w:type="dxa" w:w="3360"/>
            <w:vAlign w:val="center"/>
            <w:shd w:fill="1F4E78"/>
          </w:tcPr>
          <w:p>
            <w:r/>
            <w:r>
              <w:rPr>
                <w:b/>
                <w:color w:val="FFFFFF"/>
              </w:rPr>
              <w:t>Required evidence</w:t>
            </w:r>
          </w:p>
        </w:tc>
        <w:tc>
          <w:tcPr>
            <w:tcW w:type="dxa" w:w="3360"/>
            <w:vAlign w:val="center"/>
            <w:shd w:fill="1F4E78"/>
          </w:tcPr>
          <w:p>
            <w:r/>
            <w:r>
              <w:rPr>
                <w:b/>
                <w:color w:val="FFFFFF"/>
              </w:rPr>
              <w:t>Current position</w:t>
            </w:r>
          </w:p>
        </w:tc>
      </w:tr>
      <w:tr>
        <w:tc>
          <w:tcPr>
            <w:tcW w:type="dxa" w:w="3360"/>
            <w:vAlign w:val="center"/>
          </w:tcPr>
          <w:p>
            <w:r/>
            <w:r>
              <w:rPr>
                <w:b w:val="0"/>
              </w:rPr>
              <w:t>User Requirements Specification</w:t>
            </w:r>
          </w:p>
        </w:tc>
        <w:tc>
          <w:tcPr>
            <w:tcW w:type="dxa" w:w="3360"/>
            <w:vAlign w:val="center"/>
          </w:tcPr>
          <w:p>
            <w:r/>
            <w:r>
              <w:rPr>
                <w:b w:val="0"/>
              </w:rPr>
              <w:t>Approved requirements and signatures</w:t>
            </w:r>
          </w:p>
        </w:tc>
        <w:tc>
          <w:tcPr>
            <w:tcW w:type="dxa" w:w="3360"/>
            <w:vAlign w:val="center"/>
          </w:tcPr>
          <w:p>
            <w:r/>
            <w:r>
              <w:rPr>
                <w:b w:val="0"/>
              </w:rPr>
              <w:t>Draft package exists; approval required</w:t>
            </w:r>
          </w:p>
        </w:tc>
      </w:tr>
      <w:tr>
        <w:tc>
          <w:tcPr>
            <w:tcW w:type="dxa" w:w="3360"/>
            <w:vAlign w:val="center"/>
          </w:tcPr>
          <w:p>
            <w:r/>
            <w:r>
              <w:rPr>
                <w:b w:val="0"/>
              </w:rPr>
              <w:t>Risk assessment</w:t>
            </w:r>
          </w:p>
        </w:tc>
        <w:tc>
          <w:tcPr>
            <w:tcW w:type="dxa" w:w="3360"/>
            <w:vAlign w:val="center"/>
          </w:tcPr>
          <w:p>
            <w:r/>
            <w:r>
              <w:rPr>
                <w:b w:val="0"/>
              </w:rPr>
              <w:t>Criticality, patient/product/data risks and controls</w:t>
            </w:r>
          </w:p>
        </w:tc>
        <w:tc>
          <w:tcPr>
            <w:tcW w:type="dxa" w:w="3360"/>
            <w:vAlign w:val="center"/>
          </w:tcPr>
          <w:p>
            <w:r/>
            <w:r>
              <w:rPr>
                <w:b w:val="0"/>
              </w:rPr>
              <w:t>Must be approved</w:t>
            </w:r>
          </w:p>
        </w:tc>
      </w:tr>
      <w:tr>
        <w:tc>
          <w:tcPr>
            <w:tcW w:type="dxa" w:w="3360"/>
            <w:vAlign w:val="center"/>
          </w:tcPr>
          <w:p>
            <w:r/>
            <w:r>
              <w:rPr>
                <w:b w:val="0"/>
              </w:rPr>
              <w:t>Installation Qualification</w:t>
            </w:r>
          </w:p>
        </w:tc>
        <w:tc>
          <w:tcPr>
            <w:tcW w:type="dxa" w:w="3360"/>
            <w:vAlign w:val="center"/>
          </w:tcPr>
          <w:p>
            <w:r/>
            <w:r>
              <w:rPr>
                <w:b w:val="0"/>
              </w:rPr>
              <w:t>Environment, versions, installation and configuration evidence</w:t>
            </w:r>
          </w:p>
        </w:tc>
        <w:tc>
          <w:tcPr>
            <w:tcW w:type="dxa" w:w="3360"/>
            <w:vAlign w:val="center"/>
          </w:tcPr>
          <w:p>
            <w:r/>
            <w:r>
              <w:rPr>
                <w:b w:val="0"/>
              </w:rPr>
              <w:t>Must be executed</w:t>
            </w:r>
          </w:p>
        </w:tc>
      </w:tr>
      <w:tr>
        <w:tc>
          <w:tcPr>
            <w:tcW w:type="dxa" w:w="3360"/>
            <w:vAlign w:val="center"/>
          </w:tcPr>
          <w:p>
            <w:r/>
            <w:r>
              <w:rPr>
                <w:b w:val="0"/>
              </w:rPr>
              <w:t>Operational Qualification</w:t>
            </w:r>
          </w:p>
        </w:tc>
        <w:tc>
          <w:tcPr>
            <w:tcW w:type="dxa" w:w="3360"/>
            <w:vAlign w:val="center"/>
          </w:tcPr>
          <w:p>
            <w:r/>
            <w:r>
              <w:rPr>
                <w:b w:val="0"/>
              </w:rPr>
              <w:t>Signed test results for roles, workflows, calculations, security and error handling</w:t>
            </w:r>
          </w:p>
        </w:tc>
        <w:tc>
          <w:tcPr>
            <w:tcW w:type="dxa" w:w="3360"/>
            <w:vAlign w:val="center"/>
          </w:tcPr>
          <w:p>
            <w:r/>
            <w:r>
              <w:rPr>
                <w:b w:val="0"/>
              </w:rPr>
              <w:t>Must be executed</w:t>
            </w:r>
          </w:p>
        </w:tc>
      </w:tr>
      <w:tr>
        <w:tc>
          <w:tcPr>
            <w:tcW w:type="dxa" w:w="3360"/>
            <w:vAlign w:val="center"/>
          </w:tcPr>
          <w:p>
            <w:r/>
            <w:r>
              <w:rPr>
                <w:b w:val="0"/>
              </w:rPr>
              <w:t>Performance Qualification</w:t>
            </w:r>
          </w:p>
        </w:tc>
        <w:tc>
          <w:tcPr>
            <w:tcW w:type="dxa" w:w="3360"/>
            <w:vAlign w:val="center"/>
          </w:tcPr>
          <w:p>
            <w:r/>
            <w:r>
              <w:rPr>
                <w:b w:val="0"/>
              </w:rPr>
              <w:t>Representative production scenarios and trained users</w:t>
            </w:r>
          </w:p>
        </w:tc>
        <w:tc>
          <w:tcPr>
            <w:tcW w:type="dxa" w:w="3360"/>
            <w:vAlign w:val="center"/>
          </w:tcPr>
          <w:p>
            <w:r/>
            <w:r>
              <w:rPr>
                <w:b w:val="0"/>
              </w:rPr>
              <w:t>Must be executed</w:t>
            </w:r>
          </w:p>
        </w:tc>
      </w:tr>
      <w:tr>
        <w:tc>
          <w:tcPr>
            <w:tcW w:type="dxa" w:w="3360"/>
            <w:vAlign w:val="center"/>
          </w:tcPr>
          <w:p>
            <w:r/>
            <w:r>
              <w:rPr>
                <w:b w:val="0"/>
              </w:rPr>
              <w:t>Traceability matrix</w:t>
            </w:r>
          </w:p>
        </w:tc>
        <w:tc>
          <w:tcPr>
            <w:tcW w:type="dxa" w:w="3360"/>
            <w:vAlign w:val="center"/>
          </w:tcPr>
          <w:p>
            <w:r/>
            <w:r>
              <w:rPr>
                <w:b w:val="0"/>
              </w:rPr>
              <w:t>Requirement-to-test-to-result links</w:t>
            </w:r>
          </w:p>
        </w:tc>
        <w:tc>
          <w:tcPr>
            <w:tcW w:type="dxa" w:w="3360"/>
            <w:vAlign w:val="center"/>
          </w:tcPr>
          <w:p>
            <w:r/>
            <w:r>
              <w:rPr>
                <w:b w:val="0"/>
              </w:rPr>
              <w:t>Draft exists; update with actual results</w:t>
            </w:r>
          </w:p>
        </w:tc>
      </w:tr>
      <w:tr>
        <w:tc>
          <w:tcPr>
            <w:tcW w:type="dxa" w:w="3360"/>
            <w:vAlign w:val="center"/>
          </w:tcPr>
          <w:p>
            <w:r/>
            <w:r>
              <w:rPr>
                <w:b w:val="0"/>
              </w:rPr>
              <w:t>Deviation management</w:t>
            </w:r>
          </w:p>
        </w:tc>
        <w:tc>
          <w:tcPr>
            <w:tcW w:type="dxa" w:w="3360"/>
            <w:vAlign w:val="center"/>
          </w:tcPr>
          <w:p>
            <w:r/>
            <w:r>
              <w:rPr>
                <w:b w:val="0"/>
              </w:rPr>
              <w:t>Defects, impact assessment, CAPA and retest evidence</w:t>
            </w:r>
          </w:p>
        </w:tc>
        <w:tc>
          <w:tcPr>
            <w:tcW w:type="dxa" w:w="3360"/>
            <w:vAlign w:val="center"/>
          </w:tcPr>
          <w:p>
            <w:r/>
            <w:r>
              <w:rPr>
                <w:b w:val="0"/>
              </w:rPr>
              <w:t>Required during testing</w:t>
            </w:r>
          </w:p>
        </w:tc>
      </w:tr>
      <w:tr>
        <w:tc>
          <w:tcPr>
            <w:tcW w:type="dxa" w:w="3360"/>
            <w:vAlign w:val="center"/>
          </w:tcPr>
          <w:p>
            <w:r/>
            <w:r>
              <w:rPr>
                <w:b w:val="0"/>
              </w:rPr>
              <w:t>Validation summary report</w:t>
            </w:r>
          </w:p>
        </w:tc>
        <w:tc>
          <w:tcPr>
            <w:tcW w:type="dxa" w:w="3360"/>
            <w:vAlign w:val="center"/>
          </w:tcPr>
          <w:p>
            <w:r/>
            <w:r>
              <w:rPr>
                <w:b w:val="0"/>
              </w:rPr>
              <w:t>Final pass/fail decision and QA release</w:t>
            </w:r>
          </w:p>
        </w:tc>
        <w:tc>
          <w:tcPr>
            <w:tcW w:type="dxa" w:w="3360"/>
            <w:vAlign w:val="center"/>
          </w:tcPr>
          <w:p>
            <w:r/>
            <w:r>
              <w:rPr>
                <w:b w:val="0"/>
              </w:rPr>
              <w:t>Not complete until testing closes</w:t>
            </w:r>
          </w:p>
        </w:tc>
      </w:tr>
      <w:tr>
        <w:tc>
          <w:tcPr>
            <w:tcW w:type="dxa" w:w="3360"/>
            <w:vAlign w:val="center"/>
          </w:tcPr>
          <w:p>
            <w:r/>
            <w:r>
              <w:rPr>
                <w:b w:val="0"/>
              </w:rPr>
              <w:t>SOP package</w:t>
            </w:r>
          </w:p>
        </w:tc>
        <w:tc>
          <w:tcPr>
            <w:tcW w:type="dxa" w:w="3360"/>
            <w:vAlign w:val="center"/>
          </w:tcPr>
          <w:p>
            <w:r/>
            <w:r>
              <w:rPr>
                <w:b w:val="0"/>
              </w:rPr>
              <w:t>Operation, access, backup, incident, change and review procedures</w:t>
            </w:r>
          </w:p>
        </w:tc>
        <w:tc>
          <w:tcPr>
            <w:tcW w:type="dxa" w:w="3360"/>
            <w:vAlign w:val="center"/>
          </w:tcPr>
          <w:p>
            <w:r/>
            <w:r>
              <w:rPr>
                <w:b w:val="0"/>
              </w:rPr>
              <w:t>Required</w:t>
            </w:r>
          </w:p>
        </w:tc>
      </w:tr>
      <w:tr>
        <w:tc>
          <w:tcPr>
            <w:tcW w:type="dxa" w:w="3360"/>
            <w:vAlign w:val="center"/>
          </w:tcPr>
          <w:p>
            <w:r/>
            <w:r>
              <w:rPr>
                <w:b w:val="0"/>
              </w:rPr>
              <w:t>Training records</w:t>
            </w:r>
          </w:p>
        </w:tc>
        <w:tc>
          <w:tcPr>
            <w:tcW w:type="dxa" w:w="3360"/>
            <w:vAlign w:val="center"/>
          </w:tcPr>
          <w:p>
            <w:r/>
            <w:r>
              <w:rPr>
                <w:b w:val="0"/>
              </w:rPr>
              <w:t>Evidence that users are trained before use</w:t>
            </w:r>
          </w:p>
        </w:tc>
        <w:tc>
          <w:tcPr>
            <w:tcW w:type="dxa" w:w="3360"/>
            <w:vAlign w:val="center"/>
          </w:tcPr>
          <w:p>
            <w:r/>
            <w:r>
              <w:rPr>
                <w:b w:val="0"/>
              </w:rPr>
              <w:t>Required</w:t>
            </w:r>
          </w:p>
        </w:tc>
      </w:tr>
    </w:tbl>
    <w:p/>
    <w:p>
      <w:r>
        <w:rPr>
          <w:b w:val="0"/>
        </w:rPr>
        <w:t>The software can support controls associated with GMP, ALCOA+, 21 CFR Part 11 and EU GMP Annex 11, but those standards cannot be claimed solely because a feature exists in code.</w:t>
      </w:r>
    </w:p>
    <w:p>
      <w:pPr>
        <w:pStyle w:val="Heading2"/>
      </w:pPr>
      <w:r>
        <w:t>10. Known limitations and controls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F4E78"/>
          </w:tcPr>
          <w:p>
            <w:r/>
            <w:r>
              <w:rPr>
                <w:b/>
                <w:color w:val="FFFFFF"/>
              </w:rPr>
              <w:t>Risk/limitation</w:t>
            </w:r>
          </w:p>
        </w:tc>
        <w:tc>
          <w:tcPr>
            <w:tcW w:type="dxa" w:w="3360"/>
            <w:vAlign w:val="center"/>
            <w:shd w:fill="1F4E78"/>
          </w:tcPr>
          <w:p>
            <w:r/>
            <w:r>
              <w:rPr>
                <w:b/>
                <w:color w:val="FFFFFF"/>
              </w:rPr>
              <w:t>Impact</w:t>
            </w:r>
          </w:p>
        </w:tc>
        <w:tc>
          <w:tcPr>
            <w:tcW w:type="dxa" w:w="3360"/>
            <w:vAlign w:val="center"/>
            <w:shd w:fill="1F4E78"/>
          </w:tcPr>
          <w:p>
            <w:r/>
            <w:r>
              <w:rPr>
                <w:b/>
                <w:color w:val="FFFFFF"/>
              </w:rPr>
              <w:t>Required control</w:t>
            </w:r>
          </w:p>
        </w:tc>
      </w:tr>
      <w:tr>
        <w:tc>
          <w:tcPr>
            <w:tcW w:type="dxa" w:w="3360"/>
            <w:vAlign w:val="center"/>
          </w:tcPr>
          <w:p>
            <w:r/>
            <w:r>
              <w:rPr>
                <w:b w:val="0"/>
              </w:rPr>
              <w:t>Editing product type after BMR workflow creation can leave stale phase executions</w:t>
            </w:r>
          </w:p>
        </w:tc>
        <w:tc>
          <w:tcPr>
            <w:tcW w:type="dxa" w:w="3360"/>
            <w:vAlign w:val="center"/>
          </w:tcPr>
          <w:p>
            <w:r/>
            <w:r>
              <w:rPr>
                <w:b w:val="0"/>
              </w:rPr>
              <w:t>Wrong production/packing route and QA handoff</w:t>
            </w:r>
          </w:p>
        </w:tc>
        <w:tc>
          <w:tcPr>
            <w:tcW w:type="dxa" w:w="3360"/>
            <w:vAlign w:val="center"/>
          </w:tcPr>
          <w:p>
            <w:r/>
            <w:r>
              <w:rPr>
                <w:b w:val="0"/>
              </w:rPr>
              <w:t>Lock route-defining fields after workflow initialization or require controlled reissue</w:t>
            </w:r>
          </w:p>
        </w:tc>
      </w:tr>
      <w:tr>
        <w:tc>
          <w:tcPr>
            <w:tcW w:type="dxa" w:w="3360"/>
            <w:vAlign w:val="center"/>
          </w:tcPr>
          <w:p>
            <w:r/>
            <w:r>
              <w:rPr>
                <w:b w:val="0"/>
              </w:rPr>
              <w:t>Capsule packing configuration was previously generic `filling`</w:t>
            </w:r>
          </w:p>
        </w:tc>
        <w:tc>
          <w:tcPr>
            <w:tcW w:type="dxa" w:w="3360"/>
            <w:vAlign w:val="center"/>
          </w:tcPr>
          <w:p>
            <w:r/>
            <w:r>
              <w:rPr>
                <w:b w:val="0"/>
              </w:rPr>
              <w:t>Legacy activation could fail to activate blister/bulk</w:t>
            </w:r>
          </w:p>
        </w:tc>
        <w:tc>
          <w:tcPr>
            <w:tcW w:type="dxa" w:w="3360"/>
            <w:vAlign w:val="center"/>
          </w:tcPr>
          <w:p>
            <w:r/>
            <w:r>
              <w:rPr>
                <w:b w:val="0"/>
              </w:rPr>
              <w:t>Resolver corrected; apply migration and test both capsule routes</w:t>
            </w:r>
          </w:p>
        </w:tc>
      </w:tr>
      <w:tr>
        <w:tc>
          <w:tcPr>
            <w:tcW w:type="dxa" w:w="3360"/>
            <w:vAlign w:val="center"/>
          </w:tcPr>
          <w:p>
            <w:r/>
            <w:r>
              <w:rPr>
                <w:b w:val="0"/>
              </w:rPr>
              <w:t>SQLite is present for development/testing</w:t>
            </w:r>
          </w:p>
        </w:tc>
        <w:tc>
          <w:tcPr>
            <w:tcW w:type="dxa" w:w="3360"/>
            <w:vAlign w:val="center"/>
          </w:tcPr>
          <w:p>
            <w:r/>
            <w:r>
              <w:rPr>
                <w:b w:val="0"/>
              </w:rPr>
              <w:t>Not suitable as the production validation database without approval</w:t>
            </w:r>
          </w:p>
        </w:tc>
        <w:tc>
          <w:tcPr>
            <w:tcW w:type="dxa" w:w="3360"/>
            <w:vAlign w:val="center"/>
          </w:tcPr>
          <w:p>
            <w:r/>
            <w:r>
              <w:rPr>
                <w:b w:val="0"/>
              </w:rPr>
              <w:t>Use approved production database and perform IQ</w:t>
            </w:r>
          </w:p>
        </w:tc>
      </w:tr>
      <w:tr>
        <w:tc>
          <w:tcPr>
            <w:tcW w:type="dxa" w:w="3360"/>
            <w:vAlign w:val="center"/>
          </w:tcPr>
          <w:p>
            <w:r/>
            <w:r>
              <w:rPr>
                <w:b w:val="0"/>
              </w:rPr>
              <w:t>Source contains pre-existing encoding/mojibake strings in some logs/docs</w:t>
            </w:r>
          </w:p>
        </w:tc>
        <w:tc>
          <w:tcPr>
            <w:tcW w:type="dxa" w:w="3360"/>
            <w:vAlign w:val="center"/>
          </w:tcPr>
          <w:p>
            <w:r/>
            <w:r>
              <w:rPr>
                <w:b w:val="0"/>
              </w:rPr>
              <w:t>Console logging may fail on Windows and reduce diagnostic quality</w:t>
            </w:r>
          </w:p>
        </w:tc>
        <w:tc>
          <w:tcPr>
            <w:tcW w:type="dxa" w:w="3360"/>
            <w:vAlign w:val="center"/>
          </w:tcPr>
          <w:p>
            <w:r/>
            <w:r>
              <w:rPr>
                <w:b w:val="0"/>
              </w:rPr>
              <w:t>Standardize UTF-8 logging and test operational logs</w:t>
            </w:r>
          </w:p>
        </w:tc>
      </w:tr>
      <w:tr>
        <w:tc>
          <w:tcPr>
            <w:tcW w:type="dxa" w:w="3360"/>
            <w:vAlign w:val="center"/>
          </w:tcPr>
          <w:p>
            <w:r/>
            <w:r>
              <w:rPr>
                <w:b w:val="0"/>
              </w:rPr>
              <w:t>Some features are database/configuration-driven</w:t>
            </w:r>
          </w:p>
        </w:tc>
        <w:tc>
          <w:tcPr>
            <w:tcW w:type="dxa" w:w="3360"/>
            <w:vAlign w:val="center"/>
          </w:tcPr>
          <w:p>
            <w:r/>
            <w:r>
              <w:rPr>
                <w:b w:val="0"/>
              </w:rPr>
              <w:t>Incorrect settings can change workflow behavior</w:t>
            </w:r>
          </w:p>
        </w:tc>
        <w:tc>
          <w:tcPr>
            <w:tcW w:type="dxa" w:w="3360"/>
            <w:vAlign w:val="center"/>
          </w:tcPr>
          <w:p>
            <w:r/>
            <w:r>
              <w:rPr>
                <w:b w:val="0"/>
              </w:rPr>
              <w:t>Restrict admin access, version settings and test changes</w:t>
            </w:r>
          </w:p>
        </w:tc>
      </w:tr>
      <w:tr>
        <w:tc>
          <w:tcPr>
            <w:tcW w:type="dxa" w:w="3360"/>
            <w:vAlign w:val="center"/>
          </w:tcPr>
          <w:p>
            <w:r/>
            <w:r>
              <w:rPr>
                <w:b w:val="0"/>
              </w:rPr>
              <w:t>Real-time notification delivery depends on server/channel configuration</w:t>
            </w:r>
          </w:p>
        </w:tc>
        <w:tc>
          <w:tcPr>
            <w:tcW w:type="dxa" w:w="3360"/>
            <w:vAlign w:val="center"/>
          </w:tcPr>
          <w:p>
            <w:r/>
            <w:r>
              <w:rPr>
                <w:b w:val="0"/>
              </w:rPr>
              <w:t>Users may miss time-critical notifications</w:t>
            </w:r>
          </w:p>
        </w:tc>
        <w:tc>
          <w:tcPr>
            <w:tcW w:type="dxa" w:w="3360"/>
            <w:vAlign w:val="center"/>
          </w:tcPr>
          <w:p>
            <w:r/>
            <w:r>
              <w:rPr>
                <w:b w:val="0"/>
              </w:rPr>
              <w:t>Test WebSocket fallback, persistence and acknowledgement</w:t>
            </w:r>
          </w:p>
        </w:tc>
      </w:tr>
      <w:tr>
        <w:tc>
          <w:tcPr>
            <w:tcW w:type="dxa" w:w="3360"/>
            <w:vAlign w:val="center"/>
          </w:tcPr>
          <w:p>
            <w:r/>
            <w:r>
              <w:rPr>
                <w:b w:val="0"/>
              </w:rPr>
              <w:t>Existing validation claims may exceed executed evidence</w:t>
            </w:r>
          </w:p>
        </w:tc>
        <w:tc>
          <w:tcPr>
            <w:tcW w:type="dxa" w:w="3360"/>
            <w:vAlign w:val="center"/>
          </w:tcPr>
          <w:p>
            <w:r/>
            <w:r>
              <w:rPr>
                <w:b w:val="0"/>
              </w:rPr>
              <w:t>Inspection and release risk</w:t>
            </w:r>
          </w:p>
        </w:tc>
        <w:tc>
          <w:tcPr>
            <w:tcW w:type="dxa" w:w="3360"/>
            <w:vAlign w:val="center"/>
          </w:tcPr>
          <w:p>
            <w:r/>
            <w:r>
              <w:rPr>
                <w:b w:val="0"/>
              </w:rPr>
              <w:t>Mark documents draft until signed tests are complete</w:t>
            </w:r>
          </w:p>
        </w:tc>
      </w:tr>
    </w:tbl>
    <w:p/>
    <w:p>
      <w:pPr>
        <w:pStyle w:val="Heading2"/>
      </w:pPr>
      <w:r>
        <w:t>11. Recommended standard-review evidence pack</w:t>
      </w:r>
    </w:p>
    <w:p>
      <w:r>
        <w:rPr>
          <w:b w:val="0"/>
        </w:rPr>
        <w:t>Submit the following together:</w:t>
      </w:r>
    </w:p>
    <w:p>
      <w:pPr>
        <w:pStyle w:val="ListNumber"/>
      </w:pPr>
      <w:r>
        <w:t>This capability dossier.</w:t>
      </w:r>
    </w:p>
    <w:p>
      <w:pPr>
        <w:pStyle w:val="ListNumber"/>
      </w:pPr>
      <w:r>
        <w:t>Approved URS.</w:t>
      </w:r>
    </w:p>
    <w:p>
      <w:pPr>
        <w:pStyle w:val="ListNumber"/>
      </w:pPr>
      <w:r>
        <w:t>Functional and technical risk assessment.</w:t>
      </w:r>
    </w:p>
    <w:p>
      <w:pPr>
        <w:pStyle w:val="ListNumber"/>
      </w:pPr>
      <w:r>
        <w:t>Data-flow and system architecture diagram.</w:t>
      </w:r>
    </w:p>
    <w:p>
      <w:pPr>
        <w:pStyle w:val="ListNumber"/>
      </w:pPr>
      <w:r>
        <w:t>Role-permission matrix.</w:t>
      </w:r>
    </w:p>
    <w:p>
      <w:pPr>
        <w:pStyle w:val="ListNumber"/>
      </w:pPr>
      <w:r>
        <w:t>Approved workflow diagrams for each product route.</w:t>
      </w:r>
    </w:p>
    <w:p>
      <w:pPr>
        <w:pStyle w:val="ListNumber"/>
      </w:pPr>
      <w:r>
        <w:t>IQ protocol and executed IQ report.</w:t>
      </w:r>
    </w:p>
    <w:p>
      <w:pPr>
        <w:pStyle w:val="ListNumber"/>
      </w:pPr>
      <w:r>
        <w:t>OQ protocol with signed evidence and deviation records.</w:t>
      </w:r>
    </w:p>
    <w:p>
      <w:pPr>
        <w:pStyle w:val="ListNumber"/>
      </w:pPr>
      <w:r>
        <w:t>PQ protocol using representative batches and users.</w:t>
      </w:r>
    </w:p>
    <w:p>
      <w:pPr>
        <w:pStyle w:val="ListNumber"/>
      </w:pPr>
      <w:r>
        <w:t>Requirements traceability matrix with actual test references.</w:t>
      </w:r>
    </w:p>
    <w:p>
      <w:pPr>
        <w:pStyle w:val="ListNumber"/>
      </w:pPr>
      <w:r>
        <w:t>SOPs for operation, access, backup, restore, incident management, change control and periodic review.</w:t>
      </w:r>
    </w:p>
    <w:p>
      <w:pPr>
        <w:pStyle w:val="ListNumber"/>
      </w:pPr>
      <w:r>
        <w:t>Training records.</w:t>
      </w:r>
    </w:p>
    <w:p>
      <w:pPr>
        <w:pStyle w:val="ListNumber"/>
      </w:pPr>
      <w:r>
        <w:t>Backup/restore and disaster-recovery evidence.</w:t>
      </w:r>
    </w:p>
    <w:p>
      <w:pPr>
        <w:pStyle w:val="ListNumber"/>
      </w:pPr>
      <w:r>
        <w:t>Security review and vulnerability results.</w:t>
      </w:r>
    </w:p>
    <w:p>
      <w:pPr>
        <w:pStyle w:val="ListNumber"/>
      </w:pPr>
      <w:r>
        <w:t>Final validation summary report and QA release decision.</w:t>
      </w:r>
    </w:p>
    <w:p>
      <w:pPr>
        <w:pStyle w:val="Heading2"/>
      </w:pPr>
      <w:r>
        <w:t>12. Acceptance recommendation</w:t>
      </w:r>
    </w:p>
    <w:p>
      <w:r>
        <w:rPr>
          <w:b w:val="0"/>
        </w:rPr>
        <w:t>The system is suitable to proceed to controlled validation and standards review. It should not be declared fully validated or released for unrestricted GMP production use until:</w:t>
      </w:r>
    </w:p>
    <w:p>
      <w:pPr>
        <w:pStyle w:val="ListBullet"/>
      </w:pPr>
      <w:r>
        <w:t>the latest migrations are applied in the approved environment;</w:t>
      </w:r>
    </w:p>
    <w:p>
      <w:pPr>
        <w:pStyle w:val="ListBullet"/>
      </w:pPr>
      <w:r>
        <w:t>both blister and bulk routes are tested end to end;</w:t>
      </w:r>
    </w:p>
    <w:p>
      <w:pPr>
        <w:pStyle w:val="ListBullet"/>
      </w:pPr>
      <w:r>
        <w:t>the stale-workflow/product-change control is approved;</w:t>
      </w:r>
    </w:p>
    <w:p>
      <w:pPr>
        <w:pStyle w:val="ListBullet"/>
      </w:pPr>
      <w:r>
        <w:t>electronic signatures and audit trails are verified;</w:t>
      </w:r>
    </w:p>
    <w:p>
      <w:pPr>
        <w:pStyle w:val="ListBullet"/>
      </w:pPr>
      <w:r>
        <w:t>IQ, OQ and PQ are executed and approved;</w:t>
      </w:r>
    </w:p>
    <w:p>
      <w:pPr>
        <w:pStyle w:val="ListBullet"/>
      </w:pPr>
      <w:r>
        <w:t>all critical/high deviations are closed or formally accepted by QA;</w:t>
      </w:r>
    </w:p>
    <w:p>
      <w:pPr>
        <w:pStyle w:val="ListBullet"/>
      </w:pPr>
      <w:r>
        <w:t>procedures, training and backup evidence are complete.</w:t>
      </w:r>
    </w:p>
    <w:p>
      <w:pPr>
        <w:pStyle w:val="Heading2"/>
      </w:pPr>
      <w:r>
        <w:t>13. Approval</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rPr>
              <w:t>Role</w:t>
            </w:r>
          </w:p>
        </w:tc>
        <w:tc>
          <w:tcPr>
            <w:tcW w:type="dxa" w:w="2520"/>
            <w:vAlign w:val="center"/>
            <w:shd w:fill="1F4E78"/>
          </w:tcPr>
          <w:p>
            <w:r/>
            <w:r>
              <w:rPr>
                <w:b/>
                <w:color w:val="FFFFFF"/>
              </w:rPr>
              <w:t>Name</w:t>
            </w:r>
          </w:p>
        </w:tc>
        <w:tc>
          <w:tcPr>
            <w:tcW w:type="dxa" w:w="2520"/>
            <w:vAlign w:val="center"/>
            <w:shd w:fill="1F4E78"/>
          </w:tcPr>
          <w:p>
            <w:r/>
            <w:r>
              <w:rPr>
                <w:b/>
                <w:color w:val="FFFFFF"/>
              </w:rPr>
              <w:t>Signature</w:t>
            </w:r>
          </w:p>
        </w:tc>
        <w:tc>
          <w:tcPr>
            <w:tcW w:type="dxa" w:w="2520"/>
            <w:vAlign w:val="center"/>
            <w:shd w:fill="1F4E78"/>
          </w:tcPr>
          <w:p>
            <w:r/>
            <w:r>
              <w:rPr>
                <w:b/>
                <w:color w:val="FFFFFF"/>
              </w:rPr>
              <w:t>Date</w:t>
            </w:r>
          </w:p>
        </w:tc>
      </w:tr>
      <w:tr>
        <w:tc>
          <w:tcPr>
            <w:tcW w:type="dxa" w:w="2520"/>
            <w:vAlign w:val="center"/>
          </w:tcPr>
          <w:p>
            <w:r/>
            <w:r>
              <w:rPr>
                <w:b w:val="0"/>
              </w:rPr>
              <w:t>System Owner</w:t>
            </w:r>
          </w:p>
        </w:tc>
        <w:tc>
          <w:tcPr>
            <w:tcW w:type="dxa" w:w="2520"/>
            <w:vAlign w:val="center"/>
          </w:tcPr>
          <w:p>
            <w:r/>
            <w:r>
              <w:rPr>
                <w:b w:val="0"/>
              </w:rPr>
            </w:r>
          </w:p>
        </w:tc>
        <w:tc>
          <w:tcPr>
            <w:tcW w:type="dxa" w:w="2520"/>
            <w:vAlign w:val="center"/>
          </w:tcPr>
          <w:p>
            <w:r/>
            <w:r>
              <w:rPr>
                <w:b w:val="0"/>
              </w:rPr>
            </w:r>
          </w:p>
        </w:tc>
        <w:tc>
          <w:tcPr>
            <w:tcW w:type="dxa" w:w="2520"/>
            <w:vAlign w:val="center"/>
          </w:tcPr>
          <w:p>
            <w:r/>
            <w:r>
              <w:rPr>
                <w:b w:val="0"/>
              </w:rPr>
            </w:r>
          </w:p>
        </w:tc>
      </w:tr>
      <w:tr>
        <w:tc>
          <w:tcPr>
            <w:tcW w:type="dxa" w:w="2520"/>
            <w:vAlign w:val="center"/>
          </w:tcPr>
          <w:p>
            <w:r/>
            <w:r>
              <w:rPr>
                <w:b w:val="0"/>
              </w:rPr>
              <w:t>IT Manager</w:t>
            </w:r>
          </w:p>
        </w:tc>
        <w:tc>
          <w:tcPr>
            <w:tcW w:type="dxa" w:w="2520"/>
            <w:vAlign w:val="center"/>
          </w:tcPr>
          <w:p>
            <w:r/>
            <w:r>
              <w:rPr>
                <w:b w:val="0"/>
              </w:rPr>
            </w:r>
          </w:p>
        </w:tc>
        <w:tc>
          <w:tcPr>
            <w:tcW w:type="dxa" w:w="2520"/>
            <w:vAlign w:val="center"/>
          </w:tcPr>
          <w:p>
            <w:r/>
            <w:r>
              <w:rPr>
                <w:b w:val="0"/>
              </w:rPr>
            </w:r>
          </w:p>
        </w:tc>
        <w:tc>
          <w:tcPr>
            <w:tcW w:type="dxa" w:w="2520"/>
            <w:vAlign w:val="center"/>
          </w:tcPr>
          <w:p>
            <w:r/>
            <w:r>
              <w:rPr>
                <w:b w:val="0"/>
              </w:rPr>
            </w:r>
          </w:p>
        </w:tc>
      </w:tr>
      <w:tr>
        <w:tc>
          <w:tcPr>
            <w:tcW w:type="dxa" w:w="2520"/>
            <w:vAlign w:val="center"/>
          </w:tcPr>
          <w:p>
            <w:r/>
            <w:r>
              <w:rPr>
                <w:b w:val="0"/>
              </w:rPr>
              <w:t>QA Manager</w:t>
            </w:r>
          </w:p>
        </w:tc>
        <w:tc>
          <w:tcPr>
            <w:tcW w:type="dxa" w:w="2520"/>
            <w:vAlign w:val="center"/>
          </w:tcPr>
          <w:p>
            <w:r/>
            <w:r>
              <w:rPr>
                <w:b w:val="0"/>
              </w:rPr>
            </w:r>
          </w:p>
        </w:tc>
        <w:tc>
          <w:tcPr>
            <w:tcW w:type="dxa" w:w="2520"/>
            <w:vAlign w:val="center"/>
          </w:tcPr>
          <w:p>
            <w:r/>
            <w:r>
              <w:rPr>
                <w:b w:val="0"/>
              </w:rPr>
            </w:r>
          </w:p>
        </w:tc>
        <w:tc>
          <w:tcPr>
            <w:tcW w:type="dxa" w:w="2520"/>
            <w:vAlign w:val="center"/>
          </w:tcPr>
          <w:p>
            <w:r/>
            <w:r>
              <w:rPr>
                <w:b w:val="0"/>
              </w:rPr>
            </w:r>
          </w:p>
        </w:tc>
      </w:tr>
      <w:tr>
        <w:tc>
          <w:tcPr>
            <w:tcW w:type="dxa" w:w="2520"/>
            <w:vAlign w:val="center"/>
          </w:tcPr>
          <w:p>
            <w:r/>
            <w:r>
              <w:rPr>
                <w:b w:val="0"/>
              </w:rPr>
              <w:t>Regulatory Affairs</w:t>
            </w:r>
          </w:p>
        </w:tc>
        <w:tc>
          <w:tcPr>
            <w:tcW w:type="dxa" w:w="2520"/>
            <w:vAlign w:val="center"/>
          </w:tcPr>
          <w:p>
            <w:r/>
            <w:r>
              <w:rPr>
                <w:b w:val="0"/>
              </w:rPr>
            </w:r>
          </w:p>
        </w:tc>
        <w:tc>
          <w:tcPr>
            <w:tcW w:type="dxa" w:w="2520"/>
            <w:vAlign w:val="center"/>
          </w:tcPr>
          <w:p>
            <w:r/>
            <w:r>
              <w:rPr>
                <w:b w:val="0"/>
              </w:rPr>
            </w:r>
          </w:p>
        </w:tc>
        <w:tc>
          <w:tcPr>
            <w:tcW w:type="dxa" w:w="2520"/>
            <w:vAlign w:val="center"/>
          </w:tcPr>
          <w:p>
            <w:r/>
            <w:r>
              <w:rPr>
                <w:b w:val="0"/>
              </w:rPr>
            </w:r>
          </w:p>
        </w:tc>
      </w:tr>
      <w:tr>
        <w:tc>
          <w:tcPr>
            <w:tcW w:type="dxa" w:w="2520"/>
            <w:vAlign w:val="center"/>
          </w:tcPr>
          <w:p>
            <w:r/>
            <w:r>
              <w:rPr>
                <w:b w:val="0"/>
              </w:rPr>
              <w:t>Validation Lead</w:t>
            </w:r>
          </w:p>
        </w:tc>
        <w:tc>
          <w:tcPr>
            <w:tcW w:type="dxa" w:w="2520"/>
            <w:vAlign w:val="center"/>
          </w:tcPr>
          <w:p>
            <w:r/>
            <w:r>
              <w:rPr>
                <w:b w:val="0"/>
              </w:rPr>
            </w:r>
          </w:p>
        </w:tc>
        <w:tc>
          <w:tcPr>
            <w:tcW w:type="dxa" w:w="2520"/>
            <w:vAlign w:val="center"/>
          </w:tcPr>
          <w:p>
            <w:r/>
            <w:r>
              <w:rPr>
                <w:b w:val="0"/>
              </w:rPr>
            </w:r>
          </w:p>
        </w:tc>
        <w:tc>
          <w:tcPr>
            <w:tcW w:type="dxa" w:w="2520"/>
            <w:vAlign w:val="center"/>
          </w:tcPr>
          <w:p>
            <w:r/>
            <w:r>
              <w:rPr>
                <w:b w:val="0"/>
              </w:rPr>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F4E79"/>
        <w:sz w:val="16"/>
      </w:rPr>
      <w:t>KAMPALA PHARMACEUTICAL INDUSTRIES | KPI OPERATIONS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KPI System Standards Review Dossier</dc:title>
  <dc:subject>System capability and validation readiness</dc:subject>
  <dc:creator>Kampala Pharmaceutical Industries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