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blPrEx>
          <w:tblCellMar>
            <w:top w:w="0" w:type="dxa"/>
            <w:left w:w="108" w:type="dxa"/>
            <w:bottom w:w="0" w:type="dxa"/>
            <w:right w:w="108" w:type="dxa"/>
          </w:tblCellMar>
        </w:tblPrEx>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 xml:space="preserve">摘要 </w:t>
      </w:r>
      <w:r>
        <w:rPr>
          <w:rFonts w:hint="default" w:ascii="Times New Roman" w:hAnsi="Times New Roman" w:eastAsia="宋体" w:cs="Times New Roman"/>
          <w:b w:val="0"/>
          <w:bCs w:val="0"/>
          <w:sz w:val="24"/>
          <w:szCs w:val="24"/>
        </w:rPr>
        <w:t>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5C634A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7EC3885B">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575EAD6C">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387012BD">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61F937AA">
            <w:pPr>
              <w:jc w:val="center"/>
            </w:pPr>
            <w:r>
              <w:rPr>
                <w:rFonts w:ascii="Times New Roman" w:hAnsi="Times New Roman" w:eastAsia="宋体"/>
                <w:b/>
                <w:sz w:val="18"/>
              </w:rPr>
              <w:t>主要限制</w:t>
            </w:r>
          </w:p>
        </w:tc>
      </w:tr>
      <w:tr w14:paraId="4A1B84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810F5C9">
            <w:pPr>
              <w:jc w:val="center"/>
            </w:pPr>
            <w:r>
              <w:rPr>
                <w:rFonts w:ascii="Times New Roman" w:hAnsi="Times New Roman" w:eastAsia="宋体"/>
                <w:b w:val="0"/>
                <w:sz w:val="18"/>
              </w:rPr>
              <w:t>行为任务与思维探针</w:t>
            </w:r>
          </w:p>
        </w:tc>
        <w:tc>
          <w:tcPr>
            <w:tcW w:w="2076" w:type="dxa"/>
            <w:vAlign w:val="center"/>
          </w:tcPr>
          <w:p w14:paraId="057B8C63">
            <w:pPr>
              <w:jc w:val="center"/>
            </w:pPr>
            <w:r>
              <w:rPr>
                <w:rFonts w:ascii="Times New Roman" w:hAnsi="Times New Roman" w:eastAsia="宋体"/>
                <w:b w:val="0"/>
                <w:sz w:val="18"/>
              </w:rPr>
              <w:t>反应表现、错误、反应时、主观注意内容与警觉</w:t>
            </w:r>
          </w:p>
        </w:tc>
        <w:tc>
          <w:tcPr>
            <w:tcW w:w="2076" w:type="dxa"/>
            <w:vAlign w:val="center"/>
          </w:tcPr>
          <w:p w14:paraId="04F25087">
            <w:pPr>
              <w:jc w:val="center"/>
            </w:pPr>
            <w:r>
              <w:rPr>
                <w:rFonts w:ascii="Times New Roman" w:hAnsi="Times New Roman" w:eastAsia="宋体"/>
                <w:b w:val="0"/>
                <w:sz w:val="18"/>
              </w:rPr>
              <w:t>与任务要求直接对应，解释路径清晰</w:t>
            </w:r>
          </w:p>
        </w:tc>
        <w:tc>
          <w:tcPr>
            <w:tcW w:w="2076" w:type="dxa"/>
            <w:vAlign w:val="center"/>
          </w:tcPr>
          <w:p w14:paraId="5E152D5C">
            <w:pPr>
              <w:jc w:val="center"/>
            </w:pPr>
            <w:r>
              <w:rPr>
                <w:rFonts w:ascii="Times New Roman" w:hAnsi="Times New Roman" w:eastAsia="宋体"/>
                <w:b w:val="0"/>
                <w:sz w:val="18"/>
              </w:rPr>
              <w:t>探针离散且依赖自我报告，行为结果可能具有多种形成机制</w:t>
            </w:r>
          </w:p>
        </w:tc>
      </w:tr>
      <w:tr w14:paraId="287777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7836790">
            <w:pPr>
              <w:jc w:val="center"/>
            </w:pPr>
            <w:r>
              <w:rPr>
                <w:rFonts w:ascii="Times New Roman" w:hAnsi="Times New Roman" w:eastAsia="宋体"/>
                <w:b w:val="0"/>
                <w:sz w:val="18"/>
              </w:rPr>
              <w:t>EEG / fNIRS 等接触式生理</w:t>
            </w:r>
          </w:p>
        </w:tc>
        <w:tc>
          <w:tcPr>
            <w:tcW w:w="2076" w:type="dxa"/>
            <w:vAlign w:val="center"/>
          </w:tcPr>
          <w:p w14:paraId="7879829D">
            <w:pPr>
              <w:jc w:val="center"/>
            </w:pPr>
            <w:r>
              <w:rPr>
                <w:rFonts w:ascii="Times New Roman" w:hAnsi="Times New Roman" w:eastAsia="宋体"/>
                <w:b w:val="0"/>
                <w:sz w:val="18"/>
              </w:rPr>
              <w:t>神经电活动或血流动力学变化</w:t>
            </w:r>
          </w:p>
        </w:tc>
        <w:tc>
          <w:tcPr>
            <w:tcW w:w="2076" w:type="dxa"/>
            <w:vAlign w:val="center"/>
          </w:tcPr>
          <w:p w14:paraId="31B924A3">
            <w:pPr>
              <w:jc w:val="center"/>
            </w:pPr>
            <w:r>
              <w:rPr>
                <w:rFonts w:ascii="Times New Roman" w:hAnsi="Times New Roman" w:eastAsia="宋体"/>
                <w:b w:val="0"/>
                <w:sz w:val="18"/>
              </w:rPr>
              <w:t>连续、客观，可研究神经机制</w:t>
            </w:r>
          </w:p>
        </w:tc>
        <w:tc>
          <w:tcPr>
            <w:tcW w:w="2076" w:type="dxa"/>
            <w:vAlign w:val="center"/>
          </w:tcPr>
          <w:p w14:paraId="7E32871F">
            <w:pPr>
              <w:jc w:val="center"/>
            </w:pPr>
            <w:r>
              <w:rPr>
                <w:rFonts w:ascii="Times New Roman" w:hAnsi="Times New Roman" w:eastAsia="宋体"/>
                <w:b w:val="0"/>
                <w:sz w:val="18"/>
              </w:rPr>
              <w:t>佩戴负担、运动伪迹、设备和操作成本</w:t>
            </w:r>
          </w:p>
        </w:tc>
      </w:tr>
      <w:tr w14:paraId="72361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5790B40">
            <w:pPr>
              <w:jc w:val="center"/>
            </w:pPr>
            <w:r>
              <w:rPr>
                <w:rFonts w:ascii="Times New Roman" w:hAnsi="Times New Roman" w:eastAsia="宋体"/>
                <w:b w:val="0"/>
                <w:sz w:val="18"/>
              </w:rPr>
              <w:t>计算机视觉</w:t>
            </w:r>
          </w:p>
        </w:tc>
        <w:tc>
          <w:tcPr>
            <w:tcW w:w="2076" w:type="dxa"/>
            <w:vAlign w:val="center"/>
          </w:tcPr>
          <w:p w14:paraId="13F1E6D5">
            <w:pPr>
              <w:jc w:val="center"/>
            </w:pPr>
            <w:r>
              <w:rPr>
                <w:rFonts w:ascii="Times New Roman" w:hAnsi="Times New Roman" w:eastAsia="宋体"/>
                <w:b w:val="0"/>
                <w:sz w:val="18"/>
              </w:rPr>
              <w:t>头姿、视线、面部动作、身体运动</w:t>
            </w:r>
          </w:p>
        </w:tc>
        <w:tc>
          <w:tcPr>
            <w:tcW w:w="2076" w:type="dxa"/>
            <w:vAlign w:val="center"/>
          </w:tcPr>
          <w:p w14:paraId="01ACEC8A">
            <w:pPr>
              <w:jc w:val="center"/>
            </w:pPr>
            <w:r>
              <w:rPr>
                <w:rFonts w:ascii="Times New Roman" w:hAnsi="Times New Roman" w:eastAsia="宋体"/>
                <w:b w:val="0"/>
                <w:sz w:val="18"/>
              </w:rPr>
              <w:t>非接触、连续、设备易获得</w:t>
            </w:r>
          </w:p>
        </w:tc>
        <w:tc>
          <w:tcPr>
            <w:tcW w:w="2076" w:type="dxa"/>
            <w:vAlign w:val="center"/>
          </w:tcPr>
          <w:p w14:paraId="69020168">
            <w:pPr>
              <w:jc w:val="center"/>
            </w:pPr>
            <w:r>
              <w:rPr>
                <w:rFonts w:ascii="Times New Roman" w:hAnsi="Times New Roman" w:eastAsia="宋体"/>
                <w:b w:val="0"/>
                <w:sz w:val="18"/>
              </w:rPr>
              <w:t>图像隐私、光照/遮挡/角度影响，外显行为不等同内部状态</w:t>
            </w:r>
          </w:p>
        </w:tc>
      </w:tr>
      <w:tr w14:paraId="5F8332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3B518E5">
            <w:pPr>
              <w:jc w:val="center"/>
            </w:pPr>
            <w:r>
              <w:rPr>
                <w:rFonts w:ascii="Times New Roman" w:hAnsi="Times New Roman" w:eastAsia="宋体"/>
                <w:b w:val="0"/>
                <w:sz w:val="18"/>
              </w:rPr>
              <w:t>多模态融合</w:t>
            </w:r>
          </w:p>
        </w:tc>
        <w:tc>
          <w:tcPr>
            <w:tcW w:w="2076" w:type="dxa"/>
            <w:vAlign w:val="center"/>
          </w:tcPr>
          <w:p w14:paraId="7788442C">
            <w:pPr>
              <w:jc w:val="center"/>
            </w:pPr>
            <w:r>
              <w:rPr>
                <w:rFonts w:ascii="Times New Roman" w:hAnsi="Times New Roman" w:eastAsia="宋体"/>
                <w:b w:val="0"/>
                <w:sz w:val="18"/>
              </w:rPr>
              <w:t>多类行为、生理与主观信息</w:t>
            </w:r>
          </w:p>
        </w:tc>
        <w:tc>
          <w:tcPr>
            <w:tcW w:w="2076" w:type="dxa"/>
            <w:vAlign w:val="center"/>
          </w:tcPr>
          <w:p w14:paraId="22898BC7">
            <w:pPr>
              <w:jc w:val="center"/>
            </w:pPr>
            <w:r>
              <w:rPr>
                <w:rFonts w:ascii="Times New Roman" w:hAnsi="Times New Roman" w:eastAsia="宋体"/>
                <w:b w:val="0"/>
                <w:sz w:val="18"/>
              </w:rPr>
              <w:t>可检验互补与增量信息</w:t>
            </w:r>
          </w:p>
        </w:tc>
        <w:tc>
          <w:tcPr>
            <w:tcW w:w="2076" w:type="dxa"/>
            <w:vAlign w:val="center"/>
          </w:tcPr>
          <w:p w14:paraId="79C2FEAC">
            <w:pPr>
              <w:jc w:val="center"/>
            </w:pPr>
            <w:r>
              <w:rPr>
                <w:rFonts w:ascii="Times New Roman" w:hAnsi="Times New Roman" w:eastAsia="宋体"/>
                <w:b w:val="0"/>
                <w:sz w:val="18"/>
              </w:rPr>
              <w:t>同步、缺失、质量控制、模型复杂度和泛化问题</w:t>
            </w:r>
          </w:p>
        </w:tc>
      </w:tr>
      <w:tr w14:paraId="30DA49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30E9366A">
            <w:pPr>
              <w:jc w:val="center"/>
            </w:pPr>
            <w:r>
              <w:rPr>
                <w:rFonts w:ascii="Times New Roman" w:hAnsi="Times New Roman" w:eastAsia="宋体"/>
                <w:b w:val="0"/>
                <w:sz w:val="18"/>
              </w:rPr>
              <w:t>毫米波雷达</w:t>
            </w:r>
          </w:p>
        </w:tc>
        <w:tc>
          <w:tcPr>
            <w:tcW w:w="2076" w:type="dxa"/>
            <w:vAlign w:val="center"/>
          </w:tcPr>
          <w:p w14:paraId="386C10E8">
            <w:pPr>
              <w:jc w:val="center"/>
            </w:pPr>
            <w:r>
              <w:rPr>
                <w:rFonts w:ascii="Times New Roman" w:hAnsi="Times New Roman" w:eastAsia="宋体"/>
                <w:b w:val="0"/>
                <w:sz w:val="18"/>
              </w:rPr>
              <w:t>距离、速度、胸壁微动、身体微动及其派生生命体征</w:t>
            </w:r>
          </w:p>
        </w:tc>
        <w:tc>
          <w:tcPr>
            <w:tcW w:w="2076" w:type="dxa"/>
            <w:vAlign w:val="center"/>
          </w:tcPr>
          <w:p w14:paraId="55AD875D">
            <w:pPr>
              <w:jc w:val="center"/>
            </w:pPr>
            <w:r>
              <w:rPr>
                <w:rFonts w:ascii="Times New Roman" w:hAnsi="Times New Roman" w:eastAsia="宋体"/>
                <w:b w:val="0"/>
                <w:sz w:val="18"/>
              </w:rPr>
              <w:t>非接触，不直接采集可识别面部图像，可连续感知微动</w:t>
            </w:r>
          </w:p>
        </w:tc>
        <w:tc>
          <w:tcPr>
            <w:tcW w:w="2076" w:type="dxa"/>
            <w:vAlign w:val="center"/>
          </w:tcPr>
          <w:p w14:paraId="66771149">
            <w:pPr>
              <w:jc w:val="center"/>
            </w:pPr>
            <w:r>
              <w:rPr>
                <w:rFonts w:ascii="Times New Roman" w:hAnsi="Times New Roman" w:eastAsia="宋体"/>
                <w:b w:val="0"/>
                <w:sz w:val="18"/>
              </w:rPr>
              <w:t>运动、杂波、呼吸谐波和姿态影响明显；技术可测性不能替代注意测量效度验证</w:t>
            </w:r>
          </w:p>
        </w:tc>
      </w:tr>
    </w:tbl>
    <w:p w14:paraId="2C20813D">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4A86D6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04629802">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39CEEE21">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7422E2C3">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5C6A934B">
            <w:pPr>
              <w:jc w:val="center"/>
            </w:pPr>
            <w:r>
              <w:rPr>
                <w:rFonts w:ascii="Times New Roman" w:hAnsi="Times New Roman" w:eastAsia="宋体"/>
                <w:b/>
                <w:sz w:val="18"/>
              </w:rPr>
              <w:t>主要限制</w:t>
            </w:r>
          </w:p>
        </w:tc>
      </w:tr>
      <w:tr w14:paraId="57CC56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F79982F">
            <w:pPr>
              <w:jc w:val="center"/>
            </w:pPr>
            <w:r>
              <w:rPr>
                <w:rFonts w:ascii="Times New Roman" w:hAnsi="Times New Roman" w:eastAsia="宋体"/>
                <w:b w:val="0"/>
                <w:sz w:val="18"/>
              </w:rPr>
              <w:t>行为任务与思维探针</w:t>
            </w:r>
          </w:p>
        </w:tc>
        <w:tc>
          <w:tcPr>
            <w:tcW w:w="2076" w:type="dxa"/>
            <w:vAlign w:val="center"/>
          </w:tcPr>
          <w:p w14:paraId="3D150ADF">
            <w:pPr>
              <w:jc w:val="center"/>
            </w:pPr>
            <w:r>
              <w:rPr>
                <w:rFonts w:ascii="Times New Roman" w:hAnsi="Times New Roman" w:eastAsia="宋体"/>
                <w:b w:val="0"/>
                <w:sz w:val="18"/>
              </w:rPr>
              <w:t>反应表现、错误、反应时、主观注意内容与警觉</w:t>
            </w:r>
          </w:p>
        </w:tc>
        <w:tc>
          <w:tcPr>
            <w:tcW w:w="2076" w:type="dxa"/>
            <w:vAlign w:val="center"/>
          </w:tcPr>
          <w:p w14:paraId="49EE6F24">
            <w:pPr>
              <w:jc w:val="center"/>
            </w:pPr>
            <w:r>
              <w:rPr>
                <w:rFonts w:ascii="Times New Roman" w:hAnsi="Times New Roman" w:eastAsia="宋体"/>
                <w:b w:val="0"/>
                <w:sz w:val="18"/>
              </w:rPr>
              <w:t>与任务要求直接对应，解释路径清晰</w:t>
            </w:r>
          </w:p>
        </w:tc>
        <w:tc>
          <w:tcPr>
            <w:tcW w:w="2076" w:type="dxa"/>
            <w:vAlign w:val="center"/>
          </w:tcPr>
          <w:p w14:paraId="61369D2D">
            <w:pPr>
              <w:jc w:val="center"/>
            </w:pPr>
            <w:r>
              <w:rPr>
                <w:rFonts w:ascii="Times New Roman" w:hAnsi="Times New Roman" w:eastAsia="宋体"/>
                <w:b w:val="0"/>
                <w:sz w:val="18"/>
              </w:rPr>
              <w:t>探针离散且依赖自我报告，行为结果可能具有多种形成机制</w:t>
            </w:r>
          </w:p>
        </w:tc>
      </w:tr>
      <w:tr w14:paraId="576E80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9B2920A">
            <w:pPr>
              <w:jc w:val="center"/>
            </w:pPr>
            <w:r>
              <w:rPr>
                <w:rFonts w:ascii="Times New Roman" w:hAnsi="Times New Roman" w:eastAsia="宋体"/>
                <w:b w:val="0"/>
                <w:sz w:val="18"/>
              </w:rPr>
              <w:t>EEG / fNIRS 等接触式生理</w:t>
            </w:r>
          </w:p>
        </w:tc>
        <w:tc>
          <w:tcPr>
            <w:tcW w:w="2076" w:type="dxa"/>
            <w:vAlign w:val="center"/>
          </w:tcPr>
          <w:p w14:paraId="60388E88">
            <w:pPr>
              <w:jc w:val="center"/>
            </w:pPr>
            <w:r>
              <w:rPr>
                <w:rFonts w:ascii="Times New Roman" w:hAnsi="Times New Roman" w:eastAsia="宋体"/>
                <w:b w:val="0"/>
                <w:sz w:val="18"/>
              </w:rPr>
              <w:t>神经电活动或血流动力学变化</w:t>
            </w:r>
          </w:p>
        </w:tc>
        <w:tc>
          <w:tcPr>
            <w:tcW w:w="2076" w:type="dxa"/>
            <w:vAlign w:val="center"/>
          </w:tcPr>
          <w:p w14:paraId="67418184">
            <w:pPr>
              <w:jc w:val="center"/>
            </w:pPr>
            <w:r>
              <w:rPr>
                <w:rFonts w:ascii="Times New Roman" w:hAnsi="Times New Roman" w:eastAsia="宋体"/>
                <w:b w:val="0"/>
                <w:sz w:val="18"/>
              </w:rPr>
              <w:t>连续、客观，可研究神经机制</w:t>
            </w:r>
          </w:p>
        </w:tc>
        <w:tc>
          <w:tcPr>
            <w:tcW w:w="2076" w:type="dxa"/>
            <w:vAlign w:val="center"/>
          </w:tcPr>
          <w:p w14:paraId="4376A216">
            <w:pPr>
              <w:jc w:val="center"/>
            </w:pPr>
            <w:r>
              <w:rPr>
                <w:rFonts w:ascii="Times New Roman" w:hAnsi="Times New Roman" w:eastAsia="宋体"/>
                <w:b w:val="0"/>
                <w:sz w:val="18"/>
              </w:rPr>
              <w:t>佩戴负担、运动伪迹、设备和操作成本</w:t>
            </w:r>
          </w:p>
        </w:tc>
      </w:tr>
      <w:tr w14:paraId="5430EB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1E6D8270">
            <w:pPr>
              <w:jc w:val="center"/>
            </w:pPr>
            <w:r>
              <w:rPr>
                <w:rFonts w:ascii="Times New Roman" w:hAnsi="Times New Roman" w:eastAsia="宋体"/>
                <w:b w:val="0"/>
                <w:sz w:val="18"/>
              </w:rPr>
              <w:t>计算机视觉</w:t>
            </w:r>
          </w:p>
        </w:tc>
        <w:tc>
          <w:tcPr>
            <w:tcW w:w="2076" w:type="dxa"/>
            <w:vAlign w:val="center"/>
          </w:tcPr>
          <w:p w14:paraId="03B6D042">
            <w:pPr>
              <w:jc w:val="center"/>
            </w:pPr>
            <w:r>
              <w:rPr>
                <w:rFonts w:ascii="Times New Roman" w:hAnsi="Times New Roman" w:eastAsia="宋体"/>
                <w:b w:val="0"/>
                <w:sz w:val="18"/>
              </w:rPr>
              <w:t>头姿、视线、面部动作、身体运动</w:t>
            </w:r>
          </w:p>
        </w:tc>
        <w:tc>
          <w:tcPr>
            <w:tcW w:w="2076" w:type="dxa"/>
            <w:vAlign w:val="center"/>
          </w:tcPr>
          <w:p w14:paraId="6168B57A">
            <w:pPr>
              <w:jc w:val="center"/>
            </w:pPr>
            <w:r>
              <w:rPr>
                <w:rFonts w:ascii="Times New Roman" w:hAnsi="Times New Roman" w:eastAsia="宋体"/>
                <w:b w:val="0"/>
                <w:sz w:val="18"/>
              </w:rPr>
              <w:t>非接触、连续、设备易获得</w:t>
            </w:r>
          </w:p>
        </w:tc>
        <w:tc>
          <w:tcPr>
            <w:tcW w:w="2076" w:type="dxa"/>
            <w:vAlign w:val="center"/>
          </w:tcPr>
          <w:p w14:paraId="35066510">
            <w:pPr>
              <w:jc w:val="center"/>
            </w:pPr>
            <w:r>
              <w:rPr>
                <w:rFonts w:ascii="Times New Roman" w:hAnsi="Times New Roman" w:eastAsia="宋体"/>
                <w:b w:val="0"/>
                <w:sz w:val="18"/>
              </w:rPr>
              <w:t>图像隐私、光照/遮挡/角度影响，外显行为不等同内部状态</w:t>
            </w:r>
          </w:p>
        </w:tc>
      </w:tr>
      <w:tr w14:paraId="5E287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09FCF51C">
            <w:pPr>
              <w:jc w:val="center"/>
            </w:pPr>
            <w:r>
              <w:rPr>
                <w:rFonts w:ascii="Times New Roman" w:hAnsi="Times New Roman" w:eastAsia="宋体"/>
                <w:b w:val="0"/>
                <w:sz w:val="18"/>
              </w:rPr>
              <w:t>多模态融合</w:t>
            </w:r>
          </w:p>
        </w:tc>
        <w:tc>
          <w:tcPr>
            <w:tcW w:w="2076" w:type="dxa"/>
            <w:vAlign w:val="center"/>
          </w:tcPr>
          <w:p w14:paraId="6F08A62C">
            <w:pPr>
              <w:jc w:val="center"/>
            </w:pPr>
            <w:r>
              <w:rPr>
                <w:rFonts w:ascii="Times New Roman" w:hAnsi="Times New Roman" w:eastAsia="宋体"/>
                <w:b w:val="0"/>
                <w:sz w:val="18"/>
              </w:rPr>
              <w:t>多类行为、生理与主观信息</w:t>
            </w:r>
          </w:p>
        </w:tc>
        <w:tc>
          <w:tcPr>
            <w:tcW w:w="2076" w:type="dxa"/>
            <w:vAlign w:val="center"/>
          </w:tcPr>
          <w:p w14:paraId="10FE7643">
            <w:pPr>
              <w:jc w:val="center"/>
            </w:pPr>
            <w:r>
              <w:rPr>
                <w:rFonts w:ascii="Times New Roman" w:hAnsi="Times New Roman" w:eastAsia="宋体"/>
                <w:b w:val="0"/>
                <w:sz w:val="18"/>
              </w:rPr>
              <w:t>可检验互补与增量信息</w:t>
            </w:r>
          </w:p>
        </w:tc>
        <w:tc>
          <w:tcPr>
            <w:tcW w:w="2076" w:type="dxa"/>
            <w:vAlign w:val="center"/>
          </w:tcPr>
          <w:p w14:paraId="58B48C8C">
            <w:pPr>
              <w:jc w:val="center"/>
            </w:pPr>
            <w:r>
              <w:rPr>
                <w:rFonts w:ascii="Times New Roman" w:hAnsi="Times New Roman" w:eastAsia="宋体"/>
                <w:b w:val="0"/>
                <w:sz w:val="18"/>
              </w:rPr>
              <w:t>同步、缺失、质量控制、模型复杂度和泛化问题</w:t>
            </w:r>
          </w:p>
        </w:tc>
      </w:tr>
      <w:tr w14:paraId="72754E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5A612FA">
            <w:pPr>
              <w:jc w:val="center"/>
            </w:pPr>
            <w:r>
              <w:rPr>
                <w:rFonts w:ascii="Times New Roman" w:hAnsi="Times New Roman" w:eastAsia="宋体"/>
                <w:b w:val="0"/>
                <w:sz w:val="18"/>
              </w:rPr>
              <w:t>毫米波雷达</w:t>
            </w:r>
          </w:p>
        </w:tc>
        <w:tc>
          <w:tcPr>
            <w:tcW w:w="2076" w:type="dxa"/>
            <w:vAlign w:val="center"/>
          </w:tcPr>
          <w:p w14:paraId="1F0E0467">
            <w:pPr>
              <w:jc w:val="center"/>
            </w:pPr>
            <w:r>
              <w:rPr>
                <w:rFonts w:ascii="Times New Roman" w:hAnsi="Times New Roman" w:eastAsia="宋体"/>
                <w:b w:val="0"/>
                <w:sz w:val="18"/>
              </w:rPr>
              <w:t>距离、速度、胸壁微动、身体微动及其派生生命体征</w:t>
            </w:r>
          </w:p>
        </w:tc>
        <w:tc>
          <w:tcPr>
            <w:tcW w:w="2076" w:type="dxa"/>
            <w:vAlign w:val="center"/>
          </w:tcPr>
          <w:p w14:paraId="1E698968">
            <w:pPr>
              <w:jc w:val="center"/>
            </w:pPr>
            <w:r>
              <w:rPr>
                <w:rFonts w:ascii="Times New Roman" w:hAnsi="Times New Roman" w:eastAsia="宋体"/>
                <w:b w:val="0"/>
                <w:sz w:val="18"/>
              </w:rPr>
              <w:t>非接触，不直接采集可识别面部图像，可连续感知微动</w:t>
            </w:r>
          </w:p>
        </w:tc>
        <w:tc>
          <w:tcPr>
            <w:tcW w:w="2076" w:type="dxa"/>
            <w:vAlign w:val="center"/>
          </w:tcPr>
          <w:p w14:paraId="07930A4B">
            <w:pPr>
              <w:jc w:val="center"/>
            </w:pPr>
            <w:r>
              <w:rPr>
                <w:rFonts w:ascii="Times New Roman" w:hAnsi="Times New Roman" w:eastAsia="宋体"/>
                <w:b w:val="0"/>
                <w:sz w:val="18"/>
              </w:rPr>
              <w:t>运动、杂波、呼吸谐波和姿态影响明显；技术可测性不能替代注意测量效度验证</w:t>
            </w:r>
          </w:p>
        </w:tc>
      </w:tr>
    </w:tbl>
    <w:p w14:paraId="5AFCCBD4">
      <w:pPr>
        <w:jc w:val="center"/>
      </w:pPr>
      <w:r>
        <w:rPr>
          <w:rFonts w:ascii="Times New Roman" w:hAnsi="Times New Roman" w:eastAsia="宋体"/>
          <w:b/>
          <w:sz w:val="21"/>
        </w:rPr>
        <w:t>表 1 常见持续注意测量方法比较</w:t>
      </w:r>
    </w:p>
    <w:p w14:paraId="1ADD7802">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2D504254">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72B3DEF2">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00205208">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34571C10">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2A44B0B9">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14:paraId="537DA0EE">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1E562A63">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2"/>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刺激，其余八类水果为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4"/>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5"/>
                    <a:srcRect l="1913" r="1913"/>
                    <a:stretch>
                      <a:fillRect/>
                    </a:stretch>
                  </pic:blipFill>
                  <pic:spPr>
                    <a:xfrm>
                      <a:off x="0" y="0"/>
                      <a:ext cx="4651083" cy="2720336"/>
                    </a:xfrm>
                    <a:prstGeom prst="rect">
                      <a:avLst/>
                    </a:prstGeom>
                  </pic:spPr>
                </pic:pic>
              </a:graphicData>
            </a:graphic>
          </wp:inline>
        </w:drawing>
      </w:r>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第一阶段的预实验行为分析基于 8 份完整记录，没有显示随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，且</w:t>
      </w:r>
      <w:r>
        <w:rPr>
          <w:rFonts w:cs="Times New Roman"/>
          <w:lang w:eastAsia="zh" w:bidi="ar"/>
        </w:rPr>
        <w:t>思维探针的出现频率和作答范围也需要进一步标准化。第二阶段据此延长连续任务时间，将固定循环改为满足分布约束的伪随机刺激序列，并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7"/>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14:paraId="0E65B8EA">
      <w:pPr>
        <w:jc w:val="center"/>
      </w:pPr>
      <w:r>
        <w:drawing>
          <wp:inline distT="0" distB="0" distL="114300" distR="114300">
            <wp:extent cx="4679950" cy="3211195"/>
            <wp:effectExtent l="0" t="0" r="5080" b="5715"/>
            <wp:docPr id="1688596216" name="Picture 16885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6" name="Picture 1688596216"/>
                    <pic:cNvPicPr>
                      <a:picLocks noChangeAspect="1"/>
                    </pic:cNvPicPr>
                  </pic:nvPicPr>
                  <pic:blipFill>
                    <a:blip r:embed="rId18"/>
                    <a:stretch>
                      <a:fillRect/>
                    </a:stretch>
                  </pic:blipFill>
                  <pic:spPr>
                    <a:xfrm>
                      <a:off x="0" y="0"/>
                      <a:ext cx="4680000" cy="3211434"/>
                    </a:xfrm>
                    <a:prstGeom prst="rect">
                      <a:avLst/>
                    </a:prstGeom>
                  </pic:spPr>
                </pic:pic>
              </a:graphicData>
            </a:graphic>
          </wp:inline>
        </w:drawing>
      </w:r>
    </w:p>
    <w:p w14:paraId="02416906">
      <w:pPr>
        <w:jc w:val="center"/>
      </w:pPr>
      <w:r>
        <w:rPr>
          <w:b/>
          <w:sz w:val="21"/>
        </w:rPr>
        <w:t>图 7 预实验第一阶段行为指标轨迹</w:t>
      </w:r>
    </w:p>
    <w:p w14:paraId="539EE5C7">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 1</w:t>
      </w:r>
      <w:r>
        <w:rPr>
          <w:rFonts w:hint="eastAsia" w:cs="Times New Roman"/>
          <w:lang w:eastAsia="zh"/>
        </w:rPr>
        <w:t>9</w:t>
      </w:r>
      <w:r>
        <w:rPr>
          <w:rFonts w:cs="Times New Roman"/>
          <w:lang w:eastAsia="zh"/>
        </w:rPr>
        <w:t xml:space="preserve"> 名参与者完成 20 次实验，采用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14:paraId="25D17CDF">
      <w:pPr>
        <w:jc w:val="center"/>
      </w:pPr>
      <w:r>
        <w:drawing>
          <wp:inline distT="0" distB="0" distL="114300" distR="114300">
            <wp:extent cx="4679950" cy="2239645"/>
            <wp:effectExtent l="0" t="0" r="5080" b="5715"/>
            <wp:docPr id="1688596217" name="Picture 16885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7" name="Picture 1688596217"/>
                    <pic:cNvPicPr>
                      <a:picLocks noChangeAspect="1"/>
                    </pic:cNvPicPr>
                  </pic:nvPicPr>
                  <pic:blipFill>
                    <a:blip r:embed="rId19"/>
                    <a:stretch>
                      <a:fillRect/>
                    </a:stretch>
                  </pic:blipFill>
                  <pic:spPr>
                    <a:xfrm>
                      <a:off x="0" y="0"/>
                      <a:ext cx="4680000" cy="2239945"/>
                    </a:xfrm>
                    <a:prstGeom prst="rect">
                      <a:avLst/>
                    </a:prstGeom>
                  </pic:spPr>
                </pic:pic>
              </a:graphicData>
            </a:graphic>
          </wp:inline>
        </w:drawing>
      </w:r>
    </w:p>
    <w:p w14:paraId="02EFD966">
      <w:pPr>
        <w:jc w:val="center"/>
      </w:pPr>
      <w:r>
        <w:rPr>
          <w:b/>
          <w:sz w:val="21"/>
        </w:rPr>
        <w:t>图 8 预实验第二阶段行为指标轨迹</w:t>
      </w:r>
    </w:p>
    <w:p w14:paraId="56FF6D60">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实验开始时主试讲解实验要求和目的，参与者需要全程尽量保持直坐、不动（见图 8）。</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r>
        <w:rPr>
          <w:rFonts w:hint="eastAsia"/>
          <w:lang w:eastAsia="zh" w:bidi="ar"/>
        </w:rPr>
        <w:t>1</w:t>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1BFA2541">
      <w:pPr>
        <w:jc w:val="center"/>
      </w:pPr>
      <m:oMathPara>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m:oMathPara>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1D0765F3">
      <w:pPr>
        <w:jc w:val="center"/>
      </w:pPr>
      <m:oMathPara>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m:oMathPara>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7F5B62C9">
      <w:pPr>
        <w:jc w:val="center"/>
      </w:pPr>
      <w:r>
        <w:drawing>
          <wp:inline distT="0" distB="0" distL="114300" distR="114300">
            <wp:extent cx="4319905" cy="1675765"/>
            <wp:effectExtent l="0" t="0" r="8890" b="8255"/>
            <wp:docPr id="1688596218" name="Picture 16885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8" name="Picture 1688596218"/>
                    <pic:cNvPicPr>
                      <a:picLocks noChangeAspect="1"/>
                    </pic:cNvPicPr>
                  </pic:nvPicPr>
                  <pic:blipFill>
                    <a:blip r:embed="rId22"/>
                    <a:stretch>
                      <a:fillRect/>
                    </a:stretch>
                  </pic:blipFill>
                  <pic:spPr>
                    <a:xfrm>
                      <a:off x="0" y="0"/>
                      <a:ext cx="4320000" cy="1676160"/>
                    </a:xfrm>
                    <a:prstGeom prst="rect">
                      <a:avLst/>
                    </a:prstGeom>
                  </pic:spPr>
                </pic:pic>
              </a:graphicData>
            </a:graphic>
          </wp:inline>
        </w:drawing>
      </w:r>
    </w:p>
    <w:p w14:paraId="06F21AED">
      <w:pPr>
        <w:jc w:val="center"/>
      </w:pPr>
      <w:r>
        <w:rPr>
          <w:b/>
          <w:sz w:val="21"/>
        </w:rPr>
        <w:t>图 11 正确 Go 反应时分布</w:t>
      </w:r>
    </w:p>
    <w:p w14:paraId="6575AB0D">
      <w:pPr>
        <w:jc w:val="center"/>
      </w:pPr>
      <w:r>
        <w:rPr>
          <w:sz w:val="18"/>
        </w:rPr>
        <w:t>注：直方图与经验累积分布；QC 阈值位置仅标注、未删除数据。</w:t>
      </w:r>
    </w:p>
    <w:p w14:paraId="6512E902">
      <w:pPr>
        <w:pStyle w:val="4"/>
      </w:pPr>
      <w:r>
        <w:t>4.5.3 RGB 可见行为测量</w:t>
      </w:r>
    </w:p>
    <w:p w14:paraId="2A781F98">
      <w:pPr>
        <w:jc w:val="center"/>
      </w:pPr>
      <m:oMathPara>
        <m:oMath>
          <m:r>
            <m:rPr/>
            <w:rPr>
              <w:rFonts w:ascii="Cambria Math" w:hAnsi="Cambria Math"/>
              <w:lang w:eastAsia="zh" w:bidi="ar"/>
            </w:rPr>
            <m:t>Y=0.2126R+0.7152G+0.0722B</m:t>
          </m:r>
        </m:oMath>
      </m:oMathPara>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14:paraId="35A6F58D">
      <w:pPr>
        <w:jc w:val="center"/>
      </w:pPr>
      <w:r>
        <w:drawing>
          <wp:inline distT="0" distB="0" distL="114300" distR="114300">
            <wp:extent cx="5219700" cy="3264535"/>
            <wp:effectExtent l="0" t="0" r="5080" b="6350"/>
            <wp:docPr id="1688596219" name="Picture 168859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9" name="Picture 1688596219"/>
                    <pic:cNvPicPr>
                      <a:picLocks noChangeAspect="1"/>
                    </pic:cNvPicPr>
                  </pic:nvPicPr>
                  <pic:blipFill>
                    <a:blip r:embed="rId23"/>
                    <a:stretch>
                      <a:fillRect/>
                    </a:stretch>
                  </pic:blipFill>
                  <pic:spPr>
                    <a:xfrm>
                      <a:off x="0" y="0"/>
                      <a:ext cx="5220000" cy="3264969"/>
                    </a:xfrm>
                    <a:prstGeom prst="rect">
                      <a:avLst/>
                    </a:prstGeom>
                  </pic:spPr>
                </pic:pic>
              </a:graphicData>
            </a:graphic>
          </wp:inline>
        </w:drawing>
      </w:r>
    </w:p>
    <w:p w14:paraId="6488CA81">
      <w:pPr>
        <w:jc w:val="center"/>
      </w:pPr>
      <w:r>
        <w:rPr>
          <w:rFonts w:ascii="Times New Roman" w:eastAsia="宋体"/>
          <w:b/>
          <w:sz w:val="21"/>
        </w:rPr>
        <w:t>图 12 毫米波心率与呼吸估计处理管线</w:t>
      </w:r>
    </w:p>
    <w:p w14:paraId="30CFB8E0">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参数见附录 C</w:t>
      </w:r>
      <w:r>
        <w:rPr>
          <w:rFonts w:hint="eastAsia"/>
        </w:rPr>
        <w:t>。</w:t>
      </w:r>
    </w:p>
    <w:p w14:paraId="3DEF8F52">
      <w:pPr>
        <w:pStyle w:val="11"/>
        <w:keepNext/>
        <w:rPr>
          <w:lang w:eastAsia="zh-CN"/>
        </w:rPr>
      </w:pPr>
      <w:r>
        <w:rPr>
          <w:rFonts w:hint="eastAsia"/>
          <w:lang w:eastAsia="zh-CN"/>
        </w:rPr>
        <w:t>表 4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偏移整体较小。完整事件数量、各相对位置的均值与 </w:t>
      </w:r>
      <w:r>
        <w:rPr>
          <w:i/>
          <w:iCs/>
        </w:rPr>
        <w:t>SEM</w:t>
      </w:r>
      <w:r>
        <w:t> 见附录 C。</w:t>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bookmarkStart w:id="0" w:name="_GoBack"/>
      <w:bookmarkEnd w:id="0"/>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41"/>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7"/>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8"/>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distT="0" distB="0" distL="114300" distR="114300">
            <wp:extent cx="5219700" cy="2455545"/>
            <wp:effectExtent l="0" t="0" r="5080" b="5715"/>
            <wp:docPr id="1688596227" name="Picture 168859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27" name="Picture 1688596227"/>
                    <pic:cNvPicPr>
                      <a:picLocks noChangeAspect="1"/>
                    </pic:cNvPicPr>
                  </pic:nvPicPr>
                  <pic:blipFill>
                    <a:blip r:embed="rId29"/>
                    <a:stretch>
                      <a:fillRect/>
                    </a:stretch>
                  </pic:blipFill>
                  <pic:spPr>
                    <a:xfrm>
                      <a:off x="0" y="0"/>
                      <a:ext cx="5220000" cy="2455935"/>
                    </a:xfrm>
                    <a:prstGeom prst="rect">
                      <a:avLst/>
                    </a:prstGeom>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30"/>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4AC7C646">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31"/>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2"/>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3"/>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5907D742">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4"/>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5"/>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6"/>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69C13DFC">
      <w:pPr>
        <w:ind w:firstLine="420"/>
        <w:jc w:val="both"/>
      </w:pPr>
      <w:r>
        <w:rPr>
          <w:rFonts w:ascii="Times New Roman" w:hAnsi="Times New Roman" w:eastAsia="宋体"/>
          <w:sz w:val="21"/>
        </w:rPr>
        <w:t>八组合的 61 折逐折性能明细见附录 E。</w:t>
      </w:r>
    </w:p>
    <w:p w14:paraId="77CA20B1">
      <w:pPr>
        <w:ind w:firstLine="420"/>
        <w:jc w:val="both"/>
      </w:pP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0096A15B">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00267CA">
      <w:pPr>
        <w:jc w:val="center"/>
      </w:pPr>
      <w:r>
        <w:rPr>
          <w:rFonts w:ascii="Times New Roman" w:hAnsi="Times New Roman" w:eastAsia="宋体"/>
          <w:b w:val="0"/>
          <w:sz w:val="18"/>
        </w:rPr>
        <w:t>注：原型平台网页端界面截图（待插入）。</w:t>
      </w:r>
    </w:p>
    <w:p w14:paraId="5F13FDA1">
      <w:pPr>
        <w:jc w:val="center"/>
      </w:pPr>
      <w:r>
        <w:rPr>
          <w:rFonts w:ascii="Times New Roman" w:hAnsi="Times New Roman" w:eastAsia="宋体"/>
          <w:b/>
          <w:sz w:val="21"/>
        </w:rPr>
        <w:t>图 26 无感测评原型平台界面（网页端）</w:t>
      </w:r>
    </w:p>
    <w:p w14:paraId="09A5C777">
      <w:pPr>
        <w:jc w:val="center"/>
      </w:pPr>
      <w:r>
        <w:rPr>
          <w:rFonts w:ascii="Times New Roman" w:hAnsi="Times New Roman" w:eastAsia="宋体"/>
          <w:b w:val="0"/>
          <w:sz w:val="18"/>
        </w:rPr>
        <w:t>注：原型平台移动端界面截图（待插入）。</w:t>
      </w:r>
    </w:p>
    <w:p w14:paraId="5F892157">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14:paraId="4B976AED">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14:paraId="1F3E2EEE">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14:paraId="0A7C93C9">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14:paraId="7A8D8EF9">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14:paraId="345FB91D">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14:paraId="1FF2A682">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14:paraId="6BF342A3">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14:paraId="330A3F08">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14:paraId="218DF330">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14:paraId="26EFE35E">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14:paraId="4451165F">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14:paraId="12026466">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14:paraId="46081AAB">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14:paraId="75332673">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14:paraId="4C5D28AA">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14:paraId="6378459A">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14:paraId="08DFD6BB">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14:paraId="33CBAE38">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14:paraId="05C00B45">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14:paraId="43A23A66">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14:paraId="2CF092FC">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14:paraId="7DF30E51">
      <w:pPr>
        <w:spacing w:line="360" w:lineRule="auto"/>
        <w:ind w:hanging="420"/>
      </w:pPr>
      <w:r>
        <w:rPr>
          <w:rFonts w:ascii="Times New Roman" w:hAnsi="Times New Roman" w:eastAsia="宋体"/>
          <w:sz w:val="21"/>
        </w:rPr>
        <w:t>Mathôt, S. (2018). Pupillometry: Psychology, physiology, and function. Journal of Cognition, 1(1), 16. https://doi.org/10.5334/joc.18</w:t>
      </w:r>
    </w:p>
    <w:p w14:paraId="79F591EB">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14:paraId="6500A181">
      <w:pPr>
        <w:spacing w:line="360" w:lineRule="auto"/>
        <w:ind w:hanging="420"/>
      </w:pPr>
      <w:r>
        <w:rPr>
          <w:rFonts w:ascii="Times New Roman" w:hAnsi="Times New Roman" w:eastAsia="宋体"/>
          <w:sz w:val="21"/>
        </w:rPr>
        <w:t>Macmillan, N. A., &amp; Creelman, C. D. (2005). Detection theory: A user's guide (2nd ed.). Psychology Press.</w:t>
      </w:r>
    </w:p>
    <w:p w14:paraId="0786948C">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14:paraId="66385701">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14:paraId="1DE9595E">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14:paraId="1F16EC41">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14:paraId="2C2C07CF">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14:paraId="4AA2F931">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14:paraId="0D74911F">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14:paraId="61149E48">
      <w:pPr>
        <w:spacing w:line="360" w:lineRule="auto"/>
        <w:ind w:hanging="420"/>
      </w:pPr>
      <w:r>
        <w:rPr>
          <w:rFonts w:ascii="Times New Roman" w:hAnsi="Times New Roman" w:eastAsia="宋体"/>
          <w:sz w:val="21"/>
        </w:rPr>
        <w:t>Efron, B., &amp; Tibshirani, R. J. (1994). An introduction to the bootstrap. CRC Press.</w:t>
      </w:r>
    </w:p>
    <w:p w14:paraId="318476D9">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14:paraId="7E1D5741">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14:paraId="5929E99C">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14:paraId="721BB76E">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14:paraId="26196F2C">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14:paraId="3D04E2AE">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14:paraId="79A6ECE4">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14:paraId="0DDE4B05">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14:paraId="59F75A93">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26A4D755">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14:paraId="6E80569B">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14:paraId="1A5E12A5">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14:paraId="2FAE5D05">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van den Brink, R. L., Murphy, P. R., &amp; Nieuwenhuis, S. (2016). Pupil diameter tracks lapses of attention. </w:t>
      </w:r>
      <w:r>
        <w:rPr>
          <w:i/>
          <w:iCs/>
        </w:rPr>
        <w:t>PLOS ONE, 11</w:t>
      </w:r>
      <w:r>
        <w:t>(10), e0165274. </w:t>
      </w:r>
      <w:r>
        <w:rPr>
          <w:rStyle w:val="25"/>
        </w:rPr>
        <w:t>https://doi.org/10.1371/journal.pone.0165274</w:t>
      </w:r>
    </w:p>
    <w:p w14:paraId="1F07FDF7">
      <w:pPr>
        <w:ind w:left="420" w:hanging="420" w:hangingChars="200"/>
        <w:jc w:val="left"/>
      </w:pP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708" w:footer="708" w:gutter="0"/>
      <w:cols w:space="708"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1EE7B4D"/>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4EF7A19"/>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qFormat/>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qFormat/>
    <w:uiPriority w:val="99"/>
    <w:rPr>
      <w:rFonts w:ascii="Times New Roman" w:hAnsi="Times New Roman" w:eastAsia="宋体"/>
      <w:sz w:val="21"/>
    </w:rPr>
  </w:style>
  <w:style w:type="character" w:styleId="53">
    <w:name w:val="Placeholder Text"/>
    <w:basedOn w:val="23"/>
    <w:unhideWhenUsed/>
    <w:qFormat/>
    <w:uiPriority w:val="99"/>
    <w:rPr>
      <w:color w:val="666666"/>
    </w:rPr>
  </w:style>
  <w:style w:type="character" w:customStyle="1" w:styleId="54">
    <w:name w:val="HTML 预设格式 字符"/>
    <w:basedOn w:val="23"/>
    <w:link w:val="18"/>
    <w:semiHidden/>
    <w:qFormat/>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qFormat/>
    <w:uiPriority w:val="99"/>
    <w:rPr>
      <w:rFonts w:cstheme="minorBidi"/>
      <w:kern w:val="2"/>
      <w:sz w:val="21"/>
      <w:szCs w:val="22"/>
      <w14:ligatures w14:val="standardContextual"/>
    </w:rPr>
  </w:style>
  <w:style w:type="character" w:customStyle="1" w:styleId="57">
    <w:name w:val="批注主题 字符"/>
    <w:basedOn w:val="56"/>
    <w:link w:val="21"/>
    <w:semiHidden/>
    <w:qFormat/>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jpe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40" Type="http://schemas.openxmlformats.org/officeDocument/2006/relationships/image" Target="media/image26.png"/><Relationship Id="rId41"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18041</Words>
  <Characters>19925</Characters>
  <Lines>271</Lines>
  <Paragraphs>76</Paragraphs>
  <TotalTime>165</TotalTime>
  <ScaleCrop>false</ScaleCrop>
  <LinksUpToDate>false</LinksUpToDate>
  <CharactersWithSpaces>20688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2026-08-31T00:28:18Z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