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blPrEx>
          <w:tblCellMar>
            <w:top w:w="0" w:type="dxa"/>
            <w:left w:w="108" w:type="dxa"/>
            <w:bottom w:w="0" w:type="dxa"/>
            <w:right w:w="108" w:type="dxa"/>
          </w:tblCellMar>
        </w:tblPrEx>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 xml:space="preserve">摘要 </w:t>
      </w:r>
      <w:r>
        <w:rPr>
          <w:rFonts w:hint="default" w:ascii="Times New Roman" w:hAnsi="Times New Roman" w:eastAsia="宋体" w:cs="Times New Roman"/>
          <w:b w:val="0"/>
          <w:bCs w:val="0"/>
          <w:sz w:val="24"/>
          <w:szCs w:val="24"/>
        </w:rPr>
        <w:t>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6"/>
        <w:gridCol w:w="2076"/>
        <w:gridCol w:w="2076"/>
        <w:gridCol w:w="2076"/>
      </w:tblGrid>
      <w:tr w14:paraId="5C634A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tcBorders>
              <w:bottom w:val="single" w:color="auto" w:sz="6" w:space="0"/>
            </w:tcBorders>
            <w:vAlign w:val="center"/>
          </w:tcPr>
          <w:p w14:paraId="7EC3885B">
            <w:pPr>
              <w:jc w:val="center"/>
            </w:pPr>
            <w:r>
              <w:rPr>
                <w:rFonts w:ascii="Times New Roman" w:hAnsi="Times New Roman" w:eastAsia="宋体"/>
                <w:b/>
                <w:sz w:val="18"/>
              </w:rPr>
              <w:t>测量方法</w:t>
            </w:r>
          </w:p>
        </w:tc>
        <w:tc>
          <w:tcPr>
            <w:tcW w:w="2076" w:type="dxa"/>
            <w:tcBorders>
              <w:bottom w:val="single" w:color="auto" w:sz="6" w:space="0"/>
            </w:tcBorders>
            <w:vAlign w:val="center"/>
          </w:tcPr>
          <w:p w14:paraId="575EAD6C">
            <w:pPr>
              <w:jc w:val="center"/>
            </w:pPr>
            <w:r>
              <w:rPr>
                <w:rFonts w:ascii="Times New Roman" w:hAnsi="Times New Roman" w:eastAsia="宋体"/>
                <w:b/>
                <w:sz w:val="18"/>
              </w:rPr>
              <w:t>主要可观察信息</w:t>
            </w:r>
          </w:p>
        </w:tc>
        <w:tc>
          <w:tcPr>
            <w:tcW w:w="2076" w:type="dxa"/>
            <w:tcBorders>
              <w:bottom w:val="single" w:color="auto" w:sz="6" w:space="0"/>
            </w:tcBorders>
            <w:vAlign w:val="center"/>
          </w:tcPr>
          <w:p w14:paraId="387012BD">
            <w:pPr>
              <w:jc w:val="center"/>
            </w:pPr>
            <w:r>
              <w:rPr>
                <w:rFonts w:ascii="Times New Roman" w:hAnsi="Times New Roman" w:eastAsia="宋体"/>
                <w:b/>
                <w:sz w:val="18"/>
              </w:rPr>
              <w:t>主要优势</w:t>
            </w:r>
          </w:p>
        </w:tc>
        <w:tc>
          <w:tcPr>
            <w:tcW w:w="2076" w:type="dxa"/>
            <w:tcBorders>
              <w:bottom w:val="single" w:color="auto" w:sz="6" w:space="0"/>
            </w:tcBorders>
            <w:vAlign w:val="center"/>
          </w:tcPr>
          <w:p w14:paraId="61F937AA">
            <w:pPr>
              <w:jc w:val="center"/>
            </w:pPr>
            <w:r>
              <w:rPr>
                <w:rFonts w:ascii="Times New Roman" w:hAnsi="Times New Roman" w:eastAsia="宋体"/>
                <w:b/>
                <w:sz w:val="18"/>
              </w:rPr>
              <w:t>主要限制</w:t>
            </w:r>
          </w:p>
        </w:tc>
      </w:tr>
      <w:tr w14:paraId="4A1B84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810F5C9">
            <w:pPr>
              <w:jc w:val="center"/>
            </w:pPr>
            <w:r>
              <w:rPr>
                <w:rFonts w:ascii="Times New Roman" w:hAnsi="Times New Roman" w:eastAsia="宋体"/>
                <w:b w:val="0"/>
                <w:sz w:val="18"/>
              </w:rPr>
              <w:t>行为任务与思维探针</w:t>
            </w:r>
          </w:p>
        </w:tc>
        <w:tc>
          <w:tcPr>
            <w:tcW w:w="2076" w:type="dxa"/>
            <w:vAlign w:val="center"/>
          </w:tcPr>
          <w:p w14:paraId="057B8C63">
            <w:pPr>
              <w:jc w:val="center"/>
            </w:pPr>
            <w:r>
              <w:rPr>
                <w:rFonts w:ascii="Times New Roman" w:hAnsi="Times New Roman" w:eastAsia="宋体"/>
                <w:b w:val="0"/>
                <w:sz w:val="18"/>
              </w:rPr>
              <w:t>反应表现、错误、反应时、主观注意内容与警觉</w:t>
            </w:r>
          </w:p>
        </w:tc>
        <w:tc>
          <w:tcPr>
            <w:tcW w:w="2076" w:type="dxa"/>
            <w:vAlign w:val="center"/>
          </w:tcPr>
          <w:p w14:paraId="04F25087">
            <w:pPr>
              <w:jc w:val="center"/>
            </w:pPr>
            <w:r>
              <w:rPr>
                <w:rFonts w:ascii="Times New Roman" w:hAnsi="Times New Roman" w:eastAsia="宋体"/>
                <w:b w:val="0"/>
                <w:sz w:val="18"/>
              </w:rPr>
              <w:t>与任务要求直接对应，解释路径清晰</w:t>
            </w:r>
          </w:p>
        </w:tc>
        <w:tc>
          <w:tcPr>
            <w:tcW w:w="2076" w:type="dxa"/>
            <w:vAlign w:val="center"/>
          </w:tcPr>
          <w:p w14:paraId="5E152D5C">
            <w:pPr>
              <w:jc w:val="center"/>
            </w:pPr>
            <w:r>
              <w:rPr>
                <w:rFonts w:ascii="Times New Roman" w:hAnsi="Times New Roman" w:eastAsia="宋体"/>
                <w:b w:val="0"/>
                <w:sz w:val="18"/>
              </w:rPr>
              <w:t>探针离散且依赖自我报告，行为结果可能具有多种形成机制</w:t>
            </w:r>
          </w:p>
        </w:tc>
      </w:tr>
      <w:tr w14:paraId="287777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67836790">
            <w:pPr>
              <w:jc w:val="center"/>
            </w:pPr>
            <w:r>
              <w:rPr>
                <w:rFonts w:ascii="Times New Roman" w:hAnsi="Times New Roman" w:eastAsia="宋体"/>
                <w:b w:val="0"/>
                <w:sz w:val="18"/>
              </w:rPr>
              <w:t>EEG / fNIRS 等接触式生理</w:t>
            </w:r>
          </w:p>
        </w:tc>
        <w:tc>
          <w:tcPr>
            <w:tcW w:w="2076" w:type="dxa"/>
            <w:vAlign w:val="center"/>
          </w:tcPr>
          <w:p w14:paraId="7879829D">
            <w:pPr>
              <w:jc w:val="center"/>
            </w:pPr>
            <w:r>
              <w:rPr>
                <w:rFonts w:ascii="Times New Roman" w:hAnsi="Times New Roman" w:eastAsia="宋体"/>
                <w:b w:val="0"/>
                <w:sz w:val="18"/>
              </w:rPr>
              <w:t>神经电活动或血流动力学变化</w:t>
            </w:r>
          </w:p>
        </w:tc>
        <w:tc>
          <w:tcPr>
            <w:tcW w:w="2076" w:type="dxa"/>
            <w:vAlign w:val="center"/>
          </w:tcPr>
          <w:p w14:paraId="31B924A3">
            <w:pPr>
              <w:jc w:val="center"/>
            </w:pPr>
            <w:r>
              <w:rPr>
                <w:rFonts w:ascii="Times New Roman" w:hAnsi="Times New Roman" w:eastAsia="宋体"/>
                <w:b w:val="0"/>
                <w:sz w:val="18"/>
              </w:rPr>
              <w:t>连续、客观，可研究神经机制</w:t>
            </w:r>
          </w:p>
        </w:tc>
        <w:tc>
          <w:tcPr>
            <w:tcW w:w="2076" w:type="dxa"/>
            <w:vAlign w:val="center"/>
          </w:tcPr>
          <w:p w14:paraId="7E32871F">
            <w:pPr>
              <w:jc w:val="center"/>
            </w:pPr>
            <w:r>
              <w:rPr>
                <w:rFonts w:ascii="Times New Roman" w:hAnsi="Times New Roman" w:eastAsia="宋体"/>
                <w:b w:val="0"/>
                <w:sz w:val="18"/>
              </w:rPr>
              <w:t>佩戴负担、运动伪迹、设备和操作成本</w:t>
            </w:r>
          </w:p>
        </w:tc>
      </w:tr>
      <w:tr w14:paraId="72361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45790B40">
            <w:pPr>
              <w:jc w:val="center"/>
            </w:pPr>
            <w:r>
              <w:rPr>
                <w:rFonts w:ascii="Times New Roman" w:hAnsi="Times New Roman" w:eastAsia="宋体"/>
                <w:b w:val="0"/>
                <w:sz w:val="18"/>
              </w:rPr>
              <w:t>计算机视觉</w:t>
            </w:r>
          </w:p>
        </w:tc>
        <w:tc>
          <w:tcPr>
            <w:tcW w:w="2076" w:type="dxa"/>
            <w:vAlign w:val="center"/>
          </w:tcPr>
          <w:p w14:paraId="13F1E6D5">
            <w:pPr>
              <w:jc w:val="center"/>
            </w:pPr>
            <w:r>
              <w:rPr>
                <w:rFonts w:ascii="Times New Roman" w:hAnsi="Times New Roman" w:eastAsia="宋体"/>
                <w:b w:val="0"/>
                <w:sz w:val="18"/>
              </w:rPr>
              <w:t>头姿、视线、面部动作、身体运动</w:t>
            </w:r>
          </w:p>
        </w:tc>
        <w:tc>
          <w:tcPr>
            <w:tcW w:w="2076" w:type="dxa"/>
            <w:vAlign w:val="center"/>
          </w:tcPr>
          <w:p w14:paraId="01ACEC8A">
            <w:pPr>
              <w:jc w:val="center"/>
            </w:pPr>
            <w:r>
              <w:rPr>
                <w:rFonts w:ascii="Times New Roman" w:hAnsi="Times New Roman" w:eastAsia="宋体"/>
                <w:b w:val="0"/>
                <w:sz w:val="18"/>
              </w:rPr>
              <w:t>非接触、连续、设备易获得</w:t>
            </w:r>
          </w:p>
        </w:tc>
        <w:tc>
          <w:tcPr>
            <w:tcW w:w="2076" w:type="dxa"/>
            <w:vAlign w:val="center"/>
          </w:tcPr>
          <w:p w14:paraId="69020168">
            <w:pPr>
              <w:jc w:val="center"/>
            </w:pPr>
            <w:r>
              <w:rPr>
                <w:rFonts w:ascii="Times New Roman" w:hAnsi="Times New Roman" w:eastAsia="宋体"/>
                <w:b w:val="0"/>
                <w:sz w:val="18"/>
              </w:rPr>
              <w:t>图像隐私、光照/遮挡/角度影响，外显行为不等同内部状态</w:t>
            </w:r>
          </w:p>
        </w:tc>
      </w:tr>
      <w:tr w14:paraId="5F83328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3B518E5">
            <w:pPr>
              <w:jc w:val="center"/>
            </w:pPr>
            <w:r>
              <w:rPr>
                <w:rFonts w:ascii="Times New Roman" w:hAnsi="Times New Roman" w:eastAsia="宋体"/>
                <w:b w:val="0"/>
                <w:sz w:val="18"/>
              </w:rPr>
              <w:t>多模态融合</w:t>
            </w:r>
          </w:p>
        </w:tc>
        <w:tc>
          <w:tcPr>
            <w:tcW w:w="2076" w:type="dxa"/>
            <w:vAlign w:val="center"/>
          </w:tcPr>
          <w:p w14:paraId="7788442C">
            <w:pPr>
              <w:jc w:val="center"/>
            </w:pPr>
            <w:r>
              <w:rPr>
                <w:rFonts w:ascii="Times New Roman" w:hAnsi="Times New Roman" w:eastAsia="宋体"/>
                <w:b w:val="0"/>
                <w:sz w:val="18"/>
              </w:rPr>
              <w:t>多类行为、生理与主观信息</w:t>
            </w:r>
          </w:p>
        </w:tc>
        <w:tc>
          <w:tcPr>
            <w:tcW w:w="2076" w:type="dxa"/>
            <w:vAlign w:val="center"/>
          </w:tcPr>
          <w:p w14:paraId="22898BC7">
            <w:pPr>
              <w:jc w:val="center"/>
            </w:pPr>
            <w:r>
              <w:rPr>
                <w:rFonts w:ascii="Times New Roman" w:hAnsi="Times New Roman" w:eastAsia="宋体"/>
                <w:b w:val="0"/>
                <w:sz w:val="18"/>
              </w:rPr>
              <w:t>可检验互补与增量信息</w:t>
            </w:r>
          </w:p>
        </w:tc>
        <w:tc>
          <w:tcPr>
            <w:tcW w:w="2076" w:type="dxa"/>
            <w:vAlign w:val="center"/>
          </w:tcPr>
          <w:p w14:paraId="79C2FEAC">
            <w:pPr>
              <w:jc w:val="center"/>
            </w:pPr>
            <w:r>
              <w:rPr>
                <w:rFonts w:ascii="Times New Roman" w:hAnsi="Times New Roman" w:eastAsia="宋体"/>
                <w:b w:val="0"/>
                <w:sz w:val="18"/>
              </w:rPr>
              <w:t>同步、缺失、质量控制、模型复杂度和泛化问题</w:t>
            </w:r>
          </w:p>
        </w:tc>
      </w:tr>
      <w:tr w14:paraId="30DA49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30E9366A">
            <w:pPr>
              <w:jc w:val="center"/>
            </w:pPr>
            <w:r>
              <w:rPr>
                <w:rFonts w:ascii="Times New Roman" w:hAnsi="Times New Roman" w:eastAsia="宋体"/>
                <w:b w:val="0"/>
                <w:sz w:val="18"/>
              </w:rPr>
              <w:t>毫米波雷达</w:t>
            </w:r>
          </w:p>
        </w:tc>
        <w:tc>
          <w:tcPr>
            <w:tcW w:w="2076" w:type="dxa"/>
            <w:vAlign w:val="center"/>
          </w:tcPr>
          <w:p w14:paraId="386C10E8">
            <w:pPr>
              <w:jc w:val="center"/>
            </w:pPr>
            <w:r>
              <w:rPr>
                <w:rFonts w:ascii="Times New Roman" w:hAnsi="Times New Roman" w:eastAsia="宋体"/>
                <w:b w:val="0"/>
                <w:sz w:val="18"/>
              </w:rPr>
              <w:t>距离、速度、胸壁微动、身体微动及其派生生命体征</w:t>
            </w:r>
          </w:p>
        </w:tc>
        <w:tc>
          <w:tcPr>
            <w:tcW w:w="2076" w:type="dxa"/>
            <w:vAlign w:val="center"/>
          </w:tcPr>
          <w:p w14:paraId="55AD875D">
            <w:pPr>
              <w:jc w:val="center"/>
            </w:pPr>
            <w:r>
              <w:rPr>
                <w:rFonts w:ascii="Times New Roman" w:hAnsi="Times New Roman" w:eastAsia="宋体"/>
                <w:b w:val="0"/>
                <w:sz w:val="18"/>
              </w:rPr>
              <w:t>非接触，不直接采集可识别面部图像，可连续感知微动</w:t>
            </w:r>
          </w:p>
        </w:tc>
        <w:tc>
          <w:tcPr>
            <w:tcW w:w="2076" w:type="dxa"/>
            <w:vAlign w:val="center"/>
          </w:tcPr>
          <w:p w14:paraId="66771149">
            <w:pPr>
              <w:jc w:val="center"/>
            </w:pPr>
            <w:r>
              <w:rPr>
                <w:rFonts w:ascii="Times New Roman" w:hAnsi="Times New Roman" w:eastAsia="宋体"/>
                <w:b w:val="0"/>
                <w:sz w:val="18"/>
              </w:rPr>
              <w:t>运动、杂波、呼吸谐波和姿态影响明显；技术可测性不能替代注意测量效度验证</w:t>
            </w:r>
          </w:p>
        </w:tc>
      </w:tr>
    </w:tbl>
    <w:p w14:paraId="2C20813D">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6"/>
        <w:gridCol w:w="2076"/>
        <w:gridCol w:w="2076"/>
        <w:gridCol w:w="2076"/>
      </w:tblGrid>
      <w:tr w14:paraId="4A86D6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tcBorders>
              <w:bottom w:val="single" w:color="auto" w:sz="6" w:space="0"/>
            </w:tcBorders>
            <w:vAlign w:val="center"/>
          </w:tcPr>
          <w:p w14:paraId="04629802">
            <w:pPr>
              <w:jc w:val="center"/>
            </w:pPr>
            <w:r>
              <w:rPr>
                <w:rFonts w:ascii="Times New Roman" w:hAnsi="Times New Roman" w:eastAsia="宋体"/>
                <w:b/>
                <w:sz w:val="18"/>
              </w:rPr>
              <w:t>测量方法</w:t>
            </w:r>
          </w:p>
        </w:tc>
        <w:tc>
          <w:tcPr>
            <w:tcW w:w="2076" w:type="dxa"/>
            <w:tcBorders>
              <w:bottom w:val="single" w:color="auto" w:sz="6" w:space="0"/>
            </w:tcBorders>
            <w:vAlign w:val="center"/>
          </w:tcPr>
          <w:p w14:paraId="39CEEE21">
            <w:pPr>
              <w:jc w:val="center"/>
            </w:pPr>
            <w:r>
              <w:rPr>
                <w:rFonts w:ascii="Times New Roman" w:hAnsi="Times New Roman" w:eastAsia="宋体"/>
                <w:b/>
                <w:sz w:val="18"/>
              </w:rPr>
              <w:t>主要可观察信息</w:t>
            </w:r>
          </w:p>
        </w:tc>
        <w:tc>
          <w:tcPr>
            <w:tcW w:w="2076" w:type="dxa"/>
            <w:tcBorders>
              <w:bottom w:val="single" w:color="auto" w:sz="6" w:space="0"/>
            </w:tcBorders>
            <w:vAlign w:val="center"/>
          </w:tcPr>
          <w:p w14:paraId="7422E2C3">
            <w:pPr>
              <w:jc w:val="center"/>
            </w:pPr>
            <w:r>
              <w:rPr>
                <w:rFonts w:ascii="Times New Roman" w:hAnsi="Times New Roman" w:eastAsia="宋体"/>
                <w:b/>
                <w:sz w:val="18"/>
              </w:rPr>
              <w:t>主要优势</w:t>
            </w:r>
          </w:p>
        </w:tc>
        <w:tc>
          <w:tcPr>
            <w:tcW w:w="2076" w:type="dxa"/>
            <w:tcBorders>
              <w:bottom w:val="single" w:color="auto" w:sz="6" w:space="0"/>
            </w:tcBorders>
            <w:vAlign w:val="center"/>
          </w:tcPr>
          <w:p w14:paraId="5C6A934B">
            <w:pPr>
              <w:jc w:val="center"/>
            </w:pPr>
            <w:r>
              <w:rPr>
                <w:rFonts w:ascii="Times New Roman" w:hAnsi="Times New Roman" w:eastAsia="宋体"/>
                <w:b/>
                <w:sz w:val="18"/>
              </w:rPr>
              <w:t>主要限制</w:t>
            </w:r>
          </w:p>
        </w:tc>
      </w:tr>
      <w:tr w14:paraId="57CC56E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4F79982F">
            <w:pPr>
              <w:jc w:val="center"/>
            </w:pPr>
            <w:r>
              <w:rPr>
                <w:rFonts w:ascii="Times New Roman" w:hAnsi="Times New Roman" w:eastAsia="宋体"/>
                <w:b w:val="0"/>
                <w:sz w:val="18"/>
              </w:rPr>
              <w:t>行为任务与思维探针</w:t>
            </w:r>
          </w:p>
        </w:tc>
        <w:tc>
          <w:tcPr>
            <w:tcW w:w="2076" w:type="dxa"/>
            <w:vAlign w:val="center"/>
          </w:tcPr>
          <w:p w14:paraId="3D150ADF">
            <w:pPr>
              <w:jc w:val="center"/>
            </w:pPr>
            <w:r>
              <w:rPr>
                <w:rFonts w:ascii="Times New Roman" w:hAnsi="Times New Roman" w:eastAsia="宋体"/>
                <w:b w:val="0"/>
                <w:sz w:val="18"/>
              </w:rPr>
              <w:t>反应表现、错误、反应时、主观注意内容与警觉</w:t>
            </w:r>
          </w:p>
        </w:tc>
        <w:tc>
          <w:tcPr>
            <w:tcW w:w="2076" w:type="dxa"/>
            <w:vAlign w:val="center"/>
          </w:tcPr>
          <w:p w14:paraId="49EE6F24">
            <w:pPr>
              <w:jc w:val="center"/>
            </w:pPr>
            <w:r>
              <w:rPr>
                <w:rFonts w:ascii="Times New Roman" w:hAnsi="Times New Roman" w:eastAsia="宋体"/>
                <w:b w:val="0"/>
                <w:sz w:val="18"/>
              </w:rPr>
              <w:t>与任务要求直接对应，解释路径清晰</w:t>
            </w:r>
          </w:p>
        </w:tc>
        <w:tc>
          <w:tcPr>
            <w:tcW w:w="2076" w:type="dxa"/>
            <w:vAlign w:val="center"/>
          </w:tcPr>
          <w:p w14:paraId="61369D2D">
            <w:pPr>
              <w:jc w:val="center"/>
            </w:pPr>
            <w:r>
              <w:rPr>
                <w:rFonts w:ascii="Times New Roman" w:hAnsi="Times New Roman" w:eastAsia="宋体"/>
                <w:b w:val="0"/>
                <w:sz w:val="18"/>
              </w:rPr>
              <w:t>探针离散且依赖自我报告，行为结果可能具有多种形成机制</w:t>
            </w:r>
          </w:p>
        </w:tc>
      </w:tr>
      <w:tr w14:paraId="576E80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69B2920A">
            <w:pPr>
              <w:jc w:val="center"/>
            </w:pPr>
            <w:r>
              <w:rPr>
                <w:rFonts w:ascii="Times New Roman" w:hAnsi="Times New Roman" w:eastAsia="宋体"/>
                <w:b w:val="0"/>
                <w:sz w:val="18"/>
              </w:rPr>
              <w:t>EEG / fNIRS 等接触式生理</w:t>
            </w:r>
          </w:p>
        </w:tc>
        <w:tc>
          <w:tcPr>
            <w:tcW w:w="2076" w:type="dxa"/>
            <w:vAlign w:val="center"/>
          </w:tcPr>
          <w:p w14:paraId="60388E88">
            <w:pPr>
              <w:jc w:val="center"/>
            </w:pPr>
            <w:r>
              <w:rPr>
                <w:rFonts w:ascii="Times New Roman" w:hAnsi="Times New Roman" w:eastAsia="宋体"/>
                <w:b w:val="0"/>
                <w:sz w:val="18"/>
              </w:rPr>
              <w:t>神经电活动或血流动力学变化</w:t>
            </w:r>
          </w:p>
        </w:tc>
        <w:tc>
          <w:tcPr>
            <w:tcW w:w="2076" w:type="dxa"/>
            <w:vAlign w:val="center"/>
          </w:tcPr>
          <w:p w14:paraId="67418184">
            <w:pPr>
              <w:jc w:val="center"/>
            </w:pPr>
            <w:r>
              <w:rPr>
                <w:rFonts w:ascii="Times New Roman" w:hAnsi="Times New Roman" w:eastAsia="宋体"/>
                <w:b w:val="0"/>
                <w:sz w:val="18"/>
              </w:rPr>
              <w:t>连续、客观，可研究神经机制</w:t>
            </w:r>
          </w:p>
        </w:tc>
        <w:tc>
          <w:tcPr>
            <w:tcW w:w="2076" w:type="dxa"/>
            <w:vAlign w:val="center"/>
          </w:tcPr>
          <w:p w14:paraId="4376A216">
            <w:pPr>
              <w:jc w:val="center"/>
            </w:pPr>
            <w:r>
              <w:rPr>
                <w:rFonts w:ascii="Times New Roman" w:hAnsi="Times New Roman" w:eastAsia="宋体"/>
                <w:b w:val="0"/>
                <w:sz w:val="18"/>
              </w:rPr>
              <w:t>佩戴负担、运动伪迹、设备和操作成本</w:t>
            </w:r>
          </w:p>
        </w:tc>
      </w:tr>
      <w:tr w14:paraId="5430EB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1E6D8270">
            <w:pPr>
              <w:jc w:val="center"/>
            </w:pPr>
            <w:r>
              <w:rPr>
                <w:rFonts w:ascii="Times New Roman" w:hAnsi="Times New Roman" w:eastAsia="宋体"/>
                <w:b w:val="0"/>
                <w:sz w:val="18"/>
              </w:rPr>
              <w:t>计算机视觉</w:t>
            </w:r>
          </w:p>
        </w:tc>
        <w:tc>
          <w:tcPr>
            <w:tcW w:w="2076" w:type="dxa"/>
            <w:vAlign w:val="center"/>
          </w:tcPr>
          <w:p w14:paraId="03B6D042">
            <w:pPr>
              <w:jc w:val="center"/>
            </w:pPr>
            <w:r>
              <w:rPr>
                <w:rFonts w:ascii="Times New Roman" w:hAnsi="Times New Roman" w:eastAsia="宋体"/>
                <w:b w:val="0"/>
                <w:sz w:val="18"/>
              </w:rPr>
              <w:t>头姿、视线、面部动作、身体运动</w:t>
            </w:r>
          </w:p>
        </w:tc>
        <w:tc>
          <w:tcPr>
            <w:tcW w:w="2076" w:type="dxa"/>
            <w:vAlign w:val="center"/>
          </w:tcPr>
          <w:p w14:paraId="6168B57A">
            <w:pPr>
              <w:jc w:val="center"/>
            </w:pPr>
            <w:r>
              <w:rPr>
                <w:rFonts w:ascii="Times New Roman" w:hAnsi="Times New Roman" w:eastAsia="宋体"/>
                <w:b w:val="0"/>
                <w:sz w:val="18"/>
              </w:rPr>
              <w:t>非接触、连续、设备易获得</w:t>
            </w:r>
          </w:p>
        </w:tc>
        <w:tc>
          <w:tcPr>
            <w:tcW w:w="2076" w:type="dxa"/>
            <w:vAlign w:val="center"/>
          </w:tcPr>
          <w:p w14:paraId="35066510">
            <w:pPr>
              <w:jc w:val="center"/>
            </w:pPr>
            <w:r>
              <w:rPr>
                <w:rFonts w:ascii="Times New Roman" w:hAnsi="Times New Roman" w:eastAsia="宋体"/>
                <w:b w:val="0"/>
                <w:sz w:val="18"/>
              </w:rPr>
              <w:t>图像隐私、光照/遮挡/角度影响，外显行为不等同内部状态</w:t>
            </w:r>
          </w:p>
        </w:tc>
      </w:tr>
      <w:tr w14:paraId="5E287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09FCF51C">
            <w:pPr>
              <w:jc w:val="center"/>
            </w:pPr>
            <w:r>
              <w:rPr>
                <w:rFonts w:ascii="Times New Roman" w:hAnsi="Times New Roman" w:eastAsia="宋体"/>
                <w:b w:val="0"/>
                <w:sz w:val="18"/>
              </w:rPr>
              <w:t>多模态融合</w:t>
            </w:r>
          </w:p>
        </w:tc>
        <w:tc>
          <w:tcPr>
            <w:tcW w:w="2076" w:type="dxa"/>
            <w:vAlign w:val="center"/>
          </w:tcPr>
          <w:p w14:paraId="6F08A62C">
            <w:pPr>
              <w:jc w:val="center"/>
            </w:pPr>
            <w:r>
              <w:rPr>
                <w:rFonts w:ascii="Times New Roman" w:hAnsi="Times New Roman" w:eastAsia="宋体"/>
                <w:b w:val="0"/>
                <w:sz w:val="18"/>
              </w:rPr>
              <w:t>多类行为、生理与主观信息</w:t>
            </w:r>
          </w:p>
        </w:tc>
        <w:tc>
          <w:tcPr>
            <w:tcW w:w="2076" w:type="dxa"/>
            <w:vAlign w:val="center"/>
          </w:tcPr>
          <w:p w14:paraId="10FE7643">
            <w:pPr>
              <w:jc w:val="center"/>
            </w:pPr>
            <w:r>
              <w:rPr>
                <w:rFonts w:ascii="Times New Roman" w:hAnsi="Times New Roman" w:eastAsia="宋体"/>
                <w:b w:val="0"/>
                <w:sz w:val="18"/>
              </w:rPr>
              <w:t>可检验互补与增量信息</w:t>
            </w:r>
          </w:p>
        </w:tc>
        <w:tc>
          <w:tcPr>
            <w:tcW w:w="2076" w:type="dxa"/>
            <w:vAlign w:val="center"/>
          </w:tcPr>
          <w:p w14:paraId="58B48C8C">
            <w:pPr>
              <w:jc w:val="center"/>
            </w:pPr>
            <w:r>
              <w:rPr>
                <w:rFonts w:ascii="Times New Roman" w:hAnsi="Times New Roman" w:eastAsia="宋体"/>
                <w:b w:val="0"/>
                <w:sz w:val="18"/>
              </w:rPr>
              <w:t>同步、缺失、质量控制、模型复杂度和泛化问题</w:t>
            </w:r>
          </w:p>
        </w:tc>
      </w:tr>
      <w:tr w14:paraId="72754E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5A612FA">
            <w:pPr>
              <w:jc w:val="center"/>
            </w:pPr>
            <w:r>
              <w:rPr>
                <w:rFonts w:ascii="Times New Roman" w:hAnsi="Times New Roman" w:eastAsia="宋体"/>
                <w:b w:val="0"/>
                <w:sz w:val="18"/>
              </w:rPr>
              <w:t>毫米波雷达</w:t>
            </w:r>
          </w:p>
        </w:tc>
        <w:tc>
          <w:tcPr>
            <w:tcW w:w="2076" w:type="dxa"/>
            <w:vAlign w:val="center"/>
          </w:tcPr>
          <w:p w14:paraId="1F0E0467">
            <w:pPr>
              <w:jc w:val="center"/>
            </w:pPr>
            <w:r>
              <w:rPr>
                <w:rFonts w:ascii="Times New Roman" w:hAnsi="Times New Roman" w:eastAsia="宋体"/>
                <w:b w:val="0"/>
                <w:sz w:val="18"/>
              </w:rPr>
              <w:t>距离、速度、胸壁微动、身体微动及其派生生命体征</w:t>
            </w:r>
          </w:p>
        </w:tc>
        <w:tc>
          <w:tcPr>
            <w:tcW w:w="2076" w:type="dxa"/>
            <w:vAlign w:val="center"/>
          </w:tcPr>
          <w:p w14:paraId="1E698968">
            <w:pPr>
              <w:jc w:val="center"/>
            </w:pPr>
            <w:r>
              <w:rPr>
                <w:rFonts w:ascii="Times New Roman" w:hAnsi="Times New Roman" w:eastAsia="宋体"/>
                <w:b w:val="0"/>
                <w:sz w:val="18"/>
              </w:rPr>
              <w:t>非接触，不直接采集可识别面部图像，可连续感知微动</w:t>
            </w:r>
          </w:p>
        </w:tc>
        <w:tc>
          <w:tcPr>
            <w:tcW w:w="2076" w:type="dxa"/>
            <w:vAlign w:val="center"/>
          </w:tcPr>
          <w:p w14:paraId="07930A4B">
            <w:pPr>
              <w:jc w:val="center"/>
            </w:pPr>
            <w:r>
              <w:rPr>
                <w:rFonts w:ascii="Times New Roman" w:hAnsi="Times New Roman" w:eastAsia="宋体"/>
                <w:b w:val="0"/>
                <w:sz w:val="18"/>
              </w:rPr>
              <w:t>运动、杂波、呼吸谐波和姿态影响明显；技术可测性不能替代注意测量效度验证</w:t>
            </w:r>
          </w:p>
        </w:tc>
      </w:tr>
    </w:tbl>
    <w:p w14:paraId="5AFCCBD4">
      <w:pPr>
        <w:jc w:val="center"/>
      </w:pPr>
      <w:r>
        <w:rPr>
          <w:rFonts w:ascii="Times New Roman" w:hAnsi="Times New Roman" w:eastAsia="宋体"/>
          <w:b/>
          <w:sz w:val="21"/>
        </w:rPr>
        <w:t>表 1 常见持续注意测量方法比较</w:t>
      </w:r>
    </w:p>
    <w:p w14:paraId="1ADD7802">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2D504254">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72B3DEF2">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00205208">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34571C10">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2A44B0B9">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14:paraId="537DA0EE">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1E562A63">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2"/>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刺激，其余八类水果为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4"/>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5"/>
                    <a:srcRect l="1913" r="1913"/>
                    <a:stretch>
                      <a:fillRect/>
                    </a:stretch>
                  </pic:blipFill>
                  <pic:spPr>
                    <a:xfrm>
                      <a:off x="0" y="0"/>
                      <a:ext cx="4651083" cy="2720336"/>
                    </a:xfrm>
                    <a:prstGeom prst="rect">
                      <a:avLst/>
                    </a:prstGeom>
                  </pic:spPr>
                </pic:pic>
              </a:graphicData>
            </a:graphic>
          </wp:inline>
        </w:drawing>
      </w:r>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第一阶段的预实验行为分析基于 8 份完整记录，没有显示随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，且</w:t>
      </w:r>
      <w:r>
        <w:rPr>
          <w:rFonts w:cs="Times New Roman"/>
          <w:lang w:eastAsia="zh" w:bidi="ar"/>
        </w:rPr>
        <w:t>思维探针的出现频率和作答范围也需要进一步标准化。第二阶段据此延长连续任务时间，将固定循环改为满足分布约束的伪随机刺激序列，并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7"/>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14:paraId="0E65B8EA">
      <w:pPr>
        <w:jc w:val="center"/>
      </w:pPr>
      <w:r>
        <w:drawing>
          <wp:inline distT="0" distB="0" distL="114300" distR="114300">
            <wp:extent cx="4679950" cy="3211195"/>
            <wp:effectExtent l="0" t="0" r="5080" b="5715"/>
            <wp:docPr id="1688596216" name="Picture 168859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6" name="Picture 1688596216"/>
                    <pic:cNvPicPr>
                      <a:picLocks noChangeAspect="1"/>
                    </pic:cNvPicPr>
                  </pic:nvPicPr>
                  <pic:blipFill>
                    <a:blip r:embed="rId18"/>
                    <a:stretch>
                      <a:fillRect/>
                    </a:stretch>
                  </pic:blipFill>
                  <pic:spPr>
                    <a:xfrm>
                      <a:off x="0" y="0"/>
                      <a:ext cx="4680000" cy="3211434"/>
                    </a:xfrm>
                    <a:prstGeom prst="rect">
                      <a:avLst/>
                    </a:prstGeom>
                  </pic:spPr>
                </pic:pic>
              </a:graphicData>
            </a:graphic>
          </wp:inline>
        </w:drawing>
      </w:r>
    </w:p>
    <w:p w14:paraId="02416906">
      <w:pPr>
        <w:jc w:val="center"/>
      </w:pPr>
      <w:r>
        <w:rPr>
          <w:b/>
          <w:sz w:val="21"/>
        </w:rPr>
        <w:t>图 7 预实验第一阶段行为指标轨迹</w:t>
      </w:r>
    </w:p>
    <w:p w14:paraId="539EE5C7">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 1</w:t>
      </w:r>
      <w:r>
        <w:rPr>
          <w:rFonts w:hint="eastAsia" w:cs="Times New Roman"/>
          <w:lang w:eastAsia="zh"/>
        </w:rPr>
        <w:t>9</w:t>
      </w:r>
      <w:r>
        <w:rPr>
          <w:rFonts w:cs="Times New Roman"/>
          <w:lang w:eastAsia="zh"/>
        </w:rPr>
        <w:t xml:space="preserve"> 名参与者完成 20 次实验，采用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14:paraId="25D17CDF">
      <w:pPr>
        <w:jc w:val="center"/>
      </w:pPr>
      <w:r>
        <w:drawing>
          <wp:inline distT="0" distB="0" distL="114300" distR="114300">
            <wp:extent cx="4679950" cy="2239645"/>
            <wp:effectExtent l="0" t="0" r="5080" b="5715"/>
            <wp:docPr id="1688596217" name="Picture 1688596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7" name="Picture 1688596217"/>
                    <pic:cNvPicPr>
                      <a:picLocks noChangeAspect="1"/>
                    </pic:cNvPicPr>
                  </pic:nvPicPr>
                  <pic:blipFill>
                    <a:blip r:embed="rId19"/>
                    <a:stretch>
                      <a:fillRect/>
                    </a:stretch>
                  </pic:blipFill>
                  <pic:spPr>
                    <a:xfrm>
                      <a:off x="0" y="0"/>
                      <a:ext cx="4680000" cy="2239945"/>
                    </a:xfrm>
                    <a:prstGeom prst="rect">
                      <a:avLst/>
                    </a:prstGeom>
                  </pic:spPr>
                </pic:pic>
              </a:graphicData>
            </a:graphic>
          </wp:inline>
        </w:drawing>
      </w:r>
    </w:p>
    <w:p w14:paraId="02EFD966">
      <w:pPr>
        <w:jc w:val="center"/>
      </w:pPr>
      <w:r>
        <w:rPr>
          <w:b/>
          <w:sz w:val="21"/>
        </w:rPr>
        <w:t>图 8 预实验第二阶段行为指标轨迹</w:t>
      </w:r>
    </w:p>
    <w:p w14:paraId="56FF6D60">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实验开始时主试讲解实验要求和目的，参与者需要全程尽量保持直坐、不动（见图 8）。</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r>
        <w:rPr>
          <w:rFonts w:hint="eastAsia"/>
          <w:lang w:eastAsia="zh" w:bidi="ar"/>
        </w:rPr>
        <w:t>1</w:t>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1BFA2541">
      <w:pPr>
        <w:jc w:val="center"/>
      </w:pPr>
      <m:oMathPara>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m:oMathPara>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1D0765F3">
      <w:pPr>
        <w:jc w:val="center"/>
      </w:pPr>
      <m:oMathPara>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m:oMathPara>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7F5B62C9">
      <w:pPr>
        <w:jc w:val="center"/>
      </w:pPr>
      <w:r>
        <w:drawing>
          <wp:inline distT="0" distB="0" distL="114300" distR="114300">
            <wp:extent cx="4319905" cy="1675765"/>
            <wp:effectExtent l="0" t="0" r="8890" b="8255"/>
            <wp:docPr id="1688596218" name="Picture 168859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8" name="Picture 1688596218"/>
                    <pic:cNvPicPr>
                      <a:picLocks noChangeAspect="1"/>
                    </pic:cNvPicPr>
                  </pic:nvPicPr>
                  <pic:blipFill>
                    <a:blip r:embed="rId22"/>
                    <a:stretch>
                      <a:fillRect/>
                    </a:stretch>
                  </pic:blipFill>
                  <pic:spPr>
                    <a:xfrm>
                      <a:off x="0" y="0"/>
                      <a:ext cx="4320000" cy="1676160"/>
                    </a:xfrm>
                    <a:prstGeom prst="rect">
                      <a:avLst/>
                    </a:prstGeom>
                  </pic:spPr>
                </pic:pic>
              </a:graphicData>
            </a:graphic>
          </wp:inline>
        </w:drawing>
      </w:r>
    </w:p>
    <w:p w14:paraId="06F21AED">
      <w:pPr>
        <w:jc w:val="center"/>
      </w:pPr>
      <w:r>
        <w:rPr>
          <w:b/>
          <w:sz w:val="21"/>
        </w:rPr>
        <w:t>图 11 正确 Go 反应时分布</w:t>
      </w:r>
    </w:p>
    <w:p w14:paraId="6575AB0D">
      <w:pPr>
        <w:jc w:val="center"/>
      </w:pPr>
      <w:r>
        <w:rPr>
          <w:sz w:val="18"/>
        </w:rPr>
        <w:t>注：直方图与经验累积分布；QC 阈值位置仅标注、未删除数据。</w:t>
      </w:r>
    </w:p>
    <w:p w14:paraId="6512E902">
      <w:pPr>
        <w:pStyle w:val="4"/>
      </w:pPr>
      <w:r>
        <w:t>4.5.3 RGB 可见行为测量</w:t>
      </w:r>
    </w:p>
    <w:p w14:paraId="2A781F98">
      <w:pPr>
        <w:jc w:val="center"/>
      </w:pPr>
      <m:oMathPara>
        <m:oMath>
          <m:r>
            <m:rPr/>
            <w:rPr>
              <w:rFonts w:ascii="Cambria Math" w:hAnsi="Cambria Math"/>
              <w:lang w:eastAsia="zh" w:bidi="ar"/>
            </w:rPr>
            <m:t>Y=0.2126R+0.7152G+0.0722B</m:t>
          </m:r>
        </m:oMath>
      </m:oMathPara>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rPr>
          <w:rFonts w:ascii="Times New Roman" w:hAnsi="Times New Roman" w:eastAsia="宋体"/>
          <w:b w:val="0"/>
          <w:sz w:val="18"/>
        </w:rPr>
        <w:t>注：A 为距离-速度域谱，B 为反射位置与通道选择，C 为相位展开后的胸壁微动序列。</w:t>
      </w:r>
    </w:p>
    <w:p w14:paraId="35A6F58D">
      <w:pPr>
        <w:jc w:val="center"/>
      </w:pPr>
      <w:r>
        <w:drawing>
          <wp:inline distT="0" distB="0" distL="114300" distR="114300">
            <wp:extent cx="5219700" cy="3264535"/>
            <wp:effectExtent l="0" t="0" r="5080" b="6350"/>
            <wp:docPr id="1688596219" name="Picture 1688596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9" name="Picture 1688596219"/>
                    <pic:cNvPicPr>
                      <a:picLocks noChangeAspect="1"/>
                    </pic:cNvPicPr>
                  </pic:nvPicPr>
                  <pic:blipFill>
                    <a:blip r:embed="rId23"/>
                    <a:stretch>
                      <a:fillRect/>
                    </a:stretch>
                  </pic:blipFill>
                  <pic:spPr>
                    <a:xfrm>
                      <a:off x="0" y="0"/>
                      <a:ext cx="5220000" cy="3264969"/>
                    </a:xfrm>
                    <a:prstGeom prst="rect">
                      <a:avLst/>
                    </a:prstGeom>
                  </pic:spPr>
                </pic:pic>
              </a:graphicData>
            </a:graphic>
          </wp:inline>
        </w:drawing>
      </w:r>
    </w:p>
    <w:p>
      <w:pPr>
        <w:jc w:val="center"/>
      </w:pPr>
      <w:r>
        <w:rPr>
          <w:rFonts w:ascii="Times New Roman" w:hAnsi="Times New Roman" w:eastAsia="宋体"/>
          <w:b/>
          <w:sz w:val="21"/>
        </w:rPr>
        <w:t>图 12 毫米波信号处理关键步骤</w:t>
      </w:r>
    </w:p>
    <w:p>
      <w:pPr>
        <w:jc w:val="center"/>
      </w:pPr>
      <w:r>
        <w:drawing>
          <wp:inline xmlns:a="http://schemas.openxmlformats.org/drawingml/2006/main" xmlns:pic="http://schemas.openxmlformats.org/drawingml/2006/picture">
            <wp:extent cx="5220000" cy="5531642"/>
            <wp:docPr id="1688596229" name="Picture 1688596229"/>
            <wp:cNvGraphicFramePr>
              <a:graphicFrameLocks noChangeAspect="1"/>
            </wp:cNvGraphicFramePr>
            <a:graphic>
              <a:graphicData uri="http://schemas.openxmlformats.org/drawingml/2006/picture">
                <pic:pic>
                  <pic:nvPicPr>
                    <pic:cNvPr id="0" name="MMWAVE_METHOD_3PANEL_2026-08-31.png"/>
                    <pic:cNvPicPr/>
                  </pic:nvPicPr>
                  <pic:blipFill>
                    <a:blip r:embed="rId42"/>
                    <a:stretch>
                      <a:fillRect/>
                    </a:stretch>
                  </pic:blipFill>
                  <pic:spPr>
                    <a:xfrm>
                      <a:off x="0" y="0"/>
                      <a:ext cx="5220000" cy="5531642"/>
                    </a:xfrm>
                    <a:prstGeom prst="rect"/>
                  </pic:spPr>
                </pic:pic>
              </a:graphicData>
            </a:graphic>
          </wp:inline>
        </w:drawing>
      </w:r>
    </w:p>
    <w:p w14:paraId="6488CA81">
      <w:pPr>
        <w:jc w:val="center"/>
      </w:pPr>
      <w:r>
        <w:rPr>
          <w:rFonts w:ascii="Times New Roman" w:eastAsia="宋体"/>
          <w:b/>
          <w:sz w:val="21"/>
        </w:rPr>
        <w:t>图 13 毫米波心率与呼吸估计处理管线</w:t>
      </w:r>
    </w:p>
    <w:p w14:paraId="30CFB8E0">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14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参数见附录 C</w:t>
      </w:r>
      <w:r>
        <w:rPr>
          <w:rFonts w:hint="eastAsia"/>
        </w:rPr>
        <w:t>。</w:t>
      </w:r>
    </w:p>
    <w:p w14:paraId="3DEF8F52">
      <w:pPr>
        <w:pStyle w:val="11"/>
        <w:keepNext/>
        <w:rPr>
          <w:lang w:eastAsia="zh-CN"/>
        </w:rPr>
      </w:pPr>
      <w:r>
        <w:rPr>
          <w:rFonts w:hint="eastAsia"/>
          <w:lang w:eastAsia="zh-CN"/>
        </w:rPr>
        <w:t>表 4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15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 xml:space="preserve">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偏移整体较小。完整事件数量、各相对位置的均值与 </w:t>
      </w:r>
      <w:r>
        <w:rPr>
          <w:i/>
          <w:iCs/>
        </w:rPr>
        <w:t>SEM</w:t>
      </w:r>
      <w:r>
        <w:t xml:space="preserve"> 见附录 C。</w:t>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bookmarkStart w:id="0" w:name="_GoBack"/>
      <w:bookmarkEnd w:id="0"/>
      <w:r>
        <w:drawing>
          <wp:inline xmlns:a="http://schemas.openxmlformats.org/drawingml/2006/main" xmlns:pic="http://schemas.openxmlformats.org/drawingml/2006/picture">
            <wp:extent cx="5220000" cy="2455935"/>
            <wp:docPr id="1688596228" name="Picture 1688596228"/>
            <wp:cNvGraphicFramePr>
              <a:graphicFrameLocks noChangeAspect="1"/>
            </wp:cNvGraphicFramePr>
            <a:graphic>
              <a:graphicData uri="http://schemas.openxmlformats.org/drawingml/2006/picture">
                <pic:pic>
                  <pic:nvPicPr>
                    <pic:cNvPr id="0" name="Figure09_data_quality_coverage.png"/>
                    <pic:cNvPicPr/>
                  </pic:nvPicPr>
                  <pic:blipFill>
                    <a:blip r:embed="rId41"/>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16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17。</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7"/>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17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8"/>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18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distT="0" distB="0" distL="114300" distR="114300">
            <wp:extent cx="5219700" cy="2455545"/>
            <wp:effectExtent l="0" t="0" r="5080" b="5715"/>
            <wp:docPr id="1688596227" name="Picture 168859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27" name="Picture 1688596227"/>
                    <pic:cNvPicPr>
                      <a:picLocks noChangeAspect="1"/>
                    </pic:cNvPicPr>
                  </pic:nvPicPr>
                  <pic:blipFill>
                    <a:blip r:embed="rId29"/>
                    <a:stretch>
                      <a:fillRect/>
                    </a:stretch>
                  </pic:blipFill>
                  <pic:spPr>
                    <a:xfrm>
                      <a:off x="0" y="0"/>
                      <a:ext cx="5220000" cy="2455935"/>
                    </a:xfrm>
                    <a:prstGeom prst="rect">
                      <a:avLst/>
                    </a:prstGeom>
                  </pic:spPr>
                </pic:pic>
              </a:graphicData>
            </a:graphic>
          </wp:inline>
        </w:drawing>
      </w:r>
    </w:p>
    <w:p w14:paraId="3E4C4352">
      <w:pPr>
        <w:jc w:val="center"/>
      </w:pPr>
      <w:r>
        <w:rPr>
          <w:rFonts w:ascii="Times New Roman" w:hAnsi="Times New Roman" w:eastAsia="宋体"/>
          <w:b/>
          <w:sz w:val="21"/>
        </w:rPr>
        <w:t>图 19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30"/>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20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4AC7C646">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31"/>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21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22）。运动能量、曝光变化与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2"/>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22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3"/>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23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5907D742">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4"/>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24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25。</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5"/>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25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26）。相对基准的逐折配对差异以折为观测进行参与者级重抽样获得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6"/>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26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69C13DFC">
      <w:pPr>
        <w:ind w:firstLine="420"/>
        <w:jc w:val="both"/>
      </w:pPr>
      <w:r>
        <w:rPr>
          <w:rFonts w:ascii="Times New Roman" w:hAnsi="Times New Roman" w:eastAsia="宋体"/>
          <w:sz w:val="21"/>
        </w:rPr>
        <w:t>八组合的 61 折逐折性能明细见附录 E。</w:t>
      </w:r>
    </w:p>
    <w:p w14:paraId="77CA20B1">
      <w:pPr>
        <w:ind w:firstLine="420"/>
        <w:jc w:val="both"/>
      </w:pP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0096A15B">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00267CA">
      <w:pPr>
        <w:jc w:val="center"/>
      </w:pPr>
      <w:r>
        <w:rPr>
          <w:rFonts w:ascii="Times New Roman" w:hAnsi="Times New Roman" w:eastAsia="宋体"/>
          <w:b w:val="0"/>
          <w:sz w:val="18"/>
        </w:rPr>
        <w:t>注：原型平台网页端界面截图（待插入）。</w:t>
      </w:r>
    </w:p>
    <w:p w14:paraId="5F13FDA1">
      <w:pPr>
        <w:jc w:val="center"/>
      </w:pPr>
      <w:r>
        <w:rPr>
          <w:rFonts w:ascii="Times New Roman" w:hAnsi="Times New Roman" w:eastAsia="宋体"/>
          <w:b/>
          <w:sz w:val="21"/>
        </w:rPr>
        <w:t>图 26 无感测评原型平台界面（网页端）</w:t>
      </w:r>
    </w:p>
    <w:p w14:paraId="09A5C777">
      <w:pPr>
        <w:jc w:val="center"/>
      </w:pPr>
      <w:r>
        <w:rPr>
          <w:rFonts w:ascii="Times New Roman" w:hAnsi="Times New Roman" w:eastAsia="宋体"/>
          <w:b w:val="0"/>
          <w:sz w:val="18"/>
        </w:rPr>
        <w:t>注：原型平台移动端界面截图（待插入）。</w:t>
      </w:r>
    </w:p>
    <w:p w14:paraId="5F892157">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ind w:hanging="420"/>
      </w:pPr>
      <w:r>
        <w:rPr>
          <w:rFonts w:ascii="Times New Roman" w:eastAsia="宋体"/>
          <w:sz w:val="21"/>
        </w:rPr>
        <w:t>Baltrušaitis, T., Ahuja, C., &amp; Morency, L.-P. (2019). Multimodal machine learning: A survey and taxonomy. IEEE Transactions on Pattern Analysis and Machine Intelligence, 41(2), 423–443. https://doi.org/10.1109/TPAMI.2018.2798607</w:t>
      </w:r>
    </w:p>
    <w:p>
      <w:pPr>
        <w:ind w:hanging="420"/>
      </w:pPr>
      <w:r>
        <w:rPr>
          <w:rFonts w:asci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ind w:hanging="420"/>
      </w:pPr>
      <w:r>
        <w:rPr>
          <w:rFonts w:ascii="Times New Roman" w:eastAsia="宋体"/>
          <w:sz w:val="21"/>
        </w:rPr>
        <w:t>Bosch, N., &amp; D'Mello, S. K. (2021). Automatic detection of mind wandering from video in the lab and in the classroom. IEEE Transactions on Affective Computing, 12(4), 974–988. https://doi.org/10.1109/TAFFC.2019.2908837</w:t>
      </w:r>
    </w:p>
    <w:p>
      <w:pPr>
        <w:ind w:hanging="420"/>
      </w:pPr>
      <w:r>
        <w:rPr>
          <w:rFonts w:asci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ind w:hanging="420"/>
      </w:pPr>
      <w:r>
        <w:rPr>
          <w:rFonts w:ascii="Times New Roman" w:eastAsia="宋体"/>
          <w:sz w:val="21"/>
        </w:rPr>
        <w:t>Curran, P. J., &amp; Bauer, D. J. (2011). The disaggregation of within-person and between-person effects in longitudinal models of change. Annual Review of Psychology, 62, 583–619. https://doi.org/10.1146/annurev.psych.093008.100356</w:t>
      </w:r>
    </w:p>
    <w:p>
      <w:pPr>
        <w:ind w:hanging="420"/>
      </w:pPr>
      <w:r>
        <w:rPr>
          <w:rFonts w:ascii="Times New Roman" w:eastAsia="宋体"/>
          <w:sz w:val="21"/>
        </w:rPr>
        <w:t>Cronbach, L. J., &amp; Meehl, P. E. (1955). Construct validity in psychological tests. Psychological Bulletin, 52(4), 281–302. https://doi.org/10.1037/h0040957</w:t>
      </w:r>
    </w:p>
    <w:p>
      <w:pPr>
        <w:ind w:hanging="420"/>
      </w:pPr>
      <w:r>
        <w:rPr>
          <w:rFonts w:ascii="Times New Roman" w:eastAsia="宋体"/>
          <w:sz w:val="21"/>
        </w:rPr>
        <w:t>Campbell, D. T., &amp; Fiske, D. W. (1959). Convergent and discriminant validation by the multitrait-multimethod matrix. Psychological Bulletin, 56(2), 81–105. https://doi.org/10.1037/h0046016</w:t>
      </w:r>
    </w:p>
    <w:p>
      <w:pPr>
        <w:ind w:hanging="420"/>
      </w:pPr>
      <w:r>
        <w:rPr>
          <w:rFonts w:ascii="Times New Roman" w:eastAsia="宋体"/>
          <w:sz w:val="21"/>
        </w:rPr>
        <w:t>Chen, Y., Yuan, J., &amp; Tang, J. (2024). A high precision vital signs detection method based on millimeter wave radar. Scientific Reports, 14, 25535. https://doi.org/10.1038/s41598-024-77683-1</w:t>
      </w:r>
    </w:p>
    <w:p>
      <w:pPr>
        <w:ind w:hanging="420"/>
      </w:pPr>
      <w:r>
        <w:rPr>
          <w:rFonts w:asci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ind w:hanging="420"/>
      </w:pPr>
      <w:r>
        <w:rPr>
          <w:rFonts w:ascii="Times New Roman" w:eastAsia="宋体"/>
          <w:sz w:val="21"/>
        </w:rPr>
        <w:t>Corcoran, A. W., Le Coz, A., Hohwy, J., &amp; Andrillon, T. (2025). When your heart isn’t in it anymore: Cardiac correlates of task disengagement. Communications Biology, 8, 1646. https://doi.org/10.1038/s42003-025-09026-3</w:t>
      </w:r>
    </w:p>
    <w:p>
      <w:pPr>
        <w:ind w:hanging="420"/>
      </w:pPr>
      <w:r>
        <w:rPr>
          <w:rFonts w:asci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ind w:hanging="420"/>
      </w:pPr>
      <w:r>
        <w:rPr>
          <w:rFonts w:ascii="Times New Roman" w:eastAsia="宋体"/>
          <w:sz w:val="21"/>
        </w:rPr>
        <w:t>Dragomiretskiy, K., &amp; Zosso, D. (2014). Variational mode decomposition. IEEE Transactions on Signal Processing, 62(3), 531–544. https://doi.org/10.1109/TSP.2013.2288675</w:t>
      </w:r>
    </w:p>
    <w:p>
      <w:pPr>
        <w:ind w:hanging="420"/>
      </w:pPr>
      <w:r>
        <w:rPr>
          <w:rFonts w:ascii="Times New Roman" w:eastAsia="宋体"/>
          <w:sz w:val="21"/>
        </w:rPr>
        <w:t>D'Mello, S. K., &amp; Kory, J. (2015). A review and meta-analysis of multimodal affect detection systems. ACM Computing Surveys, 47(3), Article 43, 1–36. https://doi.org/10.1145/2682899</w:t>
      </w:r>
    </w:p>
    <w:p>
      <w:pPr>
        <w:ind w:hanging="420"/>
      </w:pPr>
      <w:r>
        <w:rPr>
          <w:rFonts w:ascii="Times New Roman" w:eastAsia="宋体"/>
          <w:sz w:val="21"/>
        </w:rPr>
        <w:t>Efron, B., &amp; Tibshirani, R. J. (1994). An introduction to the bootstrap. CRC Press.</w:t>
      </w:r>
    </w:p>
    <w:p>
      <w:pPr>
        <w:ind w:hanging="420"/>
      </w:pPr>
      <w:r>
        <w:rPr>
          <w:rFonts w:ascii="Times New Roman" w:eastAsia="宋体"/>
          <w:sz w:val="21"/>
        </w:rPr>
        <w:t>Farley, J., Risko, E. F., &amp; Kingstone, A. (2013). Everyday attention and lecture retention: The effects of time, fidgeting, and mind wandering. Frontiers in Psychology, 4, 619. https://doi.org/10.3389/fpsyg.2013.00619</w:t>
      </w:r>
    </w:p>
    <w:p>
      <w:pPr>
        <w:ind w:hanging="420"/>
      </w:pPr>
      <w:r>
        <w:rPr>
          <w:rFonts w:asci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ind w:hanging="420"/>
      </w:pPr>
      <w:r>
        <w:rPr>
          <w:rFonts w:ascii="Times New Roman" w:eastAsia="宋体"/>
          <w:sz w:val="21"/>
        </w:rPr>
        <w:t>Hansen, A. L., Johnsen, B. H., &amp; Thayer, J. F. (2003). Vagal influence on working memory and attention. International Journal of Psychophysiology, 48(3), 263–274. https://doi.org/10.1016/S0167-8760(03)00073-4</w:t>
      </w:r>
    </w:p>
    <w:p>
      <w:pPr>
        <w:ind w:hanging="420"/>
      </w:pPr>
      <w:r>
        <w:rPr>
          <w:rFonts w:ascii="Times New Roman" w:eastAsia="宋体"/>
          <w:sz w:val="21"/>
        </w:rPr>
        <w:t>Kret, M. E., &amp; Sjak-Shie, E. E. (2019). Preprocessing pupil size data: Guidelines and code. Behavior Research Methods, 51(3), 1336–1342. https://doi.org/10.3758/s13428-018-1075-y</w:t>
      </w:r>
    </w:p>
    <w:p>
      <w:pPr>
        <w:ind w:hanging="420"/>
      </w:pPr>
      <w:r>
        <w:rPr>
          <w:rFonts w:ascii="Times New Roman" w:eastAsia="宋体"/>
          <w:sz w:val="21"/>
        </w:rPr>
        <w:t>Kim, J. H., Yin, C., Merriam, E. P., &amp; Roth, Z. N. (2023). Pupil size is sensitive to low-level stimulus features, independent of arousal-related modulation. eNeuro, 10(10), ENEURO.0005-23.2023. https://doi.org/10.1523/ENEURO.0005-23.2023</w:t>
      </w:r>
    </w:p>
    <w:p>
      <w:pPr>
        <w:ind w:hanging="420"/>
      </w:pPr>
      <w:r>
        <w:rPr>
          <w:rFonts w:ascii="Times New Roman" w:eastAsia="宋体"/>
          <w:sz w:val="21"/>
        </w:rPr>
        <w:t>Liang, K.-Y., &amp; Zeger, S. L. (1986). Longitudinal data analysis using generalized linear models. Biometrika, 73(1), 13–22. https://doi.org/10.1093/biomet/73.1.13</w:t>
      </w:r>
    </w:p>
    <w:p>
      <w:pPr>
        <w:ind w:hanging="420"/>
      </w:pPr>
      <w:r>
        <w:rPr>
          <w:rFonts w:asci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ind w:hanging="420"/>
      </w:pPr>
      <w:r>
        <w:rPr>
          <w:rFonts w:asci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ind w:hanging="420"/>
      </w:pPr>
      <w:r>
        <w:rPr>
          <w:rFonts w:ascii="Times New Roman" w:eastAsia="宋体"/>
          <w:sz w:val="21"/>
        </w:rPr>
        <w:t>Mathôt, S., Fabius, J., Van Heusden, E., &amp; Van der Stigchel, S. (2018). Safe and sensible preprocessing and baseline correction of pupil-size data. Behavior Research Methods, 50(1), 94–106. https://doi.org/10.3758/s13428-017-1007-2</w:t>
      </w:r>
    </w:p>
    <w:p>
      <w:pPr>
        <w:ind w:hanging="420"/>
      </w:pPr>
      <w:r>
        <w:rPr>
          <w:rFonts w:ascii="Times New Roman" w:eastAsia="宋体"/>
          <w:sz w:val="21"/>
        </w:rPr>
        <w:t>Mathôt, S. (2018). Pupillometry: Psychology, physiology, and function. Journal of Cognition, 1(1), 16. https://doi.org/10.5334/joc.18</w:t>
      </w:r>
    </w:p>
    <w:p>
      <w:pPr>
        <w:ind w:hanging="420"/>
      </w:pPr>
      <w:r>
        <w:rPr>
          <w:rFonts w:ascii="Times New Roman" w:eastAsia="宋体"/>
          <w:sz w:val="21"/>
        </w:rPr>
        <w:t>Manly, T., Robertson, I. H., Galloway, M., &amp; Hawkins, K. (1999). The absent mind: Further investigations of sustained attention to response. Neuropsychologia, 37(6), 661–670. https://doi.org/10.1016/S0028-3932(98)00127-4</w:t>
      </w:r>
    </w:p>
    <w:p>
      <w:pPr>
        <w:ind w:hanging="420"/>
      </w:pPr>
      <w:r>
        <w:rPr>
          <w:rFonts w:ascii="Times New Roman" w:eastAsia="宋体"/>
          <w:sz w:val="21"/>
        </w:rPr>
        <w:t>Macmillan, N. A., &amp; Creelman, C. D. (2005). Detection theory: A user's guide (2nd ed.). Psychology Press.</w:t>
      </w:r>
    </w:p>
    <w:p>
      <w:pPr>
        <w:ind w:hanging="420"/>
      </w:pPr>
      <w:r>
        <w:rPr>
          <w:rFonts w:asci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ind w:hanging="420"/>
      </w:pPr>
      <w:r>
        <w:rPr>
          <w:rFonts w:asci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ind w:hanging="420"/>
      </w:pPr>
      <w:r>
        <w:rPr>
          <w:rFonts w:asci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ind w:hanging="420"/>
      </w:pPr>
      <w:r>
        <w:rPr>
          <w:rFonts w:ascii="Times New Roman" w:eastAsia="宋体"/>
          <w:sz w:val="21"/>
        </w:rPr>
        <w:t>Smilek, D., Carriere, J. S. A., &amp; Cheyne, J. A. (2010). Out of mind, out of sight: Eye blinking as indicator and embodiment of mind wandering. Psychological Science, 21(6), 786–789. https://doi.org/10.1177/0956797610368063</w:t>
      </w:r>
    </w:p>
    <w:p>
      <w:pPr>
        <w:ind w:hanging="420"/>
      </w:pPr>
      <w:r>
        <w:rPr>
          <w:rFonts w:asci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ind w:hanging="420"/>
      </w:pPr>
      <w:r>
        <w:rPr>
          <w:rFonts w:asci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ind w:hanging="420"/>
      </w:pPr>
      <w:r>
        <w:rPr>
          <w:rFonts w:ascii="Times New Roman" w:eastAsia="宋体"/>
          <w:sz w:val="21"/>
        </w:rPr>
        <w:t>Strauch, C., Wang, C.-A., Einhäuser, W., Van der Stigchel, S., &amp; Naber, M. (2022). Pupillometry as an integrated readout of distinct attentional networks. Trends in Neurosciences, 45(8), 635–647. https://doi.org/10.1016/j.tins.2022.05.003</w:t>
      </w:r>
    </w:p>
    <w:p>
      <w:pPr>
        <w:ind w:hanging="420"/>
      </w:pPr>
      <w:r>
        <w:rPr>
          <w:rFonts w:ascii="Times New Roman" w:eastAsia="宋体"/>
          <w:sz w:val="21"/>
        </w:rPr>
        <w:t>Smallwood, J., &amp; Schooler, J. W. (2015). The science of mind wandering: Empirically navigating the stream of consciousness. Annual Review of Psychology, 66, 487–518. https://doi.org/10.1146/annurev-psych-010814-015331</w:t>
      </w:r>
    </w:p>
    <w:p>
      <w:pPr>
        <w:ind w:hanging="420"/>
      </w:pPr>
      <w:r>
        <w:rPr>
          <w:rFonts w:asci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ind w:hanging="420"/>
      </w:pPr>
      <w:r>
        <w:rPr>
          <w:rFonts w:ascii="Times New Roman" w:eastAsia="宋体"/>
          <w:sz w:val="21"/>
        </w:rPr>
        <w:t>Smallwood, J., &amp; Schooler, J. W. (2006). The restless mind. Psychological Bulletin, 132(6), 946–958. https://doi.org/10.1037/0033-2909.132.6.946</w:t>
      </w:r>
    </w:p>
    <w:p>
      <w:pPr>
        <w:ind w:hanging="420"/>
      </w:pPr>
      <w:r>
        <w:rPr>
          <w:rFonts w:ascii="Times New Roman" w:eastAsia="宋体"/>
          <w:sz w:val="21"/>
        </w:rPr>
        <w:t>Sarter, M., Givens, B., &amp; Bruno, J. P. (2001). The cognitive neuroscience of sustained attention: Where top-down meets bottom-up. Brain Research Reviews, 35(2), 146–160. https://doi.org/10.1016/S0165-0173(01)00044-3</w:t>
      </w:r>
    </w:p>
    <w:p>
      <w:pPr>
        <w:ind w:hanging="420"/>
      </w:pPr>
      <w:r>
        <w:rPr>
          <w:rFonts w:ascii="Times New Roman" w:eastAsia="宋体"/>
          <w:sz w:val="21"/>
        </w:rPr>
        <w:t>Sen, P. K. (1968). Estimates of the regression coefficient based on Kendall's tau. Journal of the American Statistical Association, 63(324), 1379–1389. https://doi.org/10.1080/01621459.1968.10480934</w:t>
      </w:r>
    </w:p>
    <w:p>
      <w:pPr>
        <w:ind w:hanging="420"/>
      </w:pPr>
      <w:r>
        <w:rPr>
          <w:rFonts w:ascii="Times New Roman" w:eastAsia="宋体"/>
          <w:sz w:val="21"/>
        </w:rPr>
        <w:t>Soukupová, T., &amp; Čech, J. (2016). Real-time eye blink detection using facial landmarks. In 21st Computer Vision Winter Workshop (pp. 1–8).</w:t>
      </w:r>
    </w:p>
    <w:p>
      <w:pPr>
        <w:ind w:hanging="420"/>
      </w:pPr>
      <w:r>
        <w:rPr>
          <w:rFonts w:ascii="Times New Roman" w:eastAsia="宋体"/>
          <w:sz w:val="21"/>
        </w:rPr>
        <w:t>Theil, H. (1950). A rank-invariant method of linear and polynomial regression analysis. Indagationes Mathematicae, 12, 85–91.</w:t>
      </w:r>
    </w:p>
    <w:p>
      <w:pPr>
        <w:ind w:hanging="420"/>
      </w:pPr>
      <w:r>
        <w:rPr>
          <w:rFonts w:ascii="Times New Roman" w:eastAsia="宋体"/>
          <w:sz w:val="21"/>
        </w:rPr>
        <w:t>Unsworth, N., Robison, M. K., &amp; Miller, A. L. (2018). Pupillary correlates of fluctuations in sustained attention. Journal of Cognitive Neuroscience, 30(9), 1241–1253. https://doi.org/10.1162/jocn_a_01251</w:t>
      </w:r>
    </w:p>
    <w:p>
      <w:pPr>
        <w:ind w:hanging="420"/>
      </w:pPr>
      <w:r>
        <w:rPr>
          <w:rFonts w:ascii="Times New Roman" w:eastAsia="宋体"/>
          <w:sz w:val="21"/>
        </w:rPr>
        <w:t>van den Brink, R. L., Murphy, P. R., &amp; Nieuwenhuis, S. (2016). Pupil diameter tracks lapses of attention. PLOS ONE, 11(10), e0165274. https://doi.org/10.1371/journal.pone.0165274</w:t>
      </w:r>
    </w:p>
    <w:p>
      <w:pPr>
        <w:ind w:hanging="420"/>
      </w:pPr>
      <w:r>
        <w:rPr>
          <w:rFonts w:ascii="Times New Roman" w:eastAsia="宋体"/>
          <w:sz w:val="21"/>
        </w:rPr>
        <w:t>Wiemers, E. A., &amp; Redick, T. S. (2019). The influence of thought probes on performance: Does the mind wander more if you ask it? Psychonomic Bulletin &amp; Review, 26(1), 367–373. https://doi.org/10.3758/s13423-018-1529-3</w:t>
      </w:r>
    </w:p>
    <w:p>
      <w:pPr>
        <w:ind w:hanging="420"/>
      </w:pPr>
      <w:r>
        <w:rPr>
          <w:rFonts w:ascii="Times New Roman" w:eastAsia="宋体"/>
          <w:sz w:val="21"/>
        </w:rPr>
        <w:t>Wang, F., Zeng, X., Wu, C., Wang, B., &amp; Liu, K. J. R. (2021). mmHRV: Contactless heart rate variability monitoring using millimeter-wave radio. IEEE Internet of Things Journal, 8(22), 16623–16636. https://doi.org/10.1109/JIOT.2021.3075167</w:t>
      </w:r>
    </w:p>
    <w:p>
      <w:pPr>
        <w:ind w:hanging="420"/>
      </w:pPr>
      <w:r>
        <w:rPr>
          <w:rFonts w:asci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ind w:hanging="420"/>
      </w:pPr>
      <w:r>
        <w:rPr>
          <w:rFonts w:ascii="Times New Roman" w:eastAsia="宋体"/>
          <w:sz w:val="21"/>
        </w:rPr>
        <w:t>Zhu, J., Cao, J., Yang, Y., Ren, W., &amp; Han, H. (2023). mmDrive: Fine-grained fatigue driving detection using mmWave radar. ACM Transactions on Internet of Things, 4(4), Article 26, 1–30. https://doi.org/10.1145/3614437</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708" w:footer="708" w:gutter="0"/>
      <w:cols w:space="708" w:num="1"/>
      <w:docGrid w:type="lines"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1EE7B4D"/>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4EF7A19"/>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qFormat/>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qFormat/>
    <w:uiPriority w:val="99"/>
    <w:rPr>
      <w:rFonts w:ascii="Times New Roman" w:hAnsi="Times New Roman" w:eastAsia="宋体"/>
      <w:sz w:val="21"/>
    </w:rPr>
  </w:style>
  <w:style w:type="character" w:styleId="53">
    <w:name w:val="Placeholder Text"/>
    <w:basedOn w:val="23"/>
    <w:unhideWhenUsed/>
    <w:qFormat/>
    <w:uiPriority w:val="99"/>
    <w:rPr>
      <w:color w:val="666666"/>
    </w:rPr>
  </w:style>
  <w:style w:type="character" w:customStyle="1" w:styleId="54">
    <w:name w:val="HTML 预设格式 字符"/>
    <w:basedOn w:val="23"/>
    <w:link w:val="18"/>
    <w:semiHidden/>
    <w:qFormat/>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qFormat/>
    <w:uiPriority w:val="99"/>
    <w:rPr>
      <w:rFonts w:cstheme="minorBidi"/>
      <w:kern w:val="2"/>
      <w:sz w:val="21"/>
      <w:szCs w:val="22"/>
      <w14:ligatures w14:val="standardContextual"/>
    </w:rPr>
  </w:style>
  <w:style w:type="character" w:customStyle="1" w:styleId="57">
    <w:name w:val="批注主题 字符"/>
    <w:basedOn w:val="56"/>
    <w:link w:val="21"/>
    <w:semiHidden/>
    <w:qFormat/>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jpe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18041</Words>
  <Characters>19925</Characters>
  <Lines>271</Lines>
  <Paragraphs>76</Paragraphs>
  <TotalTime>165</TotalTime>
  <ScaleCrop>false</ScaleCrop>
  <LinksUpToDate>false</LinksUpToDate>
  <CharactersWithSpaces>20688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2026-08-31T00:28:18Z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