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 持续注意并非能够由单次行为反应或单一生理信号直接观测的心理变量，其变化同时表现为任务成绩、主观体验、眼部活动、心肺相关活动与外显行为的波动。本研究以游戏化持续性注意反应任务为统一测量情境，通过两阶段预实验确定正式任务的负荷水平、刺激序列与思维探针设计。正式实验由 61 名参与者完成 116 个实验场次，每场包含两个结构相同的任务区块，同步记录行为反应、思维探针、近红外瞳孔视频、毫米波雷达信号与 RGB 视频。分析以行为表现和思维探针为认知参照，检验瞳孔几何、心率与呼吸、可见行为特征与注意状态的效标关联，并在 109 个场次的共同样本上比较各模态相对行为基准的预测增量。结果显示：瞳孔缩小与 Go 遗漏及“大脑空白”报告相关，呼吸频率与警觉程度相关，眨眼候选事件率随任务进程升高并与较低警觉相关；各传感模态的预测增量总体较小，其中 RGB 对注意内容分类提供小幅稳定增益。结果表明，行为与主观报告仍是当前最有效的测评参照，无感传感通道提供过程信息与连续监测可能，多模态价值需以效标关联与增量证据共同界定。</w:t>
      </w:r>
      <w:r>
        <w:rPr>
          <w:rFonts w:hint="eastAsia"/>
          <w:sz w:val="24"/>
          <w:szCs w:val="24"/>
        </w:rPr>
      </w:r>
      <w:r>
        <w:rPr>
          <w:rFonts w:hint="eastAsia"/>
          <w:szCs w:val="21"/>
        </w:rPr>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和面部动作，但图像采集涉及隐私，并且外显行为与内部注意状态并不存在一一对应关系，其识别性能还依赖任务情境和可用特征（Bosch &amp; D’Mello, 2021）；近红外眼部成像能够在主动照明下稳定记录瞳孔大小，但瞳孔同时受亮度、焦距、努力与唤醒调节，需要严格的视觉条件控制。</w:t>
      </w:r>
    </w:p>
    <w:p w14:paraId="11FF0F5D">
      <w:pPr>
        <w:ind w:firstLine="420"/>
        <w:rPr>
          <w:lang w:eastAsia="zh"/>
        </w:rPr>
      </w:pPr>
      <w:r>
        <w:rPr>
          <w:lang w:eastAsia="zh"/>
        </w:rPr>
        <w:t>毫米波（millimeter-wave, mmWave）雷达为低接触负担的连续测量提供了另一条值得检验的技术路径：调频连续波雷达利用人体回波中的相位和幅度变化记录胸壁及身体微动，由此提取呼吸、心搏及运动相关特征（Paterniani et al., 2023; Wang et al., 2021; 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这一边界对上述无感传感通道同样成立。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已经获得了对持续注意构念的效度证据。将无感连续测量发展为注意状态测评手段，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pPr>
        <w:jc w:val="center"/>
      </w:pPr>
      <w:r>
        <w:rPr>
          <w:rFonts w:ascii="Times New Roman" w:hAnsi="Times New Roman" w:eastAsia="宋体"/>
          <w:b/>
          <w:sz w:val="21"/>
        </w:rPr>
        <w:t>表 1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pPr>
        <w:pStyle w:val="4"/>
      </w:pPr>
      <w:r>
        <w:t>2.4 现有测评技术与无感连续传感</w:t>
      </w:r>
    </w:p>
    <w:p>
      <w:pPr>
        <w:spacing w:line="360" w:lineRule="auto"/>
        <w:ind w:firstLine="420"/>
        <w:jc w:val="both"/>
      </w:pPr>
      <w:r>
        <w:rPr>
          <w:rFonts w:ascii="Times New Roman" w:hAnsi="Times New Roman" w:eastAsia="宋体"/>
          <w:b w:val="0"/>
          <w:sz w:val="21"/>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使用成本相对较低，但会受到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pPr>
        <w:jc w:val="center"/>
      </w:pPr>
      <w:r>
        <w:rPr>
          <w:rFonts w:ascii="Times New Roman" w:hAnsi="Times New Roman" w:eastAsia="宋体"/>
          <w:b/>
          <w:sz w:val="21"/>
        </w:rPr>
        <w:t>表 2 常见持续注意测量方法比较</w:t>
      </w:r>
    </w:p>
    <w:tbl>
      <w:tblPr>
        <w:tblStyle w:val="28"/>
        <w:tblW w:type="auto" w:w="0"/>
        <w:tblLook w:firstColumn="1" w:firstRow="1" w:lastColumn="0" w:lastRow="0" w:noHBand="0" w:noVBand="1" w:val="04A0"/>
      </w:tblPr>
      <w:tblGrid>
        <w:gridCol w:w="2076"/>
        <w:gridCol w:w="2076"/>
        <w:gridCol w:w="2076"/>
        <w:gridCol w:w="2076"/>
      </w:tblGrid>
      <w:tr>
        <w:tc>
          <w:tcPr>
            <w:tcW w:type="dxa" w:w="2076"/>
            <w:tcBorders>
              <w:bottom w:val="single" w:sz="6" w:space="0" w:color="auto"/>
            </w:tcBorders>
          </w:tcPr>
          <w:p>
            <w:pPr>
              <w:jc w:val="center"/>
            </w:pPr>
            <w:r>
              <w:rPr>
                <w:rFonts w:ascii="Times New Roman" w:hAnsi="Times New Roman" w:eastAsia="宋体"/>
                <w:b/>
                <w:sz w:val="18"/>
              </w:rPr>
              <w:t>测量方法</w:t>
            </w:r>
          </w:p>
        </w:tc>
        <w:tc>
          <w:tcPr>
            <w:tcW w:type="dxa" w:w="2076"/>
            <w:tcBorders>
              <w:bottom w:val="single" w:sz="6" w:space="0" w:color="auto"/>
            </w:tcBorders>
          </w:tcPr>
          <w:p>
            <w:pPr>
              <w:jc w:val="center"/>
            </w:pPr>
            <w:r>
              <w:rPr>
                <w:rFonts w:ascii="Times New Roman" w:hAnsi="Times New Roman" w:eastAsia="宋体"/>
                <w:b/>
                <w:sz w:val="18"/>
              </w:rPr>
              <w:t>主要可观察信息</w:t>
            </w:r>
          </w:p>
        </w:tc>
        <w:tc>
          <w:tcPr>
            <w:tcW w:type="dxa" w:w="2076"/>
            <w:tcBorders>
              <w:bottom w:val="single" w:sz="6" w:space="0" w:color="auto"/>
            </w:tcBorders>
          </w:tcPr>
          <w:p>
            <w:pPr>
              <w:jc w:val="center"/>
            </w:pPr>
            <w:r>
              <w:rPr>
                <w:rFonts w:ascii="Times New Roman" w:hAnsi="Times New Roman" w:eastAsia="宋体"/>
                <w:b/>
                <w:sz w:val="18"/>
              </w:rPr>
              <w:t>主要优势</w:t>
            </w:r>
          </w:p>
        </w:tc>
        <w:tc>
          <w:tcPr>
            <w:tcW w:type="dxa" w:w="2076"/>
            <w:tcBorders>
              <w:bottom w:val="single" w:sz="6" w:space="0" w:color="auto"/>
            </w:tcBorders>
          </w:tcPr>
          <w:p>
            <w:pPr>
              <w:jc w:val="center"/>
            </w:pPr>
            <w:r>
              <w:rPr>
                <w:rFonts w:ascii="Times New Roman" w:hAnsi="Times New Roman" w:eastAsia="宋体"/>
                <w:b/>
                <w:sz w:val="18"/>
              </w:rPr>
              <w:t>主要限制</w:t>
            </w:r>
          </w:p>
        </w:tc>
      </w:tr>
      <w:tr>
        <w:tc>
          <w:tcPr>
            <w:tcW w:type="dxa" w:w="2076"/>
          </w:tcPr>
          <w:p>
            <w:pPr>
              <w:jc w:val="center"/>
            </w:pPr>
            <w:r>
              <w:rPr>
                <w:rFonts w:ascii="Times New Roman" w:hAnsi="Times New Roman" w:eastAsia="宋体"/>
                <w:b w:val="0"/>
                <w:sz w:val="18"/>
              </w:rPr>
              <w:t>行为任务与思维探针</w:t>
            </w:r>
          </w:p>
        </w:tc>
        <w:tc>
          <w:tcPr>
            <w:tcW w:type="dxa" w:w="2076"/>
          </w:tcPr>
          <w:p>
            <w:pPr>
              <w:jc w:val="center"/>
            </w:pPr>
            <w:r>
              <w:rPr>
                <w:rFonts w:ascii="Times New Roman" w:hAnsi="Times New Roman" w:eastAsia="宋体"/>
                <w:b w:val="0"/>
                <w:sz w:val="18"/>
              </w:rPr>
              <w:t>反应表现、错误、反应时、主观注意内容与警觉</w:t>
            </w:r>
          </w:p>
        </w:tc>
        <w:tc>
          <w:tcPr>
            <w:tcW w:type="dxa" w:w="2076"/>
          </w:tcPr>
          <w:p>
            <w:pPr>
              <w:jc w:val="center"/>
            </w:pPr>
            <w:r>
              <w:rPr>
                <w:rFonts w:ascii="Times New Roman" w:hAnsi="Times New Roman" w:eastAsia="宋体"/>
                <w:b w:val="0"/>
                <w:sz w:val="18"/>
              </w:rPr>
              <w:t>与任务要求直接对应，解释路径清晰</w:t>
            </w:r>
          </w:p>
        </w:tc>
        <w:tc>
          <w:tcPr>
            <w:tcW w:type="dxa" w:w="2076"/>
          </w:tcPr>
          <w:p>
            <w:pPr>
              <w:jc w:val="center"/>
            </w:pPr>
            <w:r>
              <w:rPr>
                <w:rFonts w:ascii="Times New Roman" w:hAnsi="Times New Roman" w:eastAsia="宋体"/>
                <w:b w:val="0"/>
                <w:sz w:val="18"/>
              </w:rPr>
              <w:t>探针离散且依赖自我报告，行为结果可能具有多种形成机制</w:t>
            </w:r>
          </w:p>
        </w:tc>
      </w:tr>
      <w:tr>
        <w:tc>
          <w:tcPr>
            <w:tcW w:type="dxa" w:w="2076"/>
          </w:tcPr>
          <w:p>
            <w:pPr>
              <w:jc w:val="center"/>
            </w:pPr>
            <w:r>
              <w:rPr>
                <w:rFonts w:ascii="Times New Roman" w:hAnsi="Times New Roman" w:eastAsia="宋体"/>
                <w:b w:val="0"/>
                <w:sz w:val="18"/>
              </w:rPr>
              <w:t>EEG / fNIRS 等接触式生理</w:t>
            </w:r>
          </w:p>
        </w:tc>
        <w:tc>
          <w:tcPr>
            <w:tcW w:type="dxa" w:w="2076"/>
          </w:tcPr>
          <w:p>
            <w:pPr>
              <w:jc w:val="center"/>
            </w:pPr>
            <w:r>
              <w:rPr>
                <w:rFonts w:ascii="Times New Roman" w:hAnsi="Times New Roman" w:eastAsia="宋体"/>
                <w:b w:val="0"/>
                <w:sz w:val="18"/>
              </w:rPr>
              <w:t>神经电活动或血流动力学变化</w:t>
            </w:r>
          </w:p>
        </w:tc>
        <w:tc>
          <w:tcPr>
            <w:tcW w:type="dxa" w:w="2076"/>
          </w:tcPr>
          <w:p>
            <w:pPr>
              <w:jc w:val="center"/>
            </w:pPr>
            <w:r>
              <w:rPr>
                <w:rFonts w:ascii="Times New Roman" w:hAnsi="Times New Roman" w:eastAsia="宋体"/>
                <w:b w:val="0"/>
                <w:sz w:val="18"/>
              </w:rPr>
              <w:t>连续、客观，可研究神经机制</w:t>
            </w:r>
          </w:p>
        </w:tc>
        <w:tc>
          <w:tcPr>
            <w:tcW w:type="dxa" w:w="2076"/>
          </w:tcPr>
          <w:p>
            <w:pPr>
              <w:jc w:val="center"/>
            </w:pPr>
            <w:r>
              <w:rPr>
                <w:rFonts w:ascii="Times New Roman" w:hAnsi="Times New Roman" w:eastAsia="宋体"/>
                <w:b w:val="0"/>
                <w:sz w:val="18"/>
              </w:rPr>
              <w:t>佩戴负担、运动伪迹、设备和操作成本</w:t>
            </w:r>
          </w:p>
        </w:tc>
      </w:tr>
      <w:tr>
        <w:tc>
          <w:tcPr>
            <w:tcW w:type="dxa" w:w="2076"/>
          </w:tcPr>
          <w:p>
            <w:pPr>
              <w:jc w:val="center"/>
            </w:pPr>
            <w:r>
              <w:rPr>
                <w:rFonts w:ascii="Times New Roman" w:hAnsi="Times New Roman" w:eastAsia="宋体"/>
                <w:b w:val="0"/>
                <w:sz w:val="18"/>
              </w:rPr>
              <w:t>计算机视觉</w:t>
            </w:r>
          </w:p>
        </w:tc>
        <w:tc>
          <w:tcPr>
            <w:tcW w:type="dxa" w:w="2076"/>
          </w:tcPr>
          <w:p>
            <w:pPr>
              <w:jc w:val="center"/>
            </w:pPr>
            <w:r>
              <w:rPr>
                <w:rFonts w:ascii="Times New Roman" w:hAnsi="Times New Roman" w:eastAsia="宋体"/>
                <w:b w:val="0"/>
                <w:sz w:val="18"/>
              </w:rPr>
              <w:t>头姿、视线、面部动作、身体运动</w:t>
            </w:r>
          </w:p>
        </w:tc>
        <w:tc>
          <w:tcPr>
            <w:tcW w:type="dxa" w:w="2076"/>
          </w:tcPr>
          <w:p>
            <w:pPr>
              <w:jc w:val="center"/>
            </w:pPr>
            <w:r>
              <w:rPr>
                <w:rFonts w:ascii="Times New Roman" w:hAnsi="Times New Roman" w:eastAsia="宋体"/>
                <w:b w:val="0"/>
                <w:sz w:val="18"/>
              </w:rPr>
              <w:t>非接触、连续、设备易获得</w:t>
            </w:r>
          </w:p>
        </w:tc>
        <w:tc>
          <w:tcPr>
            <w:tcW w:type="dxa" w:w="2076"/>
          </w:tcPr>
          <w:p>
            <w:pPr>
              <w:jc w:val="center"/>
            </w:pPr>
            <w:r>
              <w:rPr>
                <w:rFonts w:ascii="Times New Roman" w:hAnsi="Times New Roman" w:eastAsia="宋体"/>
                <w:b w:val="0"/>
                <w:sz w:val="18"/>
              </w:rPr>
              <w:t>图像隐私、光照/遮挡/角度影响，外显行为不等同内部状态</w:t>
            </w:r>
          </w:p>
        </w:tc>
      </w:tr>
      <w:tr>
        <w:tc>
          <w:tcPr>
            <w:tcW w:type="dxa" w:w="2076"/>
          </w:tcPr>
          <w:p>
            <w:pPr>
              <w:jc w:val="center"/>
            </w:pPr>
            <w:r>
              <w:rPr>
                <w:rFonts w:ascii="Times New Roman" w:hAnsi="Times New Roman" w:eastAsia="宋体"/>
                <w:b w:val="0"/>
                <w:sz w:val="18"/>
              </w:rPr>
              <w:t>多模态融合</w:t>
            </w:r>
          </w:p>
        </w:tc>
        <w:tc>
          <w:tcPr>
            <w:tcW w:type="dxa" w:w="2076"/>
          </w:tcPr>
          <w:p>
            <w:pPr>
              <w:jc w:val="center"/>
            </w:pPr>
            <w:r>
              <w:rPr>
                <w:rFonts w:ascii="Times New Roman" w:hAnsi="Times New Roman" w:eastAsia="宋体"/>
                <w:b w:val="0"/>
                <w:sz w:val="18"/>
              </w:rPr>
              <w:t>多类行为、生理与主观信息</w:t>
            </w:r>
          </w:p>
        </w:tc>
        <w:tc>
          <w:tcPr>
            <w:tcW w:type="dxa" w:w="2076"/>
          </w:tcPr>
          <w:p>
            <w:pPr>
              <w:jc w:val="center"/>
            </w:pPr>
            <w:r>
              <w:rPr>
                <w:rFonts w:ascii="Times New Roman" w:hAnsi="Times New Roman" w:eastAsia="宋体"/>
                <w:b w:val="0"/>
                <w:sz w:val="18"/>
              </w:rPr>
              <w:t>可检验互补与增量信息</w:t>
            </w:r>
          </w:p>
        </w:tc>
        <w:tc>
          <w:tcPr>
            <w:tcW w:type="dxa" w:w="2076"/>
          </w:tcPr>
          <w:p>
            <w:pPr>
              <w:jc w:val="center"/>
            </w:pPr>
            <w:r>
              <w:rPr>
                <w:rFonts w:ascii="Times New Roman" w:hAnsi="Times New Roman" w:eastAsia="宋体"/>
                <w:b w:val="0"/>
                <w:sz w:val="18"/>
              </w:rPr>
              <w:t>同步、缺失、质量控制、模型复杂度和泛化问题</w:t>
            </w:r>
          </w:p>
        </w:tc>
      </w:tr>
      <w:tr>
        <w:tc>
          <w:tcPr>
            <w:tcW w:type="dxa" w:w="2076"/>
          </w:tcPr>
          <w:p>
            <w:pPr>
              <w:jc w:val="center"/>
            </w:pPr>
            <w:r>
              <w:rPr>
                <w:rFonts w:ascii="Times New Roman" w:hAnsi="Times New Roman" w:eastAsia="宋体"/>
                <w:b w:val="0"/>
                <w:sz w:val="18"/>
              </w:rPr>
              <w:t>毫米波雷达</w:t>
            </w:r>
          </w:p>
        </w:tc>
        <w:tc>
          <w:tcPr>
            <w:tcW w:type="dxa" w:w="2076"/>
          </w:tcPr>
          <w:p>
            <w:pPr>
              <w:jc w:val="center"/>
            </w:pPr>
            <w:r>
              <w:rPr>
                <w:rFonts w:ascii="Times New Roman" w:hAnsi="Times New Roman" w:eastAsia="宋体"/>
                <w:b w:val="0"/>
                <w:sz w:val="18"/>
              </w:rPr>
              <w:t>距离、速度、胸壁微动、身体微动及其派生生命体征</w:t>
            </w:r>
          </w:p>
        </w:tc>
        <w:tc>
          <w:tcPr>
            <w:tcW w:type="dxa" w:w="2076"/>
          </w:tcPr>
          <w:p>
            <w:pPr>
              <w:jc w:val="center"/>
            </w:pPr>
            <w:r>
              <w:rPr>
                <w:rFonts w:ascii="Times New Roman" w:hAnsi="Times New Roman" w:eastAsia="宋体"/>
                <w:b w:val="0"/>
                <w:sz w:val="18"/>
              </w:rPr>
              <w:t>非接触，不直接采集可识别面部图像，可连续感知微动</w:t>
            </w:r>
          </w:p>
        </w:tc>
        <w:tc>
          <w:tcPr>
            <w:tcW w:type="dxa" w:w="2076"/>
          </w:tcPr>
          <w:p>
            <w:pPr>
              <w:jc w:val="center"/>
            </w:pPr>
            <w:r>
              <w:rPr>
                <w:rFonts w:ascii="Times New Roman" w:hAnsi="Times New Roman" w:eastAsia="宋体"/>
                <w:b w:val="0"/>
                <w:sz w:val="18"/>
              </w:rPr>
              <w:t>运动、杂波、呼吸谐波和姿态影响明显；技术可测性不能替代注意测量效度验证</w:t>
            </w:r>
          </w:p>
        </w:tc>
      </w:tr>
    </w:tbl>
    <w:p>
      <w:pPr>
        <w:spacing w:line="360" w:lineRule="auto"/>
        <w:ind w:firstLine="420"/>
        <w:jc w:val="both"/>
      </w:pPr>
      <w:r>
        <w:rPr>
          <w:rFonts w:ascii="Times New Roman" w:hAnsi="Times New Roman" w:eastAsia="宋体"/>
          <w:b w:val="0"/>
          <w:sz w:val="21"/>
        </w:rPr>
        <w:t>因此，现有测量方法更适合按“能够观察什么”和“主要受什么限制”来比较，而不宜简单排列为高低等级。主观与行为测量最接近任务表现和自我体验，却具有离散采样和报告偏差；接触式神经生理测量时间连续性较高，但增加佩戴与维护负担；计算机视觉能够提供连续外显行为，却面临图像隐私和环境适应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pPr>
        <w:spacing w:line="360" w:lineRule="auto"/>
        <w:ind w:firstLine="420"/>
        <w:jc w:val="both"/>
      </w:pPr>
      <w:r>
        <w:rPr>
          <w:rFonts w:ascii="Times New Roman" w:hAnsi="Times New Roman" w:eastAsia="宋体"/>
          <w:b w:val="0"/>
          <w:sz w:val="21"/>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pPr>
        <w:spacing w:line="360" w:lineRule="auto"/>
        <w:ind w:firstLine="420"/>
        <w:jc w:val="both"/>
      </w:pPr>
      <w:r>
        <w:rPr>
          <w:rFonts w:ascii="Times New Roman" w:hAnsi="Times New Roman" w:eastAsia="宋体"/>
          <w:b w:val="0"/>
          <w:sz w:val="21"/>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pPr>
        <w:spacing w:line="360" w:lineRule="auto"/>
        <w:ind w:firstLine="420"/>
        <w:jc w:val="both"/>
      </w:pPr>
      <w:r>
        <w:rPr>
          <w:rFonts w:ascii="Times New Roman" w:hAnsi="Times New Roman" w:eastAsia="宋体"/>
          <w:b w:val="0"/>
          <w:sz w:val="21"/>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pPr>
        <w:spacing w:line="360" w:lineRule="auto"/>
        <w:ind w:firstLine="420"/>
        <w:jc w:val="both"/>
      </w:pPr>
      <w:r>
        <w:rPr>
          <w:rFonts w:ascii="Times New Roman" w:hAnsi="Times New Roman" w:eastAsia="宋体"/>
          <w:b w:val="0"/>
          <w:sz w:val="21"/>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pPr>
        <w:spacing w:line="360" w:lineRule="auto"/>
        <w:ind w:firstLine="420"/>
        <w:jc w:val="both"/>
      </w:pPr>
      <w:r>
        <w:rPr>
          <w:rFonts w:ascii="Times New Roman" w:hAnsi="Times New Roman" w:eastAsia="宋体"/>
          <w:b w:val="0"/>
          <w:sz w:val="21"/>
        </w:rPr>
        <w:t>由此，无感连续传感用于注意测评至少需要跨越两个相互独立的验证层级。第一层是信号层验证，即传感器能否在给定运动、姿态和环境条件下可靠提取目标微动、心率、呼吸或眼部、面部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无感传感从人体微动与眼部、面部感知进一步用于持续注意测评时最关键的研究缺口。</w:t>
      </w:r>
    </w:p>
    <w:p>
      <w:pPr>
        <w:spacing w:line="360" w:lineRule="auto"/>
        <w:ind w:firstLine="420"/>
        <w:jc w:val="both"/>
      </w:pPr>
      <w:r>
        <w:rPr>
          <w:rFonts w:ascii="Times New Roman" w:hAnsi="Times New Roman" w:eastAsia="宋体"/>
          <w:b w:val="0"/>
          <w:sz w:val="21"/>
        </w:rPr>
        <w:t>基于上述研究，无感传感通道在持续注意测评中的价值不宜由单一生命体征估计或动作识别性能加以定义，而应通过其与标准化认知任务中的行为表现和主观状态之间的对应关系进行检验。FocusWave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行为和思维探针作为认知参照，将毫米波获得的心率、呼吸与身体微动、近红外记录的瞳孔几何以及 RGB 视频得到的运动、姿态与眨眼候选视为不同层面的生理与行为特征，并进一步考察这些特征在控制任务进程和个体差异后是否与持续注意的个体内波动相关。这样的设计既利用了毫米波非接触、连续感知人体微动的特点，也使各传感通道的解释都建立在效标关联而非信号提取能力之上。</w:t>
      </w: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表 3 正式实验设备与采集参数</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jc w:val="center"/>
      </w:pPr>
      <m:oMath>
        <m:r>
          <m:rPr/>
          <w:rPr>
            <w:rFonts w:ascii="Cambria Math" w:hAnsi="Cambria Math"/>
            <w:lang w:eastAsia="zh" w:bidi="ar"/>
          </w:rPr>
          <m:t>Y=0.2126R+0.7152G+0.0722B</m:t>
        </m:r>
      </m:oMath>
    </w:p>
    <w:p w14:paraId="057EC486">
      <w:pPr>
        <w:pStyle w:val="4"/>
      </w:pPr>
      <w:r>
        <w:t>4.5.4 毫米波心肺相关活动与身体微动</w:t>
      </w:r>
    </w:p>
    <w:p>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pPr>
        <w:jc w:val="center"/>
      </w:pPr>
      <w:r>
        <w:rPr>
          <w:rFonts w:ascii="Times New Roman" w:hAnsi="Times New Roman" w:eastAsia="宋体"/>
          <w:b/>
          <w:sz w:val="21"/>
        </w:rPr>
        <w:t>图 11 毫米波心率与呼吸估计处理管线</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表 4 正式实验及当前各模态数据覆盖情况</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表 5 正式实验主要行为指标的描述统计</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表 6 思维探针 Q1 与 Q2 的分布</w:t>
      </w:r>
      <w:r/>
      <w:r>
        <w:rPr>
          <w:lang w:eastAsia="zh-CN"/>
        </w:rPr>
      </w:r>
      <w:r>
        <w:rPr>
          <w:rFonts w:hint="eastAsia"/>
          <w:lang w:eastAsia="zh-CN"/>
        </w:rPr>
      </w:r>
      <w:r>
        <w:rPr>
          <w:lang w:eastAsia="zh-CN"/>
        </w:rPr>
      </w:r>
      <w:r/>
      <w:r>
        <w:rPr>
          <w:lang w:eastAsia="zh-CN"/>
        </w:rPr>
      </w:r>
      <w:r/>
      <w:r>
        <w:rPr>
          <w:rFonts w:hint="eastAsia"/>
          <w:lang w:eastAsia="zh-CN"/>
        </w:rPr>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2" name="Picture 1688596222"/>
            <wp:cNvGraphicFramePr>
              <a:graphicFrameLocks noChangeAspect="1"/>
            </wp:cNvGraphicFramePr>
            <a:graphic>
              <a:graphicData uri="http://schemas.openxmlformats.org/drawingml/2006/picture">
                <pic:pic>
                  <pic:nvPicPr>
                    <pic:cNvPr id="0" name="Figure09_data_quality_coverage.png"/>
                    <pic:cNvPicPr/>
                  </pic:nvPicPr>
                  <pic:blipFill>
                    <a:blip r:embed="rId45"/>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3" name="Picture 1688596223"/>
            <wp:cNvGraphicFramePr>
              <a:graphicFrameLocks noChangeAspect="1"/>
            </wp:cNvGraphicFramePr>
            <a:graphic>
              <a:graphicData uri="http://schemas.openxmlformats.org/drawingml/2006/picture">
                <pic:pic>
                  <pic:nvPicPr>
                    <pic:cNvPr id="0" name="Figure10_robustness_models.png"/>
                    <pic:cNvPicPr/>
                  </pic:nvPicPr>
                  <pic:blipFill>
                    <a:blip r:embed="rId46"/>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7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8，增量见图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8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pPr>
        <w:spacing w:line="360" w:lineRule="auto"/>
        <w:ind w:firstLine="420"/>
        <w:jc w:val="both"/>
      </w:pPr>
      <w:r>
        <w:rPr>
          <w:rFonts w:ascii="Times New Roman" w:hAnsi="Times New Roman" w:eastAsia="宋体"/>
          <w:b w:val="0"/>
          <w:sz w:val="21"/>
        </w:rPr>
        <w:t>在应用层面，项目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25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26 无感测评原型平台界面（移动端）</w:t>
      </w:r>
    </w:p>
    <w:p w14:paraId="76BC5C3A">
      <w:pPr>
        <w:pStyle w:val="4"/>
        <w:rPr>
          <w:lang w:eastAsia="zh-CN"/>
        </w:rPr>
      </w:pPr>
      <w:r>
        <w:rPr>
          <w:rFonts w:hint="eastAsia"/>
          <w:lang w:eastAsia="zh-CN"/>
        </w:rPr>
        <w:t>参考文献</w:t>
      </w:r>
    </w:p>
    <w:p w14:paraId="5DCA9517">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3FC6761C">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3BADF972">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1C476C20">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7B0BB5B4">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0B46AF6F">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31C4DE50">
      <w:pPr>
        <w:ind w:left="420" w:hanging="420" w:hangingChars="200"/>
        <w:jc w:val="left"/>
      </w:pPr>
      <w:r>
        <w:t xml:space="preserve">Smallwood, J., &amp; Schooler, J. W. (2006). The restless mind. </w:t>
      </w:r>
      <w:r>
        <w:rPr>
          <w:i/>
          <w:iCs/>
        </w:rPr>
        <w:t>Psychological Bulletin, 132</w:t>
      </w:r>
      <w:r>
        <w:t xml:space="preserve">(6), 946–958. </w:t>
      </w:r>
      <w:r/>
      <w:r/>
      <w:r/>
      <w:r>
        <w:rPr>
          <w:rStyle w:val="25"/>
        </w:rPr>
        <w:t>https://doi.org/10.1037/0033-2909.132.6.946</w:t>
      </w:r>
      <w:r>
        <w:rPr>
          <w:rStyle w:val="25"/>
        </w:rPr>
      </w:r>
    </w:p>
    <w:p w14:paraId="6891643F">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0D98C6AA">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390A32D6">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574D15BB">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4347868B">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2A0153A5">
      <w:pPr>
        <w:ind w:left="420" w:hanging="420" w:hangingChars="200"/>
        <w:jc w:val="left"/>
      </w:pPr>
      <w:r>
        <w:t xml:space="preserve">Seli, P., Cheyne, J. A., Barton, K. R., &amp; Smilek, D. (2012). Consistency of sustained attention across modalities: Comparing visual and auditory versions of the SART. </w:t>
      </w:r>
      <w:r>
        <w:rPr>
          <w:i/>
          <w:iCs/>
        </w:rPr>
        <w:t>Canadian Journal of Experimental Psychology, 66</w:t>
      </w:r>
      <w:r>
        <w:t xml:space="preserve">(1), 44–50. </w:t>
      </w:r>
      <w:r/>
      <w:r/>
      <w:r/>
      <w:r>
        <w:rPr>
          <w:rStyle w:val="25"/>
        </w:rPr>
        <w:t>https://doi.org/10.1037/a0025111</w:t>
      </w:r>
      <w:r>
        <w:rPr>
          <w:rStyle w:val="25"/>
        </w:rPr>
      </w:r>
    </w:p>
    <w:p w14:paraId="0FF2AFEB">
      <w:pPr>
        <w:ind w:left="420" w:hanging="420" w:hangingChars="200"/>
        <w:jc w:val="left"/>
      </w:pPr>
      <w:r>
        <w:t xml:space="preserve">Smallwood, J., &amp; Schooler, J. W. (2015). The science of mind wandering: Empirically navigating the stream of consciousness. </w:t>
      </w:r>
      <w:r>
        <w:rPr>
          <w:i/>
          <w:iCs/>
        </w:rPr>
        <w:t>Annual Review of Psychology, 66</w:t>
      </w:r>
      <w:r>
        <w:t xml:space="preserve">, 487–518. </w:t>
      </w:r>
      <w:r/>
      <w:r/>
      <w:r/>
      <w:r>
        <w:rPr>
          <w:rStyle w:val="25"/>
        </w:rPr>
        <w:t>https://doi.org/10.1146/annurev-psych-010814-015331</w:t>
      </w:r>
      <w:r>
        <w:rPr>
          <w:rStyle w:val="25"/>
        </w:rPr>
      </w:r>
    </w:p>
    <w:p w14:paraId="6C538F14">
      <w:pPr>
        <w:ind w:left="420" w:hanging="420" w:hangingChars="200"/>
        <w:jc w:val="left"/>
      </w:pPr>
      <w:r>
        <w:t xml:space="preserve">Wiemers, E. A., &amp; Redick, T. S. (2019). The influence of thought probes on performance: Does the mind wander more if you ask it? </w:t>
      </w:r>
      <w:r>
        <w:rPr>
          <w:i/>
          <w:iCs/>
        </w:rPr>
        <w:t>Psychonomic Bulletin &amp; Review, 26</w:t>
      </w:r>
      <w:r>
        <w:t xml:space="preserve">(1), 367–373. </w:t>
      </w:r>
      <w:r/>
      <w:r/>
      <w:r/>
      <w:r>
        <w:rPr>
          <w:rStyle w:val="25"/>
        </w:rPr>
        <w:t>https://doi.org/10.3758/s13423-018-1529-3</w:t>
      </w:r>
      <w:r>
        <w:rPr>
          <w:rStyle w:val="25"/>
        </w:rPr>
      </w:r>
    </w:p>
    <w:p w14:paraId="0145C0A6">
      <w:pPr>
        <w:ind w:left="420" w:hanging="420" w:hangingChars="200"/>
        <w:jc w:val="left"/>
      </w:pPr>
      <w:r>
        <w:t xml:space="preserve">Barry, C., De Souza, J., Xuan, Y., Holden, J., Granholm, E., &amp; Wang, E. J. (2022). At-home pupillometry using smartphone facial identification cameras. In </w:t>
      </w:r>
      <w:r>
        <w:rPr>
          <w:i/>
          <w:iCs/>
        </w:rPr>
        <w:t>CHI Conference on Human Factors in Computing Systems</w:t>
      </w:r>
      <w:r>
        <w:t xml:space="preserve"> (Article 235, pp. 1–12). Association for Computing Machinery. </w:t>
      </w:r>
      <w:r/>
      <w:r/>
      <w:r/>
      <w:r>
        <w:rPr>
          <w:rStyle w:val="25"/>
        </w:rPr>
        <w:t>https://doi.org/10.1145/3491102.3502493</w:t>
      </w:r>
      <w:r>
        <w:rPr>
          <w:rStyle w:val="25"/>
        </w:rPr>
      </w:r>
    </w:p>
    <w:p w14:paraId="6BFC434B">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47AE8DC8">
      <w:pPr>
        <w:ind w:left="420" w:hanging="420" w:hangingChars="200"/>
        <w:jc w:val="left"/>
      </w:pPr>
      <w:r>
        <w:t xml:space="preserve">Kim, J. H., Yin, C., Merriam, E. P., &amp; Roth, Z. N. (2023). Pupil size is sensitive to low-level stimulus features, independent of arousal-related modulation. </w:t>
      </w:r>
      <w:r>
        <w:rPr>
          <w:i/>
          <w:iCs/>
        </w:rPr>
        <w:t>eNeuro, 10</w:t>
      </w:r>
      <w:r>
        <w:t xml:space="preserve">(10), ENEURO.0005-23.2023. </w:t>
      </w:r>
      <w:r/>
      <w:r/>
      <w:r/>
      <w:r>
        <w:rPr>
          <w:rStyle w:val="25"/>
        </w:rPr>
        <w:t>https://doi.org/10.1523/ENEURO.0005-23.2023</w:t>
      </w:r>
      <w:r>
        <w:rPr>
          <w:rStyle w:val="25"/>
        </w:rPr>
      </w:r>
    </w:p>
    <w:p w14:paraId="0E820880">
      <w:pPr>
        <w:ind w:left="420" w:hanging="420" w:hangingChars="200"/>
        <w:jc w:val="left"/>
      </w:pPr>
      <w:r>
        <w:t xml:space="preserve">Kret, M. E., &amp; Sjak-Shie, E. E. (2019). Preprocessing pupil size data: Guidelines and code. </w:t>
      </w:r>
      <w:r>
        <w:rPr>
          <w:i/>
          <w:iCs/>
        </w:rPr>
        <w:t>Behavior Research Methods, 51</w:t>
      </w:r>
      <w:r>
        <w:t xml:space="preserve">(3), 1336–1342. </w:t>
      </w:r>
      <w:r/>
      <w:r/>
      <w:r/>
      <w:r>
        <w:rPr>
          <w:rStyle w:val="25"/>
        </w:rPr>
        <w:t>https://doi.org/10.3758/s13428-018-1075-y</w:t>
      </w:r>
      <w:r>
        <w:rPr>
          <w:rStyle w:val="25"/>
        </w:rPr>
      </w:r>
    </w:p>
    <w:p w14:paraId="2D8CDDFC">
      <w:pPr>
        <w:ind w:left="420" w:hanging="420" w:hangingChars="200"/>
        <w:jc w:val="left"/>
      </w:pPr>
      <w:r>
        <w:t xml:space="preserve">Mathôt, S. (2018). Pupillometry: Psychology, physiology, and function. </w:t>
      </w:r>
      <w:r>
        <w:rPr>
          <w:i/>
          <w:iCs/>
        </w:rPr>
        <w:t>Journal of Cognition, 1</w:t>
      </w:r>
      <w:r>
        <w:t xml:space="preserve">(1), 16. </w:t>
      </w:r>
      <w:r/>
      <w:r/>
      <w:r/>
      <w:r>
        <w:rPr>
          <w:rStyle w:val="25"/>
        </w:rPr>
        <w:t>https://doi.org/10.5334/joc.18</w:t>
      </w:r>
      <w:r>
        <w:rPr>
          <w:rStyle w:val="25"/>
        </w:rPr>
      </w:r>
    </w:p>
    <w:p w14:paraId="102CCAF7">
      <w:pPr>
        <w:ind w:left="420" w:hanging="420" w:hangingChars="200"/>
        <w:jc w:val="left"/>
      </w:pPr>
      <w:r>
        <w:t xml:space="preserve">Mathôt, S., Fabius, J., Van Heusden, E., &amp; Van der Stigchel, S. (2018). Safe and sensible preprocessing and baseline correction of pupil-size data. </w:t>
      </w:r>
      <w:r>
        <w:rPr>
          <w:i/>
          <w:iCs/>
        </w:rPr>
        <w:t>Behavior Research Methods, 50</w:t>
      </w:r>
      <w:r>
        <w:t xml:space="preserve">(1), 94–106. </w:t>
      </w:r>
      <w:r/>
      <w:r/>
      <w:r/>
      <w:r>
        <w:rPr>
          <w:rStyle w:val="25"/>
        </w:rPr>
        <w:t>https://doi.org/10.3758/s13428-017-1007-2</w:t>
      </w:r>
      <w:r>
        <w:rPr>
          <w:rStyle w:val="25"/>
        </w:rPr>
      </w:r>
    </w:p>
    <w:p w14:paraId="217324F9">
      <w:pPr>
        <w:ind w:left="420" w:hanging="420" w:hangingChars="200"/>
        <w:jc w:val="left"/>
      </w:pPr>
      <w:r>
        <w:t xml:space="preserve">Strauch, C., Wang, C.-A., Einhäuser, W., Van der Stigchel, S., &amp; Naber, M. (2022). Pupillometry as an integrated readout of distinct attentional networks. </w:t>
      </w:r>
      <w:r>
        <w:rPr>
          <w:i/>
          <w:iCs/>
        </w:rPr>
        <w:t>Trends in Neurosciences, 45</w:t>
      </w:r>
      <w:r>
        <w:t xml:space="preserve">(8), 635–647. </w:t>
      </w:r>
      <w:r/>
      <w:r/>
      <w:r/>
      <w:r>
        <w:rPr>
          <w:rStyle w:val="25"/>
        </w:rPr>
        <w:t>https://doi.org/10.1016/j.tins.2022.05.003</w:t>
      </w:r>
      <w:r>
        <w:rPr>
          <w:rStyle w:val="25"/>
        </w:rPr>
      </w:r>
    </w:p>
    <w:p w14:paraId="595E239F">
      <w:pPr>
        <w:ind w:left="420" w:hanging="420" w:hangingChars="200"/>
        <w:jc w:val="left"/>
      </w:pPr>
      <w:r>
        <w:t xml:space="preserve">Unsworth, N., Robison, M. K., &amp; Miller, A. L. (2018). Pupillary correlates of fluctuations in sustained attention. </w:t>
      </w:r>
      <w:r>
        <w:rPr>
          <w:i/>
          <w:iCs/>
        </w:rPr>
        <w:t>Journal of Cognitive Neuroscience, 30</w:t>
      </w:r>
      <w:r>
        <w:t xml:space="preserve">(9), 1241–1253. </w:t>
      </w:r>
      <w:r/>
      <w:r/>
      <w:r/>
      <w:r>
        <w:rPr>
          <w:rStyle w:val="25"/>
        </w:rPr>
        <w:t>https://doi.org/10.1162/jocn_a_01251</w:t>
      </w:r>
      <w:r>
        <w:rPr>
          <w:rStyle w:val="25"/>
        </w:rPr>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46CE2C79">
      <w:pPr>
        <w:ind w:left="420" w:hanging="420" w:hangingChars="200"/>
        <w:jc w:val="left"/>
      </w:pPr>
      <w:r>
        <w:t xml:space="preserve">Carriere, J. S. A., Seli, P., &amp; Smilek, D. (2013). Wandering in both mind and body: Individual differences in mind wandering and inattention predict fidgeting. </w:t>
      </w:r>
      <w:r>
        <w:rPr>
          <w:i/>
          <w:iCs/>
        </w:rPr>
        <w:t>Canadian Journal of Experimental Psychology, 67</w:t>
      </w:r>
      <w:r>
        <w:t xml:space="preserve">(1), 19–31. </w:t>
      </w:r>
      <w:r/>
      <w:r/>
      <w:r/>
      <w:r>
        <w:rPr>
          <w:rStyle w:val="25"/>
        </w:rPr>
        <w:t>https://doi.org/10.1037/a0031438</w:t>
      </w:r>
      <w:r>
        <w:rPr>
          <w:rStyle w:val="25"/>
        </w:rPr>
      </w:r>
    </w:p>
    <w:p w14:paraId="6E8CEAD5">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2F19D528">
      <w:pPr>
        <w:ind w:left="420" w:hanging="420" w:hangingChars="200"/>
        <w:jc w:val="left"/>
      </w:pPr>
      <w:r>
        <w:t xml:space="preserve">Farley, J., Risko, E. F., &amp; Kingstone, A. (2013). Everyday attention and lecture retention: The effects of time, fidgeting, and mind wandering. </w:t>
      </w:r>
      <w:r>
        <w:rPr>
          <w:i/>
          <w:iCs/>
        </w:rPr>
        <w:t>Frontiers in Psychology, 4</w:t>
      </w:r>
      <w:r>
        <w:t xml:space="preserve">, 619. </w:t>
      </w:r>
      <w:r/>
      <w:r/>
      <w:r/>
      <w:r>
        <w:rPr>
          <w:rStyle w:val="25"/>
        </w:rPr>
        <w:t>https://doi.org/10.3389/fpsyg.2013.00619</w:t>
      </w:r>
      <w:r>
        <w:rPr>
          <w:rStyle w:val="25"/>
        </w:rPr>
      </w:r>
    </w:p>
    <w:p w14:paraId="0D13290A">
      <w:pPr>
        <w:ind w:left="420" w:hanging="420" w:hangingChars="200"/>
        <w:jc w:val="left"/>
      </w:pPr>
      <w:r>
        <w:t xml:space="preserve">Hansen, A. L., Johnsen, B. H., &amp; Thayer, J. F. (2003). Vagal influence on working memory and attention. </w:t>
      </w:r>
      <w:r>
        <w:rPr>
          <w:i/>
          <w:iCs/>
        </w:rPr>
        <w:t>International Journal of Psychophysiology, 48</w:t>
      </w:r>
      <w:r>
        <w:t xml:space="preserve">(3), 263–274. </w:t>
      </w:r>
      <w:r/>
      <w:r/>
      <w:r/>
      <w:r>
        <w:rPr>
          <w:rStyle w:val="25"/>
        </w:rPr>
        <w:t>https://doi.org/10.1016/S0167-8760(03)00073-4</w:t>
      </w:r>
      <w:r>
        <w:rPr>
          <w:rStyle w:val="25"/>
        </w:rPr>
      </w:r>
    </w:p>
    <w:p w14:paraId="331A1F61">
      <w:pPr>
        <w:ind w:left="420" w:hanging="420" w:hangingChars="200"/>
        <w:jc w:val="left"/>
      </w:pPr>
      <w:r>
        <w:t xml:space="preserve">Melnychuk, M. C., Dockree, P. M., O’Connell, R. G., Murphy, P. R., Balsters, J. H., &amp; Robertson, I. H. (2018). Coupling of respiration and attention via the locus coeruleus: Effects of meditation and pranayama. </w:t>
      </w:r>
      <w:r>
        <w:rPr>
          <w:i/>
          <w:iCs/>
        </w:rPr>
        <w:t>Psychophysiology, 55</w:t>
      </w:r>
      <w:r>
        <w:t xml:space="preserve">(9), e13091. </w:t>
      </w:r>
      <w:r/>
      <w:r/>
      <w:r/>
      <w:r>
        <w:rPr>
          <w:rStyle w:val="25"/>
        </w:rPr>
        <w:t>https://doi.org/10.1111/psyp.13091</w:t>
      </w:r>
      <w:r>
        <w:rPr>
          <w:rStyle w:val="25"/>
        </w:rPr>
      </w:r>
    </w:p>
    <w:p w14:paraId="0C328F4D">
      <w:pPr>
        <w:ind w:left="420" w:hanging="420" w:hangingChars="200"/>
        <w:jc w:val="left"/>
      </w:pPr>
      <w:r>
        <w:t xml:space="preserve">Smallwood, J., Davies, J. B., Heim, D., Finnigan, F., Sudberry, M., O’Connor, R., &amp; Obonsawin, M. (2004). Subjective experience and the attentional lapse: Task engagement and disengagement during sustained attention. </w:t>
      </w:r>
      <w:r>
        <w:rPr>
          <w:i/>
          <w:iCs/>
        </w:rPr>
        <w:t>Consciousness and Cognition, 13</w:t>
      </w:r>
      <w:r>
        <w:t xml:space="preserve">(4), 657–690. </w:t>
      </w:r>
      <w:r/>
      <w:r/>
      <w:r/>
      <w:r>
        <w:rPr>
          <w:rStyle w:val="25"/>
        </w:rPr>
        <w:t>https://doi.org/10.1016/j.concog.2004.06.003</w:t>
      </w:r>
      <w:r>
        <w:rPr>
          <w:rStyle w:val="25"/>
        </w:rPr>
      </w:r>
    </w:p>
    <w:p w14:paraId="0AB04642">
      <w:pPr>
        <w:ind w:left="420" w:hanging="420" w:hangingChars="200"/>
        <w:jc w:val="left"/>
      </w:pPr>
      <w:r>
        <w:t xml:space="preserve">Sorella, S., Matiz, A., Chittaro, L., Malinowski, P., &amp; Crescentini, C. (2026). Cardiac and ocular correlates of mind wandering in meditators and non-meditators during a sustained attention to response task. </w:t>
      </w:r>
      <w:r>
        <w:rPr>
          <w:i/>
          <w:iCs/>
        </w:rPr>
        <w:t>Current Psychology, 45</w:t>
      </w:r>
      <w:r>
        <w:t xml:space="preserve">, 1386. </w:t>
      </w:r>
      <w:r/>
      <w:r/>
      <w:r/>
      <w:r>
        <w:rPr>
          <w:rStyle w:val="25"/>
        </w:rPr>
        <w:t>https://doi.org/10.1007/s12144-026-09946-1</w:t>
      </w:r>
      <w:r>
        <w:rPr>
          <w:rStyle w:val="25"/>
        </w:rPr>
      </w:r>
    </w:p>
    <w:p w14:paraId="33F15A09">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4D17DD17">
      <w:pPr>
        <w:ind w:left="420" w:hanging="420" w:hangingChars="200"/>
        <w:jc w:val="left"/>
      </w:pPr>
      <w:r>
        <w:t xml:space="preserve">Chen, Y., Yuan, J., &amp; Tang, J. (2024). A high precision vital signs detection method based on millimeter wave radar. </w:t>
      </w:r>
      <w:r>
        <w:rPr>
          <w:i/>
          <w:iCs/>
        </w:rPr>
        <w:t>Scientific Reports, 14</w:t>
      </w:r>
      <w:r>
        <w:t xml:space="preserve">, 25535. </w:t>
      </w:r>
      <w:r/>
      <w:r/>
      <w:r/>
      <w:r>
        <w:rPr>
          <w:rStyle w:val="25"/>
        </w:rPr>
        <w:t>https://doi.org/10.1038/s41598-024-77683-1</w:t>
      </w:r>
      <w:r>
        <w:rPr>
          <w:rStyle w:val="25"/>
        </w:rPr>
      </w:r>
    </w:p>
    <w:p w14:paraId="2789A2AF">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6632D98E">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47D10F73">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3A4A9A13">
      <w:pPr>
        <w:ind w:left="420" w:hanging="420" w:hangingChars="200"/>
        <w:jc w:val="left"/>
      </w:pPr>
      <w:r>
        <w:t xml:space="preserve">Younas, M., Zhang, J., Niaz, F., &amp; Xu, X. (2026). A novel contactless human attention and task focus estimation during tabletop object interactions using millimeter-wave radar. </w:t>
      </w:r>
      <w:r>
        <w:rPr>
          <w:i/>
          <w:iCs/>
        </w:rPr>
        <w:t>IEEE Internet of Things Journal, 13</w:t>
      </w:r>
      <w:r>
        <w:t xml:space="preserve">(11), 23400–23418. </w:t>
      </w:r>
      <w:r/>
      <w:r/>
      <w:r/>
      <w:r>
        <w:rPr>
          <w:rStyle w:val="25"/>
        </w:rPr>
        <w:t>https://doi.org/10.1109/JIOT.2026.3670444</w:t>
      </w:r>
      <w:r>
        <w:rPr>
          <w:rStyle w:val="25"/>
        </w:rPr>
      </w:r>
    </w:p>
    <w:p w14:paraId="5B05A8F0">
      <w:pPr>
        <w:ind w:left="420" w:hanging="420" w:hangingChars="200"/>
        <w:jc w:val="left"/>
      </w:pPr>
      <w:r>
        <w:t xml:space="preserve">Zhu, J., Cao, J., Yang, Y., Ren, W., &amp; Han, H. (2023). mmDrive: Fine-grained fatigue driving detection using mmWave radar. </w:t>
      </w:r>
      <w:r>
        <w:rPr>
          <w:i/>
          <w:iCs/>
        </w:rPr>
        <w:t>ACM Transactions on Internet of Things, 4</w:t>
      </w:r>
      <w:r>
        <w:t xml:space="preserve">(4), Article 26, 1–30. </w:t>
      </w:r>
      <w:r/>
      <w:r/>
      <w:r/>
      <w:r>
        <w:rPr>
          <w:rStyle w:val="25"/>
        </w:rPr>
        <w:t>https://doi.org/10.1145/3614437</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