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r/>
      <w:r>
        <w:rPr>
          <w:rFonts w:hint="eastAsia"/>
        </w:rPr>
      </w:r>
      <w:r/>
      <w:r/>
      <w:r>
        <w:t>1</w:t>
      </w:r>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2</w:t>
      </w:r>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pPr>
        <w:jc w:val="center"/>
      </w:pPr>
      <w:r>
        <w:rPr>
          <w:rFonts w:ascii="Times New Roman" w:hAnsi="Times New Roman" w:eastAsia="宋体"/>
          <w:b/>
          <w:sz w:val="21"/>
        </w:rPr>
        <w:t>图 11 毫米波心率与呼吸估计处理管线</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3</w:t>
      </w:r>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4</w:t>
      </w:r>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5</w:t>
      </w:r>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0" name="Picture 1688596220"/>
            <wp:cNvGraphicFramePr>
              <a:graphicFrameLocks noChangeAspect="1"/>
            </wp:cNvGraphicFramePr>
            <a:graphic>
              <a:graphicData uri="http://schemas.openxmlformats.org/drawingml/2006/picture">
                <pic:pic>
                  <pic:nvPicPr>
                    <pic:cNvPr id="0" name="Figure09_data_quality_coverage.png"/>
                    <pic:cNvPicPr/>
                  </pic:nvPicPr>
                  <pic:blipFill>
                    <a:blip r:embed="rId43"/>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1" name="Picture 1688596221"/>
            <wp:cNvGraphicFramePr>
              <a:graphicFrameLocks noChangeAspect="1"/>
            </wp:cNvGraphicFramePr>
            <a:graphic>
              <a:graphicData uri="http://schemas.openxmlformats.org/drawingml/2006/picture">
                <pic:pic>
                  <pic:nvPicPr>
                    <pic:cNvPr id="0" name="Figure10_robustness_models.png"/>
                    <pic:cNvPicPr/>
                  </pic:nvPicPr>
                  <pic:blipFill>
                    <a:blip r:embed="rId44"/>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