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color w:val="0000ff"/>
          <w:sz w:val="36"/>
          <w:szCs w:val="36"/>
        </w:rPr>
      </w:pPr>
      <w:r w:rsidDel="00000000" w:rsidR="00000000" w:rsidRPr="00000000">
        <w:rPr>
          <w:color w:val="0000ff"/>
          <w:sz w:val="36"/>
          <w:szCs w:val="36"/>
          <w:rtl w:val="0"/>
        </w:rPr>
        <w:t xml:space="preserve">Optimalizácia konvergovaných sietí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Faktory vplývajúce na kvalitu služby v paketovej sieti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-Prenosová kapacita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-Celkové oneskorenie ( pevná aj variabilná zložka 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-Kolísanie oneskorenia ( jitter 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-Straty paketov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Druhy oneskorenia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-Processing delay (Oneskorenie pri spracovaní)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-Queuing delay (oneskorenie vo fronte)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-Serialization delay (serializačné oneskorenie)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-Propagation delay (oneskorenie pri šírení)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Per-Hop Behavior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DSCP: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ab/>
        <w:t xml:space="preserve">-Default (FIFO,taildrop)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ab/>
        <w:t xml:space="preserve">-Class-selector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ab/>
        <w:t xml:space="preserve">-EF Expedited Forwarding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ab/>
        <w:t xml:space="preserve">- AF Assured Forwarding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7.25"/>
        <w:gridCol w:w="2257.25"/>
        <w:gridCol w:w="2257.25"/>
        <w:gridCol w:w="2257.25"/>
        <w:tblGridChange w:id="0">
          <w:tblGrid>
            <w:gridCol w:w="2257.25"/>
            <w:gridCol w:w="2257.25"/>
            <w:gridCol w:w="2257.25"/>
            <w:gridCol w:w="2257.2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Assured Forwarding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Low Drop Pref.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Medium Drop Pref.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High Drop. Pref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Class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AF11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AF12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AF13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Class 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AF21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AF22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AF23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Class 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AF31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AF32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AF33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Class 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AF41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AF42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AF43</w:t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Najviac 5 tried 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Hlasové aplikácie: VoIP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Mission-critical aplikácie: Oracle, SAP, SNA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Interaktívne aplikácie: Telnet, TN3270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Veľkoobjemové aplikácie: FTP, TFTP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Best-effort aplikácie: E-mail, web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Ostatné „smeti“: Kazaa, Yahoo, RapidShare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1200" cy="3416300"/>
            <wp:effectExtent b="0" l="0" r="0" t="0"/>
            <wp:docPr id="1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Konfigurácia QoS CLI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Class-map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i w:val="1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class-map [match-all|match any] </w:t>
      </w:r>
      <w:r w:rsidDel="00000000" w:rsidR="00000000" w:rsidRPr="00000000">
        <w:rPr>
          <w:rFonts w:ascii="Courier New" w:cs="Courier New" w:eastAsia="Courier New" w:hAnsi="Courier New"/>
          <w:i w:val="1"/>
          <w:rtl w:val="0"/>
        </w:rPr>
        <w:t xml:space="preserve">class-map-name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match access-group </w:t>
      </w:r>
      <w:r w:rsidDel="00000000" w:rsidR="00000000" w:rsidRPr="00000000">
        <w:rPr>
          <w:rFonts w:ascii="Courier New" w:cs="Courier New" w:eastAsia="Courier New" w:hAnsi="Courier New"/>
          <w:i w:val="1"/>
          <w:rtl w:val="0"/>
        </w:rPr>
        <w:t xml:space="preserve">access-list-number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!protocol,....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description </w:t>
      </w:r>
      <w:r w:rsidDel="00000000" w:rsidR="00000000" w:rsidRPr="00000000">
        <w:rPr>
          <w:rFonts w:ascii="Courier New" w:cs="Courier New" w:eastAsia="Courier New" w:hAnsi="Courier New"/>
          <w:i w:val="1"/>
          <w:rtl w:val="0"/>
        </w:rPr>
        <w:t xml:space="preserve">description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Policy map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policy-map </w:t>
      </w:r>
      <w:r w:rsidDel="00000000" w:rsidR="00000000" w:rsidRPr="00000000">
        <w:rPr>
          <w:rFonts w:ascii="Courier New" w:cs="Courier New" w:eastAsia="Courier New" w:hAnsi="Courier New"/>
          <w:i w:val="1"/>
          <w:rtl w:val="0"/>
        </w:rPr>
        <w:t xml:space="preserve">policy-map-name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class {</w:t>
      </w:r>
      <w:r w:rsidDel="00000000" w:rsidR="00000000" w:rsidRPr="00000000">
        <w:rPr>
          <w:rFonts w:ascii="Courier New" w:cs="Courier New" w:eastAsia="Courier New" w:hAnsi="Courier New"/>
          <w:i w:val="1"/>
          <w:rtl w:val="0"/>
        </w:rPr>
        <w:t xml:space="preserve">class-name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| class-default}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i w:val="1"/>
          <w:rtl w:val="0"/>
        </w:rPr>
        <w:t xml:space="preserve">class-name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condition !bandwidth, banmdwidth percent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Service Policy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>
          <w:rFonts w:ascii="Courier New" w:cs="Courier New" w:eastAsia="Courier New" w:hAnsi="Courier New"/>
          <w:i w:val="1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service-policy {input | output} </w:t>
      </w:r>
      <w:r w:rsidDel="00000000" w:rsidR="00000000" w:rsidRPr="00000000">
        <w:rPr>
          <w:rFonts w:ascii="Courier New" w:cs="Courier New" w:eastAsia="Courier New" w:hAnsi="Courier New"/>
          <w:i w:val="1"/>
          <w:rtl w:val="0"/>
        </w:rPr>
        <w:t xml:space="preserve">policy-map-name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>
          <w:rFonts w:ascii="Courier New" w:cs="Courier New" w:eastAsia="Courier New" w:hAnsi="Courier New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rFonts w:ascii="Courier New" w:cs="Courier New" w:eastAsia="Courier New" w:hAnsi="Courier New"/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</w:rPr>
        <w:drawing>
          <wp:inline distB="114300" distT="114300" distL="114300" distR="114300">
            <wp:extent cx="5731200" cy="3149600"/>
            <wp:effectExtent b="0" l="0" r="0" t="0"/>
            <wp:docPr id="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rPr>
          <w:b w:val="1"/>
          <w:i w:val="1"/>
          <w:rtl w:val="0"/>
        </w:rPr>
        <w:t xml:space="preserve">Network-Based Application Recognition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(NBAR)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1200" cy="495300"/>
            <wp:effectExtent b="0" l="0" r="0" t="0"/>
            <wp:docPr id="1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Definuje porty, kde sa má protokol hľadať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/////////////////////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Vytvoriť class-map, v ktorej využijeme NBAR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1200" cy="279400"/>
            <wp:effectExtent b="0" l="0" r="0" t="0"/>
            <wp:docPr id="2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Vytvoriť príslušnú policy-map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//////////////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ip nbar protocol-discovery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3995738" cy="2321249"/>
            <wp:effectExtent b="0" l="0" r="0" t="0"/>
            <wp:docPr id="1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5738" cy="23212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731200" cy="1651000"/>
            <wp:effectExtent b="0" l="0" r="0" t="0"/>
            <wp:docPr id="1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b w:val="1"/>
          <w:i w:val="1"/>
        </w:rPr>
      </w:pPr>
      <w:r w:rsidDel="00000000" w:rsidR="00000000" w:rsidRPr="00000000">
        <w:rPr>
          <w:rtl w:val="0"/>
        </w:rPr>
        <w:t xml:space="preserve">Veľkosť HW frontu nastavíme pomocou </w:t>
      </w:r>
      <w:r w:rsidDel="00000000" w:rsidR="00000000" w:rsidRPr="00000000">
        <w:rPr>
          <w:b w:val="1"/>
          <w:i w:val="1"/>
          <w:rtl w:val="0"/>
        </w:rPr>
        <w:t xml:space="preserve">tx-ring-limit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rFonts w:ascii="Courier New" w:cs="Courier New" w:eastAsia="Courier New" w:hAnsi="Courier New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Existujúce elementárne frontové disciplíny: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First-in, first-out (FIFO)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rPr/>
      </w:pPr>
      <w:r w:rsidDel="00000000" w:rsidR="00000000" w:rsidRPr="00000000">
        <w:rPr>
          <w:i w:val="1"/>
          <w:rtl w:val="0"/>
        </w:rPr>
        <w:t xml:space="preserve">Priority queuing (PQ) </w:t>
      </w:r>
      <w:r w:rsidDel="00000000" w:rsidR="00000000" w:rsidRPr="00000000">
        <w:rPr>
          <w:rtl w:val="0"/>
        </w:rPr>
        <w:t xml:space="preserve">(until empty first queue)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rPr/>
      </w:pPr>
      <w:r w:rsidDel="00000000" w:rsidR="00000000" w:rsidRPr="00000000">
        <w:rPr>
          <w:i w:val="1"/>
          <w:rtl w:val="0"/>
        </w:rPr>
        <w:t xml:space="preserve">Round robin (RR) </w:t>
      </w:r>
      <w:r w:rsidDel="00000000" w:rsidR="00000000" w:rsidRPr="00000000">
        <w:rPr>
          <w:rtl w:val="0"/>
        </w:rPr>
        <w:t xml:space="preserve">(one from each queue)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rPr/>
      </w:pPr>
      <w:r w:rsidDel="00000000" w:rsidR="00000000" w:rsidRPr="00000000">
        <w:rPr>
          <w:i w:val="1"/>
          <w:rtl w:val="0"/>
        </w:rPr>
        <w:t xml:space="preserve">Weighted round robin (WRR) </w:t>
      </w:r>
      <w:r w:rsidDel="00000000" w:rsidR="00000000" w:rsidRPr="00000000">
        <w:rPr>
          <w:rtl w:val="0"/>
        </w:rPr>
        <w:t xml:space="preserve">amount from wieght value from each queue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Custom queueing (CQ)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WFQ Weighted Faur Queueing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731200" cy="2806700"/>
            <wp:effectExtent b="0" l="0" r="0" t="0"/>
            <wp:docPr id="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rPr>
          <w:b w:val="1"/>
          <w:i w:val="1"/>
          <w:rtl w:val="0"/>
        </w:rPr>
        <w:t xml:space="preserve">CBWFQ</w:t>
      </w:r>
      <w:r w:rsidDel="00000000" w:rsidR="00000000" w:rsidRPr="00000000">
        <w:rPr/>
        <w:drawing>
          <wp:inline distB="114300" distT="114300" distL="114300" distR="114300">
            <wp:extent cx="5731200" cy="2362200"/>
            <wp:effectExtent b="0" l="0" r="0" t="0"/>
            <wp:docPr id="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Konfigurácia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rFonts w:ascii="Courier New" w:cs="Courier New" w:eastAsia="Courier New" w:hAnsi="Courier New"/>
          <w:i w:val="1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bandwidth </w:t>
      </w:r>
      <w:r w:rsidDel="00000000" w:rsidR="00000000" w:rsidRPr="00000000">
        <w:rPr>
          <w:rFonts w:ascii="Courier New" w:cs="Courier New" w:eastAsia="Courier New" w:hAnsi="Courier New"/>
          <w:i w:val="1"/>
          <w:rtl w:val="0"/>
        </w:rPr>
        <w:t xml:space="preserve">bandwidth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rFonts w:ascii="Courier New" w:cs="Courier New" w:eastAsia="Courier New" w:hAnsi="Courier New"/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bandwidth percent </w:t>
      </w:r>
      <w:r w:rsidDel="00000000" w:rsidR="00000000" w:rsidRPr="00000000">
        <w:rPr>
          <w:rFonts w:ascii="Courier New" w:cs="Courier New" w:eastAsia="Courier New" w:hAnsi="Courier New"/>
          <w:i w:val="1"/>
          <w:rtl w:val="0"/>
        </w:rPr>
        <w:t xml:space="preserve">percent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rFonts w:ascii="Courier New" w:cs="Courier New" w:eastAsia="Courier New" w:hAnsi="Courier New"/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bandwidth remaining percent </w:t>
      </w:r>
      <w:r w:rsidDel="00000000" w:rsidR="00000000" w:rsidRPr="00000000">
        <w:rPr>
          <w:rFonts w:ascii="Courier New" w:cs="Courier New" w:eastAsia="Courier New" w:hAnsi="Courier New"/>
          <w:i w:val="1"/>
          <w:rtl w:val="0"/>
        </w:rPr>
        <w:t xml:space="preserve">percent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rFonts w:ascii="Courier New" w:cs="Courier New" w:eastAsia="Courier New" w:hAnsi="Courier New"/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queue-limit </w:t>
      </w:r>
      <w:r w:rsidDel="00000000" w:rsidR="00000000" w:rsidRPr="00000000">
        <w:rPr>
          <w:rFonts w:ascii="Courier New" w:cs="Courier New" w:eastAsia="Courier New" w:hAnsi="Courier New"/>
          <w:i w:val="1"/>
          <w:rtl w:val="0"/>
        </w:rPr>
        <w:t xml:space="preserve">queue-limit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i w:val="1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fair-queue [</w:t>
      </w:r>
      <w:r w:rsidDel="00000000" w:rsidR="00000000" w:rsidRPr="00000000">
        <w:rPr>
          <w:rFonts w:ascii="Courier New" w:cs="Courier New" w:eastAsia="Courier New" w:hAnsi="Courier New"/>
          <w:i w:val="1"/>
          <w:rtl w:val="0"/>
        </w:rPr>
        <w:t xml:space="preserve">number of dynamics queues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]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rFonts w:ascii="Courier New" w:cs="Courier New" w:eastAsia="Courier New" w:hAnsi="Courier New"/>
          <w:b w:val="1"/>
          <w:i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LLQ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731200" cy="3733800"/>
            <wp:effectExtent b="0" l="0" r="0" t="0"/>
            <wp:docPr id="1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rtl w:val="0"/>
        </w:rPr>
        <w:br w:type="textWrapping"/>
        <w:t xml:space="preserve">priority </w:t>
      </w:r>
      <w:r w:rsidDel="00000000" w:rsidR="00000000" w:rsidRPr="00000000">
        <w:rPr>
          <w:rFonts w:ascii="Courier New" w:cs="Courier New" w:eastAsia="Courier New" w:hAnsi="Courier New"/>
          <w:i w:val="1"/>
          <w:rtl w:val="0"/>
        </w:rPr>
        <w:t xml:space="preserve">bandwidth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i w:val="1"/>
          <w:rtl w:val="0"/>
        </w:rPr>
        <w:t xml:space="preserve">burst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]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priority percent </w:t>
      </w:r>
      <w:r w:rsidDel="00000000" w:rsidR="00000000" w:rsidRPr="00000000">
        <w:rPr>
          <w:rFonts w:ascii="Courier New" w:cs="Courier New" w:eastAsia="Courier New" w:hAnsi="Courier New"/>
          <w:i w:val="1"/>
          <w:rtl w:val="0"/>
        </w:rPr>
        <w:t xml:space="preserve">percentage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i w:val="1"/>
          <w:rtl w:val="0"/>
        </w:rPr>
        <w:t xml:space="preserve">burst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]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Congestion Avoidance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RED (Random Early Detection)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1200" cy="2933700"/>
            <wp:effectExtent b="0" l="0" r="0" t="0"/>
            <wp:docPr id="1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WRED (Weighted Random Early Deteciton)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1200" cy="2362200"/>
            <wp:effectExtent b="0" l="0" r="0" t="0"/>
            <wp:docPr id="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Class-Based WRED (CBWRED)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Konf  - random-detect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podľa DSCP pomocou random-detect dscp-based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ECN - Explicit Congestion Notification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Nastavený príznak ECN vyjadruje, že rámec prešiel prvkom siete, ktorý sa blíži k zahlteniu alebo sa v tomto stave už nachádza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Policing a Shaping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rPr>
          <w:b w:val="1"/>
          <w:rtl w:val="0"/>
        </w:rPr>
        <w:t xml:space="preserve">Policing - </w:t>
      </w:r>
      <w:r w:rsidDel="00000000" w:rsidR="00000000" w:rsidRPr="00000000">
        <w:rPr>
          <w:rtl w:val="0"/>
        </w:rPr>
        <w:t xml:space="preserve">Obmedzuje objem prevádzky jej zahadzovaním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43313" cy="2164277"/>
            <wp:effectExtent b="0" l="0" r="0" t="0"/>
            <wp:docPr id="1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3313" cy="21642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rPr>
          <w:b w:val="1"/>
          <w:rtl w:val="0"/>
        </w:rPr>
        <w:t xml:space="preserve">Shaping - </w:t>
      </w:r>
      <w:r w:rsidDel="00000000" w:rsidR="00000000" w:rsidRPr="00000000">
        <w:rPr>
          <w:rtl w:val="0"/>
        </w:rPr>
        <w:t xml:space="preserve">Obmedzuje objem prevádzky jej odložením na neskoršie odoslanie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10013" cy="2322708"/>
            <wp:effectExtent b="0" l="0" r="0" t="0"/>
            <wp:docPr id="1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0013" cy="23227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Konfigurácia Policingu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Single Rate Two Color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police cir CIR  [[bc] Bc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] ! CIR je bps, bc je v bps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conform-action transmit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exceed-action drop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Single Rate Three Color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rFonts w:ascii="Courier New" w:cs="Courier New" w:eastAsia="Courier New" w:hAnsi="Courier New"/>
          <w:i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police cir </w:t>
      </w:r>
      <w:r w:rsidDel="00000000" w:rsidR="00000000" w:rsidRPr="00000000">
        <w:rPr>
          <w:rFonts w:ascii="Courier New" w:cs="Courier New" w:eastAsia="Courier New" w:hAnsi="Courier New"/>
          <w:i w:val="1"/>
          <w:rtl w:val="0"/>
        </w:rPr>
        <w:t xml:space="preserve">CIR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[bc] </w:t>
      </w:r>
      <w:r w:rsidDel="00000000" w:rsidR="00000000" w:rsidRPr="00000000">
        <w:rPr>
          <w:rFonts w:ascii="Courier New" w:cs="Courier New" w:eastAsia="Courier New" w:hAnsi="Courier New"/>
          <w:i w:val="1"/>
          <w:rtl w:val="0"/>
        </w:rPr>
        <w:t xml:space="preserve">Bc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[be] </w:t>
      </w:r>
      <w:r w:rsidDel="00000000" w:rsidR="00000000" w:rsidRPr="00000000">
        <w:rPr>
          <w:rFonts w:ascii="Courier New" w:cs="Courier New" w:eastAsia="Courier New" w:hAnsi="Courier New"/>
          <w:i w:val="1"/>
          <w:rtl w:val="0"/>
        </w:rPr>
        <w:t xml:space="preserve">Be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conform action-transmit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exceed-action … ! Typicky remakring a transmit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violate-action drop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Two Rate Three Color </w:t>
      </w: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731200" cy="876300"/>
            <wp:effectExtent b="0" l="0" r="0" t="0"/>
            <wp:docPr id="1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SHAPING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Konfigurácia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731200" cy="279400"/>
            <wp:effectExtent b="0" l="0" r="0" t="0"/>
            <wp:docPr id="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Kde ?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731200" cy="3225800"/>
            <wp:effectExtent b="0" l="0" r="0" t="0"/>
            <wp:docPr id="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LFI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1200" cy="1790700"/>
            <wp:effectExtent b="0" l="0" r="0" t="0"/>
            <wp:docPr id="1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QOS vo VPN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1200" cy="3276600"/>
            <wp:effectExtent b="0" l="0" r="0" t="0"/>
            <wp:docPr id="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/>
      </w:pPr>
      <w:bookmarkStart w:colFirst="0" w:colLast="0" w:name="_m3pasxxbq5b" w:id="0"/>
      <w:bookmarkEnd w:id="0"/>
      <w:r w:rsidDel="00000000" w:rsidR="00000000" w:rsidRPr="00000000">
        <w:rPr>
          <w:rtl w:val="0"/>
        </w:rPr>
        <w:t xml:space="preserve">Skúška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Adresovanie :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fa0/0 - UPLINK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s0/0/0 ku routeru s nizsim cislom</w:t>
      </w:r>
    </w:p>
    <w:tbl>
      <w:tblPr>
        <w:tblStyle w:val="Table2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7.25"/>
        <w:gridCol w:w="2257.25"/>
        <w:gridCol w:w="2257.25"/>
        <w:gridCol w:w="2257.25"/>
        <w:tblGridChange w:id="0">
          <w:tblGrid>
            <w:gridCol w:w="2257.25"/>
            <w:gridCol w:w="2257.25"/>
            <w:gridCol w:w="2257.25"/>
            <w:gridCol w:w="2257.2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PE1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s0/0/0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192.168.12.1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24 vsade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s0/0/1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192.168.13.1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fa0/0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DHCP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fa0/1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192.168.10.1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PE2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s0/0/0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192.168.12.2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s0/0/1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192.168.23.2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fa0/1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192.168.20.1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PE3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s0/0/0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192.168.13.3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s0/0/1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192.168.23.3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f0/1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192.168.30.1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CE1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fa0/0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192.168.10.2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fa0/1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192.168.1.1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CE2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fa0/0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192.168.20.2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fa0/1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192.168.2.1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CE3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fa0/0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192.168.30.2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fa0/1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192.168.3.1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router ospf 1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network ...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!NAT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access-list 100 permit ip 10.0.0.0 0.255.255.255 any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ip nat inside source list 100 int fa0/1 overload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int fa0/0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ip nat outside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int fa0/1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ip nat inside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* Klasifikácia a značkovanie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/>
      </w:pPr>
      <w:r w:rsidDel="00000000" w:rsidR="00000000" w:rsidRPr="00000000">
        <w:rPr>
          <w:rtl w:val="0"/>
        </w:rPr>
        <w:t xml:space="preserve">o na vstupe (ak podľa protokolov, potrebný je NBAR)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/>
      </w:pPr>
      <w:r w:rsidDel="00000000" w:rsidR="00000000" w:rsidRPr="00000000">
        <w:rPr>
          <w:rtl w:val="0"/>
        </w:rPr>
        <w:t xml:space="preserve">o značky af v poli DSCP (VoIP = SIP, RTP..)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* Policing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/>
      </w:pPr>
      <w:r w:rsidDel="00000000" w:rsidR="00000000" w:rsidRPr="00000000">
        <w:rPr>
          <w:rtl w:val="0"/>
        </w:rPr>
        <w:t xml:space="preserve">o na vstupe (môže byť aj na vstupe aj na výstupe)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/>
      </w:pPr>
      <w:r w:rsidDel="00000000" w:rsidR="00000000" w:rsidRPr="00000000">
        <w:rPr>
          <w:rtl w:val="0"/>
        </w:rPr>
        <w:t xml:space="preserve">o zahadzovanie alebo preznačkovanie realizované tocken bucketmi, CIR, PIR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1200" cy="876300"/>
            <wp:effectExtent b="0" l="0" r="0" t="0"/>
            <wp:docPr id="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* Shaping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/>
      </w:pPr>
      <w:r w:rsidDel="00000000" w:rsidR="00000000" w:rsidRPr="00000000">
        <w:rPr>
          <w:rtl w:val="0"/>
        </w:rPr>
        <w:t xml:space="preserve">o na výstupe (takmer vždy)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1200" cy="279400"/>
            <wp:effectExtent b="0" l="0" r="0" t="0"/>
            <wp:docPr id="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* WRED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/>
      </w:pPr>
      <w:r w:rsidDel="00000000" w:rsidR="00000000" w:rsidRPr="00000000">
        <w:rPr>
          <w:rtl w:val="0"/>
        </w:rPr>
        <w:t xml:space="preserve">o na výstupe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/>
      </w:pPr>
      <w:r w:rsidDel="00000000" w:rsidR="00000000" w:rsidRPr="00000000">
        <w:rPr>
          <w:rtl w:val="0"/>
        </w:rPr>
        <w:t xml:space="preserve">o predchádzanie zahlteniu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/>
      </w:pPr>
      <w:r w:rsidDel="00000000" w:rsidR="00000000" w:rsidRPr="00000000">
        <w:rPr>
          <w:rtl w:val="0"/>
        </w:rPr>
        <w:t xml:space="preserve">random detect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* CBWFQ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/>
      </w:pPr>
      <w:r w:rsidDel="00000000" w:rsidR="00000000" w:rsidRPr="00000000">
        <w:rPr>
          <w:rtl w:val="0"/>
        </w:rPr>
        <w:t xml:space="preserve">o na výstupe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/>
      </w:pPr>
      <w:r w:rsidDel="00000000" w:rsidR="00000000" w:rsidRPr="00000000">
        <w:rPr>
          <w:rtl w:val="0"/>
        </w:rPr>
        <w:t xml:space="preserve">o vyberanie z frontov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>
          <w:b w:val="1"/>
          <w:i w:val="1"/>
        </w:rPr>
      </w:pPr>
      <w:r w:rsidDel="00000000" w:rsidR="00000000" w:rsidRPr="00000000">
        <w:rPr>
          <w:b w:val="1"/>
          <w:rtl w:val="0"/>
        </w:rPr>
        <w:t xml:space="preserve">bandwidth </w:t>
      </w:r>
      <w:r w:rsidDel="00000000" w:rsidR="00000000" w:rsidRPr="00000000">
        <w:rPr>
          <w:b w:val="1"/>
          <w:i w:val="1"/>
          <w:rtl w:val="0"/>
        </w:rPr>
        <w:t xml:space="preserve">bandwidth / </w:t>
      </w:r>
      <w:r w:rsidDel="00000000" w:rsidR="00000000" w:rsidRPr="00000000">
        <w:rPr>
          <w:b w:val="1"/>
          <w:rtl w:val="0"/>
        </w:rPr>
        <w:t xml:space="preserve">bandwidth percent </w:t>
      </w:r>
      <w:r w:rsidDel="00000000" w:rsidR="00000000" w:rsidRPr="00000000">
        <w:rPr>
          <w:b w:val="1"/>
          <w:i w:val="1"/>
          <w:rtl w:val="0"/>
        </w:rPr>
        <w:t xml:space="preserve">bandwidth </w:t>
      </w:r>
      <w:r w:rsidDel="00000000" w:rsidR="00000000" w:rsidRPr="00000000">
        <w:rPr>
          <w:b w:val="1"/>
          <w:rtl w:val="0"/>
        </w:rPr>
        <w:t xml:space="preserve">/bandwidth remaining percent </w:t>
      </w:r>
      <w:r w:rsidDel="00000000" w:rsidR="00000000" w:rsidRPr="00000000">
        <w:rPr>
          <w:b w:val="1"/>
          <w:i w:val="1"/>
          <w:rtl w:val="0"/>
        </w:rPr>
        <w:t xml:space="preserve">bandwidth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queue-limit </w:t>
      </w:r>
      <w:r w:rsidDel="00000000" w:rsidR="00000000" w:rsidRPr="00000000">
        <w:rPr>
          <w:b w:val="1"/>
          <w:i w:val="1"/>
          <w:rtl w:val="0"/>
        </w:rPr>
        <w:t xml:space="preserve">queue-limit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fair-queue </w:t>
      </w:r>
      <w:r w:rsidDel="00000000" w:rsidR="00000000" w:rsidRPr="00000000">
        <w:rPr>
          <w:b w:val="1"/>
          <w:i w:val="1"/>
          <w:rtl w:val="0"/>
        </w:rPr>
        <w:t xml:space="preserve">number of dynamics queues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* Pripomienka: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/>
      </w:pPr>
      <w:r w:rsidDel="00000000" w:rsidR="00000000" w:rsidRPr="00000000">
        <w:rPr>
          <w:rtl w:val="0"/>
        </w:rPr>
        <w:t xml:space="preserve">o bandwidht a police – je o garancii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/>
      </w:pPr>
      <w:r w:rsidDel="00000000" w:rsidR="00000000" w:rsidRPr="00000000">
        <w:rPr>
          <w:rtl w:val="0"/>
        </w:rPr>
        <w:t xml:space="preserve">o priority sa nastavujú na výstupe – napr. na výstupných s0 z PE k susedom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Impact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sk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00" w:lineRule="auto"/>
    </w:pPr>
    <w:rPr>
      <w:rFonts w:ascii="Impact" w:cs="Impact" w:eastAsia="Impact" w:hAnsi="Impact"/>
      <w:color w:val="1155cc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4.png"/><Relationship Id="rId11" Type="http://schemas.openxmlformats.org/officeDocument/2006/relationships/image" Target="media/image29.png"/><Relationship Id="rId22" Type="http://schemas.openxmlformats.org/officeDocument/2006/relationships/image" Target="media/image22.png"/><Relationship Id="rId10" Type="http://schemas.openxmlformats.org/officeDocument/2006/relationships/image" Target="media/image30.png"/><Relationship Id="rId21" Type="http://schemas.openxmlformats.org/officeDocument/2006/relationships/image" Target="media/image36.png"/><Relationship Id="rId13" Type="http://schemas.openxmlformats.org/officeDocument/2006/relationships/image" Target="media/image39.png"/><Relationship Id="rId24" Type="http://schemas.openxmlformats.org/officeDocument/2006/relationships/image" Target="media/image27.png"/><Relationship Id="rId12" Type="http://schemas.openxmlformats.org/officeDocument/2006/relationships/image" Target="media/image21.png"/><Relationship Id="rId23" Type="http://schemas.openxmlformats.org/officeDocument/2006/relationships/image" Target="media/image23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33.png"/><Relationship Id="rId15" Type="http://schemas.openxmlformats.org/officeDocument/2006/relationships/image" Target="media/image26.png"/><Relationship Id="rId14" Type="http://schemas.openxmlformats.org/officeDocument/2006/relationships/image" Target="media/image37.png"/><Relationship Id="rId17" Type="http://schemas.openxmlformats.org/officeDocument/2006/relationships/image" Target="media/image32.png"/><Relationship Id="rId16" Type="http://schemas.openxmlformats.org/officeDocument/2006/relationships/image" Target="media/image34.png"/><Relationship Id="rId5" Type="http://schemas.openxmlformats.org/officeDocument/2006/relationships/image" Target="media/image31.png"/><Relationship Id="rId19" Type="http://schemas.openxmlformats.org/officeDocument/2006/relationships/image" Target="media/image25.png"/><Relationship Id="rId6" Type="http://schemas.openxmlformats.org/officeDocument/2006/relationships/image" Target="media/image28.png"/><Relationship Id="rId18" Type="http://schemas.openxmlformats.org/officeDocument/2006/relationships/image" Target="media/image38.png"/><Relationship Id="rId7" Type="http://schemas.openxmlformats.org/officeDocument/2006/relationships/image" Target="media/image35.png"/><Relationship Id="rId8" Type="http://schemas.openxmlformats.org/officeDocument/2006/relationships/image" Target="media/image40.png"/></Relationships>
</file>