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Optimalizácia konvergovaných sietí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access-list 100 permit ip 10.0.0.0 0.255.255.255 any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nat inside source list 100 int fa0/1 overload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nat outside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fa0/1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Faktory vplývajúce na kvalitu služby v paketovej sieti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-Prenosová kapacita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-Celkové oneskorenie ( pevná aj variabilná zložka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-Kolísanie oneskorenia ( jitter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-Straty paketov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Druhy oneskorenia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-Processing delay (Oneskorenie pri spracovaní)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-Queuing delay (oneskorenie vo fronte)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-Serialization delay (serializačné oneskorenie)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-Propagation delay (oneskorenie pri šírení)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Per-Hop Behavior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DSCP: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-Default (FIFO,taildrop)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-Class-selector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-EF Expedited Forwarding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 AF Assured Forwarding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Assured Forwarding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 Drop Pref.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 Drop Pref.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Drop. Pref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AF43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Najviac 5 tried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Hlasové aplikácie: VoIP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Mission-critical aplikácie: Oracle, SAP, SNA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Interaktívne aplikácie: Telnet, TN3270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Veľkoobjemové aplikácie: FTP,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Best-effort aplikácie: E-mail, web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Ostatné „smeti“: Kazaa, Yahoo, RapidShare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Konfigurácia QoS 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Class-map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class-map [match-all|match any]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class-map-name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match access-group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access-list-number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!protocol,....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Policy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policy-map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policy-map-name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{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class-name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class-default}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class-name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condition !bandwidth, banmdwidth percent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Policy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service-policy {input | output}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policy-map-name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Network-Based Application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(NBAR)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nbar protocol-discovery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651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Veľkosť HW frontu nastavíme pomocou </w:t>
      </w:r>
      <w:r w:rsidDel="00000000" w:rsidR="00000000" w:rsidRPr="00000000">
        <w:rPr>
          <w:b w:val="1"/>
          <w:i w:val="1"/>
          <w:rtl w:val="0"/>
        </w:rPr>
        <w:t xml:space="preserve">tx-ring-limit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Existujúce elementárne frontové disciplíny: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First-in, first-out (FIFO)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Priority queuing (PQ) </w:t>
      </w:r>
      <w:r w:rsidDel="00000000" w:rsidR="00000000" w:rsidRPr="00000000">
        <w:rPr>
          <w:rtl w:val="0"/>
        </w:rPr>
        <w:t xml:space="preserve">(until empty first queue)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Round robin (RR) </w:t>
      </w:r>
      <w:r w:rsidDel="00000000" w:rsidR="00000000" w:rsidRPr="00000000">
        <w:rPr>
          <w:rtl w:val="0"/>
        </w:rPr>
        <w:t xml:space="preserve">(one from each queue)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Weighted round robin (WRR) </w:t>
      </w:r>
      <w:r w:rsidDel="00000000" w:rsidR="00000000" w:rsidRPr="00000000">
        <w:rPr>
          <w:rtl w:val="0"/>
        </w:rPr>
        <w:t xml:space="preserve">amount from wieght value from each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 queueing (CQ)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WFQ Weighted Faur Queueing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8067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CBWFQ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Konfigurácia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bandwidth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bandwidth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bandwidth percent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percent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bandwidth remaining percent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percent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queue-limit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queue-limit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fair-queue 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 of dynamics queues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LLQ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7338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priority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bandwidth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priority percent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Congestion Avoidance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 (Random Early Detection)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WRED (Weighted Random Early Deteciton)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Class-Based WRED (CBWRED)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Konf  - random-detect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podľa DSCP pomocou random-detect dscp-based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ECN - Explicit Congestion Notification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Nastavený príznak ECN vyjadruje, že rámec prešiel prvkom siete, ktorý sa blíži k zahlteniu alebo sa v tomto stave už nachádza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Policing a Shaping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Policing - </w:t>
      </w:r>
      <w:r w:rsidDel="00000000" w:rsidR="00000000" w:rsidRPr="00000000">
        <w:rPr>
          <w:rtl w:val="0"/>
        </w:rPr>
        <w:t xml:space="preserve">Obmedzuje objem prevádzky jej zahadzovaním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313" cy="2164277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16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Shaping - </w:t>
      </w:r>
      <w:r w:rsidDel="00000000" w:rsidR="00000000" w:rsidRPr="00000000">
        <w:rPr>
          <w:rtl w:val="0"/>
        </w:rPr>
        <w:t xml:space="preserve">Obmedzuje objem prevádzky jej odložením na neskoršie odoslanie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0013" cy="232270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32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Konfigurácia Policingu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Single Rate Two 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police cir CIR  [[bc] Bc ] ! CIR je bps, bc je v bps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conform-action transmit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exceed-action drop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Single Rate Three Color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police cir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CIR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[bc]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[be]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conform action-transmit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exceed-action … ! Typicky remakring a transmit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violate-action drop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Rate Three Color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763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SHAPING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Konfigurácia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79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Kde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2258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LFI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QOS vo VPN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7" Type="http://schemas.openxmlformats.org/officeDocument/2006/relationships/image" Target="media/image22.png"/><Relationship Id="rId16" Type="http://schemas.openxmlformats.org/officeDocument/2006/relationships/image" Target="media/image28.png"/><Relationship Id="rId5" Type="http://schemas.openxmlformats.org/officeDocument/2006/relationships/image" Target="media/image26.png"/><Relationship Id="rId6" Type="http://schemas.openxmlformats.org/officeDocument/2006/relationships/image" Target="media/image16.png"/><Relationship Id="rId18" Type="http://schemas.openxmlformats.org/officeDocument/2006/relationships/image" Target="media/image23.png"/><Relationship Id="rId7" Type="http://schemas.openxmlformats.org/officeDocument/2006/relationships/image" Target="media/image21.png"/><Relationship Id="rId8" Type="http://schemas.openxmlformats.org/officeDocument/2006/relationships/image" Target="media/image18.png"/></Relationships>
</file>