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color w:val="0000ff"/>
          <w:sz w:val="36"/>
          <w:szCs w:val="36"/>
        </w:rPr>
      </w:pPr>
      <w:r w:rsidDel="00000000" w:rsidR="00000000" w:rsidRPr="00000000">
        <w:rPr>
          <w:color w:val="0000ff"/>
          <w:sz w:val="36"/>
          <w:szCs w:val="36"/>
          <w:rtl w:val="0"/>
        </w:rPr>
        <w:t xml:space="preserve">Optimalizácia konvergovaných sietí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NAT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access-list 100 permit ip 10.0.0.0 0.255.255.255 any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ip nat inside source list 100 int fa0/1 overload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int fa0/0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ip nat outside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int fa0/1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ip nat inside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Faktory vplývajúce na kvalitu služby v paketovej sieti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-Prenosová kapacita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-Celkové oneskorenie ( pevná aj variabilná zložka 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-Kolísanie oneskorenia ( jitter 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-Straty paketov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Druhy oneskorenia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-Processing delay (Oneskorenie pri spracovaní)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-Queuing delay (oneskorenie vo fronte)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-Serialization delay (serializačné oneskorenie)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-Propagation delay (oneskorenie pri šírení)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Per-Hop Behavior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DSCP: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-Default (FIFO,taildrop)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-Class-selector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-EF Expedited Forwarding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- AF Assured Forwarding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Assured Forwarding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Low Drop Pref.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Medium Drop Pref.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High Drop. Pref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Class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AF11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AF12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AF13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Class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AF21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AF22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AF23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Class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AF31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AF32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AF33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Class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AF41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AF42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AF43</w:t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Najviac 5 tried 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Hlasové aplikácie: VoIP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Mission-critical aplikácie: Oracle, SAP, SNA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Interaktívne aplikácie: Telnet, TN3270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Veľkoobjemové aplikácie: FTP, TFTP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Best-effort aplikácie: E-mail, web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Ostatné „smeti“: Kazaa, Yahoo, RapidShare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1200" cy="3416300"/>
            <wp:effectExtent b="0" l="0" r="0" t="0"/>
            <wp:docPr id="13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1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Konfigurácia QoS CLI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Class-map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i w:val="1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class-map [match-all|match any] 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class-map-name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match access-group 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access-list-number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!protocol,....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description 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Policy map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policy-map 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policy-map-name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class {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class-name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| class-default}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class-name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condition !bandwidth, banmdwidth percent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Service Policy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service-policy {input | output} 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policy-map-name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i w:val="1"/>
          <w:rtl w:val="0"/>
        </w:rPr>
        <w:t xml:space="preserve">Network-Based Application Recognition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(NBAR)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ip nbar protocol-discovery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5731200" cy="1651000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5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i w:val="1"/>
        </w:rPr>
      </w:pPr>
      <w:r w:rsidDel="00000000" w:rsidR="00000000" w:rsidRPr="00000000">
        <w:rPr>
          <w:rtl w:val="0"/>
        </w:rPr>
        <w:t xml:space="preserve">Veľkosť HW frontu nastavíme pomocou </w:t>
      </w:r>
      <w:r w:rsidDel="00000000" w:rsidR="00000000" w:rsidRPr="00000000">
        <w:rPr>
          <w:b w:val="1"/>
          <w:i w:val="1"/>
          <w:rtl w:val="0"/>
        </w:rPr>
        <w:t xml:space="preserve">tx-ring-limit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Existujúce elementárne frontové disciplíny: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First-in, first-out (FIFO)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i w:val="1"/>
          <w:rtl w:val="0"/>
        </w:rPr>
        <w:t xml:space="preserve">Priority queuing (PQ) </w:t>
      </w:r>
      <w:r w:rsidDel="00000000" w:rsidR="00000000" w:rsidRPr="00000000">
        <w:rPr>
          <w:rtl w:val="0"/>
        </w:rPr>
        <w:t xml:space="preserve">(until empty first queue)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i w:val="1"/>
          <w:rtl w:val="0"/>
        </w:rPr>
        <w:t xml:space="preserve">Round robin (RR) </w:t>
      </w:r>
      <w:r w:rsidDel="00000000" w:rsidR="00000000" w:rsidRPr="00000000">
        <w:rPr>
          <w:rtl w:val="0"/>
        </w:rPr>
        <w:t xml:space="preserve">(one from each queue)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i w:val="1"/>
          <w:rtl w:val="0"/>
        </w:rPr>
        <w:t xml:space="preserve">Weighted round robin (WRR) </w:t>
      </w:r>
      <w:r w:rsidDel="00000000" w:rsidR="00000000" w:rsidRPr="00000000">
        <w:rPr>
          <w:rtl w:val="0"/>
        </w:rPr>
        <w:t xml:space="preserve">amount from wieght value from each queue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Custom queueing (CQ)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WFQ Weighted Faur Queueing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5731200" cy="2806700"/>
            <wp:effectExtent b="0" l="0" r="0" t="0"/>
            <wp:docPr id="8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0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i w:val="1"/>
          <w:rtl w:val="0"/>
        </w:rPr>
        <w:t xml:space="preserve">CBWFQ</w:t>
      </w:r>
      <w:r w:rsidDel="00000000" w:rsidR="00000000" w:rsidRPr="00000000">
        <w:rPr/>
        <w:drawing>
          <wp:inline distB="114300" distT="114300" distL="114300" distR="114300">
            <wp:extent cx="5731200" cy="2362200"/>
            <wp:effectExtent b="0" l="0" r="0" t="0"/>
            <wp:docPr id="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Konfigurácia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bandwidth 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bandwidth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bandwidth percent 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percent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bandwidth remaining percent 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percent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queue-limit 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queue-limit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fair-queue [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number of dynamics queues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1"/>
          <w:i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rtl w:val="0"/>
        </w:rPr>
        <w:t xml:space="preserve">LLQ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5731200" cy="3733800"/>
            <wp:effectExtent b="0" l="0" r="0" t="0"/>
            <wp:docPr id="7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3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rtl w:val="0"/>
        </w:rPr>
        <w:br w:type="textWrapping"/>
        <w:t xml:space="preserve">priority 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bandwidth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burst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priority percent 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percentage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burst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Congestion Avoidance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RED (Random Early Detection)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1200" cy="29337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WRED (Weighted Random Early Deteciton)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1200" cy="2362200"/>
            <wp:effectExtent b="0" l="0" r="0" t="0"/>
            <wp:docPr id="12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Class-Based WRED (CBWRED)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Konf  - random-detect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podľa DSCP pomocou random-detect dscp-based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ECN - Explicit Congestion Notification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Nastavený príznak ECN vyjadruje, že rámec prešiel prvkom siete, ktorý sa blíži k zahlteniu alebo sa v tomto stave už nachádza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Policing a Shaping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Policing - </w:t>
      </w:r>
      <w:r w:rsidDel="00000000" w:rsidR="00000000" w:rsidRPr="00000000">
        <w:rPr>
          <w:rtl w:val="0"/>
        </w:rPr>
        <w:t xml:space="preserve">Obmedzuje objem prevádzky jej zahadzovaním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643313" cy="2164277"/>
            <wp:effectExtent b="0" l="0" r="0" t="0"/>
            <wp:docPr id="11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3313" cy="21642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Shaping - </w:t>
      </w:r>
      <w:r w:rsidDel="00000000" w:rsidR="00000000" w:rsidRPr="00000000">
        <w:rPr>
          <w:rtl w:val="0"/>
        </w:rPr>
        <w:t xml:space="preserve">Obmedzuje objem prevádzky jej odložením na neskoršie odoslanie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910013" cy="2322708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0013" cy="23227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Konfigurácia Policingu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Single Rate Two Color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police cir CIR  [[bc] Bc ] ! CIR je bps, bc je v bps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conform-action transmit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exceed-action drop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Single Rate Three Color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police cir 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CIR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[bc] 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Bc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[be] 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Be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conform action-transmit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exceed-action … ! Typicky remakring a transmit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violate-action drop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Two Rate Three Color </w:t>
      </w: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5731200" cy="876300"/>
            <wp:effectExtent b="0" l="0" r="0" t="0"/>
            <wp:docPr id="6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i w:val="1"/>
          <w:u w:val="single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SHAPING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Konfigurácia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5731200" cy="279400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Kde ?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5731200" cy="3225800"/>
            <wp:effectExtent b="0" l="0" r="0" t="0"/>
            <wp:docPr id="14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LFI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1200" cy="1790700"/>
            <wp:effectExtent b="0" l="0" r="0" t="0"/>
            <wp:docPr id="9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QOS vo VPN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1200" cy="3276600"/>
            <wp:effectExtent b="0" l="0" r="0" t="0"/>
            <wp:docPr id="10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sk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5.png"/><Relationship Id="rId10" Type="http://schemas.openxmlformats.org/officeDocument/2006/relationships/image" Target="media/image5.png"/><Relationship Id="rId13" Type="http://schemas.openxmlformats.org/officeDocument/2006/relationships/image" Target="media/image3.png"/><Relationship Id="rId12" Type="http://schemas.openxmlformats.org/officeDocument/2006/relationships/image" Target="media/image24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19.png"/><Relationship Id="rId15" Type="http://schemas.openxmlformats.org/officeDocument/2006/relationships/image" Target="media/image11.png"/><Relationship Id="rId14" Type="http://schemas.openxmlformats.org/officeDocument/2006/relationships/image" Target="media/image17.png"/><Relationship Id="rId17" Type="http://schemas.openxmlformats.org/officeDocument/2006/relationships/image" Target="media/image21.png"/><Relationship Id="rId16" Type="http://schemas.openxmlformats.org/officeDocument/2006/relationships/image" Target="media/image28.png"/><Relationship Id="rId5" Type="http://schemas.openxmlformats.org/officeDocument/2006/relationships/image" Target="media/image26.png"/><Relationship Id="rId6" Type="http://schemas.openxmlformats.org/officeDocument/2006/relationships/image" Target="media/image9.png"/><Relationship Id="rId18" Type="http://schemas.openxmlformats.org/officeDocument/2006/relationships/image" Target="media/image22.png"/><Relationship Id="rId7" Type="http://schemas.openxmlformats.org/officeDocument/2006/relationships/image" Target="media/image20.png"/><Relationship Id="rId8" Type="http://schemas.openxmlformats.org/officeDocument/2006/relationships/image" Target="media/image15.png"/></Relationships>
</file>