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HyMeKo: One Hypergraph Substrate for Representing and Learning from Structured Systems</w:t>
      </w:r>
    </w:p>
    <w:p>
      <w:pPr>
        <w:spacing w:after="40"/>
      </w:pPr>
      <w:r>
        <w:rPr>
          <w:i/>
          <w:iCs/>
          <w:color w:val="4B2E83"/>
          <w:sz w:val="22"/>
          <w:szCs w:val="22"/>
        </w:rPr>
        <w:t xml:space="preserve">From declarative hypergraph structure to structural-prior learning.</w:t>
      </w:r>
    </w:p>
    <w:p>
      <w:pPr>
        <w:spacing w:after="160"/>
      </w:pPr>
      <w:r>
        <w:rPr>
          <w:color w:val="6B6690"/>
          <w:sz w:val="18"/>
          <w:szCs w:val="18"/>
        </w:rPr>
        <w:t xml:space="preserve">PhD Seminar  ·  Kato Laboratory  ·  Csaba Hajdu  ·  June 2026</w:t>
      </w:r>
    </w:p>
    <w:p>
      <w:pPr>
        <w:pStyle w:val="Heading2"/>
      </w:pPr>
      <w:r>
        <w:t xml:space="preserve">Abstract</w:t>
      </w:r>
    </w:p>
    <w:p>
      <w:pPr>
        <w:spacing w:after="120"/>
        <w:jc w:val="both"/>
      </w:pPr>
      <w:r>
        <w:t xml:space="preserve">Structured systems — robot mechanisms, signed trust and affect networks, chemical processes, neural dataflow — are intrinsically n-ary, yet coercing their relations into pairwise graphs erases each relation's identity and inflates the representation to O(|E|·d²). HyMeKo addresses this with a single canonical-hypergraph substrate that serves both representation and learning, so that the structure a framework compiles is the same structure a model reasons over. A declarative language compiles to a content-hashed hypergraph intermediate representation (IR), from which one query-and-template engine emits URDF, SDF, MJCF, SysML v2 and PyTorch with cross-view consistency, while an O(|E|·d) star expansion streams zero-copy to the GPU. Learning is driven by enumerated signed cycles and walks through a SignedKAN, HSiKAN and Gömb family whose Kolmogorov–Arnold spline activations turn graph structure into an inductive prior, all under a leakage-audited strict protocol.</w:t>
      </w:r>
    </w:p>
    <w:p>
      <w:pPr>
        <w:pStyle w:val="Heading2"/>
      </w:pPr>
      <w:r>
        <w:t xml:space="preserve">One substrate, two payoffs</w:t>
      </w:r>
    </w:p>
    <w:p>
      <w:pPr>
        <w:spacing w:after="120"/>
        <w:jc w:val="both"/>
      </w:pPr>
      <w:r>
        <w:t xml:space="preserve">A declarative .hymeko source compiles through a SIMD lexer and an LALRPOP parser to one canonical hypergraph IR with a Blake3 content-hash identity. From that single IR the framework both emits many target formats and feeds a structural-prior learning stack.</w:t>
      </w:r>
    </w:p>
    <w:p>
      <w:pPr>
        <w:spacing w:after="20" w:before="60"/>
        <w:jc w:val="center"/>
      </w:pPr>
      <w:r>
        <w:drawing>
          <wp:inline distT="0" distB="0" distL="0" distR="0">
            <wp:extent cx="6286500" cy="3057525"/>
            <wp:effectExtent t="0" r="0" b="0" l="0"/>
            <wp:docPr id="1" name="figure" descr="img/workflow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Figure 1 — The HyMeKo workflow: one source → one canonical IR → two payoffs (represent &amp; transform; learn from structure).</w:t>
      </w:r>
    </w:p>
    <w:p>
      <w:pPr>
        <w:pStyle w:val="Heading2"/>
      </w:pPr>
      <w:r>
        <w:t xml:space="preserve">Mathematical preliminaries</w:t>
      </w:r>
    </w:p>
    <w:p>
      <w:pPr>
        <w:spacing w:after="120"/>
        <w:jc w:val="both"/>
      </w:pPr>
      <w:r>
        <w:t xml:space="preserve">A compact reference for the objects used throughout the talk.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Graph &amp; signed graph. A graph G = (V, E) has vertices V and pairwise edges E ⊆ V×V; a signed graph adds σ: E → {+, −} (trust/distrust, like/dislike).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Hypergraph (n-ary). A hypergraph H = (V, E) lets each hyperedge e ∈ E bind |e| = k vertices at once (a k-ary relation); k = 2 recovers an ordinary graph. d̄ denotes the mean arity.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Incidence &amp; star expansion. The Levi / Berge incidence is the signed vertex×hyperedge matrix B ∈ {−1, 0, +1} — equivalently the bipartite ‘star’ expansion with one hub per hyperedge; size O(|E|·d̄).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Clique expansion. Replacing each hyperedge by a clique gives a vertex×vertex matrix of size O(|E|·d̄²) — the quadratic blow-up the star expansion avoids.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Walks &amp; cycles. A k-walk is an open length-k path; a k-cycle is closed (returns to its start). A cycle's sign is the product of its edge signs; structural balance (Cartwright–Harary) reads a missing edge's sign from the cycles through it.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Kolmogorov–Arnold representation. Any continuous f(x₁,…,xₙ) = Σ_q Φ_q( Σ_p ψ_{q,p}(x_p) ); a KAN learns the univariate ψ as splines. HSiKAN places learnable Catmull–Rom splines on the signed cycle/walk tuples.</w:t>
      </w:r>
    </w:p>
    <w:p>
      <w:pPr>
        <w:spacing w:after="20" w:before="60"/>
        <w:jc w:val="center"/>
      </w:pPr>
      <w:r>
        <w:drawing>
          <wp:inline distT="0" distB="0" distL="0" distR="0">
            <wp:extent cx="4095750" cy="2009775"/>
            <wp:effectExtent t="0" r="0" b="0" l="0"/>
            <wp:docPr id="1" name="figure" descr="img/levi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Figure 3 — A signed hypergraph (hyperedges e_a, e_b over v₁…v₅) and its Levi / Berge incidence — the star expansion (green +, red −).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876300"/>
            <wp:effectExtent t="0" r="0" b="0" l="0"/>
            <wp:docPr id="1" name="figure" descr="img/kcw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Figure 4 — A k-cycle (closed) and a k-walk (open); a cycle's sign is the product of its edge signs.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1343025"/>
            <wp:effectExtent t="0" r="0" b="0" l="0"/>
            <wp:docPr id="1" name="figure" descr="img/cr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Figure 5 — A learnable Catmull–Rom spline activation (vs a fixed ReLU) — the KAN primitive.</w:t>
      </w:r>
    </w:p>
    <w:p>
      <w:pPr>
        <w:pStyle w:val="Heading2"/>
      </w:pPr>
      <w:r>
        <w:t xml:space="preserve">How it works — the pipeline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Author — write a declarative .hymeko source; geometry, colours and vocabulary are reused by reference, not duplicated.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Compile — a SIMD lexer and an LALRPOP parser produce one canonical hypergraph IR with a Blake3 content-hash identity.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Represent — one query-and-template engine emits URDF, SDF, MJCF, SysML v2, ROS 2 launch, DOT, Mermaid and a PyTorch module from that IR, cross-view consistent.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Stream — the O(|E|·d) star expansion goes zero-copy to PyTorch (Iceoryx2 / Arrow / DLPack); a topology-hash gate (&lt;100 µs) separates structure from weights.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Enumerate — signed k-cycles and k-walks over the training edges become the structural tuples (c3 · c4 · c5 · w2 · w3).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Learn — SignedKAN → HSiKAN → Gömb (Clifford-FIR → HSiKAN-CR → CPML) with learnable Catmull–Rom splines, a per-edge CR highway (edge_cr) and quaternion sign-attention.</w:t>
      </w:r>
    </w:p>
    <w:p>
      <w:pPr>
        <w:pStyle w:val="ListParagraph"/>
        <w:numPr>
          <w:ilvl w:val="0"/>
          <w:numId w:val="3"/>
        </w:numPr>
        <w:spacing w:after="36"/>
      </w:pPr>
      <w:r>
        <w:t xml:space="preserve">Audit — a leakage-audited strict protocol: the cycle pool never sees a test-edge sign; label-shuffle collapses to chance (0.540); 5-seed paired-Δ.</w:t>
      </w:r>
    </w:p>
    <w:p>
      <w:pPr>
        <w:spacing w:after="120"/>
        <w:jc w:val="both"/>
      </w:pPr>
      <w:r>
        <w:t xml:space="preserve">HyMeKo takes the hypergraph as a first-class object: a hyperedge binds several vertices at once, so n-ary relations keep their identity (no clique blow-up).</w:t>
      </w:r>
    </w:p>
    <w:p>
      <w:pPr>
        <w:spacing w:after="20" w:before="60"/>
        <w:jc w:val="center"/>
      </w:pPr>
      <w:r>
        <w:drawing>
          <wp:inline distT="0" distB="0" distL="0" distR="0">
            <wp:extent cx="3429000" cy="3133725"/>
            <wp:effectExtent t="0" r="0" b="0" l="0"/>
            <wp:docPr id="1" name="figure" descr="img/hg_gallery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Figure 2 — Typical hypergraphs: vertices (•) and hyperedges as coloured sets (Fano plane, a generic hypergraph, K₄⁽³⁾, sunflower). Each is a .hymeko fixture; edge labels match the source.</w:t>
      </w:r>
    </w:p>
    <w:p>
      <w:pPr>
        <w:pStyle w:val="Heading2"/>
      </w:pPr>
      <w:r>
        <w:t xml:space="preserve">Part I — The framework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Declarative DSL with reuse by reference: a geometry (and colour) defined once, referenced by both visual and collision; the kinematics vocabulary imported once, not inlined.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Canonical hypergraph IR with a Blake3 content-hash identity — isomorphic descriptions share one structural fingerprint.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One query-and-template engine emits URDF, SDF, MJCF, SysML v2, ROS 2 launch, DOT, Mermaid and a PyTorch module — cross-view consistent, no recompile per target.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Zero-copy bridge to PyTorch via Iceoryx2 / Arrow / DLPack, with a topology-hash gate (&lt;100 µs) separating structure from weights.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3000"/>
        <w:gridCol w:w="3000"/>
      </w:tblGrid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Non-zeros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Extraction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Star — O(|E|·d)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1,498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79.7 ms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Clique — O(|E|·d²)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10,991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496 ms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Table 1 — Star vs clique materialisation on the same 50-node / 50-edge / 0.30-density hypergraph.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200"/>
        <w:gridCol w:w="2200"/>
        <w:gridCol w:w="220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Kinematic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HyMeKo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MuJoCo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2-joint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91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SCARA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129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6-DoF arm (kinematics)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2,779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5,088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1,733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Table 2 — Source size (characters), same robot. HyMeKo reuses geometry/colours by reference; URDF duplicates visual + collision. Full 6-DoF + control: one .hymeko file (6,134) vs a ROS/Gazebo bundle (~10 k across ~4 files).</w:t>
      </w:r>
    </w:p>
    <w:p>
      <w:pPr>
        <w:pStyle w:val="Heading2"/>
      </w:pPr>
      <w:r>
        <w:t xml:space="preserve">Part II — Learning from structure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Enumerated signed k-cycles and k-walks become inductive features (tuples). Examples — k-cycle (closed): c3 = a→⁺b→⁻c→⁺a, c4 = a→⁺b→⁻c→⁺d→⁻a; k-walk (open): w2 = a→⁺b→⁻c, w3 = a→⁺b→⁻c→⁺d.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The SignedKAN → HSiKAN → Gömb family replaces fixed activations with learnable Kolmogorov–Arnold (Catmull–Rom) splines; HSiKAN adds an arity mixer, a per-edge Catmull–Rom highway (edge_cr) and quaternion sign-attention.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Gömb is a strict three-shell cascade — Clifford-FIR (quaternion / multivector signed filter) → HSiKAN-CR → CPML (cycle-pool message layer) — with the cycle pool enumerated over training edges only.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A vision variant adds Clifford-FIR / quaternion machinery with Forman–Ricci curvature and Hodge decomposition (∂²=0, 1-homology, discrete Ricci flow).</w:t>
      </w:r>
    </w:p>
    <w:p>
      <w:pPr>
        <w:spacing w:after="20" w:before="60"/>
        <w:jc w:val="center"/>
      </w:pPr>
      <w:r>
        <w:drawing>
          <wp:inline distT="0" distB="0" distL="0" distR="0">
            <wp:extent cx="4476750" cy="2724150"/>
            <wp:effectExtent t="0" r="0" b="0" l="0"/>
            <wp:docPr id="1" name="figure" descr="img/gomb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Figure 3 — The Gömb structural-prior cascade (Clifford-FIR → HSiKAN-CR → CPML).</w:t>
      </w:r>
    </w:p>
    <w:p>
      <w:pPr>
        <w:pStyle w:val="Heading2"/>
      </w:pPr>
      <w:r>
        <w:t xml:space="preserve">Key results (honest framing)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Competitive-to-leading at ≈¼ of the parameters, with the genuine lead on Epinions — not a flat SOTA claim. (Under the field's transductive convention, tuned configs reach 0.996 / 0.993 on Bitcoin.)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Efficiency: ~30k parameters; the win is accuracy-per-parameter. Within-family forward gap (h4 vs h16, same device) ~3.5× on CPU, ≈1× on CUDA.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Transfer: HyMeYOLO reaches mAP50 ≈ 0.90 (a statistical tie with a ReLU backbone) — an approach to hypergraph convolution, not a benchmark win. Kinematics recovered from topology alone to ≈5 cm.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Methodology: label-shuffle leakage diagnostic (Gömb → 0.540 = chance); 5-seed paired-Δ; every number maps to an on-disk artifact.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2700"/>
        <w:gridCol w:w="2100"/>
        <w:gridCol w:w="2100"/>
      </w:tblGrid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Gömb-strict (ours)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SGCN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SiGAT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0.897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0.903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Bitcoin-OTC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0.915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0.932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Slashdot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0.902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0.919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Epinions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0.943 (FT 0.953)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≈0.95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Table 3 — Signed-graph link prediction, held-out test ROC-AUC (5-seed, Gömb-strict). Baselines are published numbers.</w:t>
      </w:r>
    </w:p>
    <w:p>
      <w:pPr>
        <w:pStyle w:val="Heading2"/>
      </w:pPr>
      <w:r>
        <w:t xml:space="preserve">New result — Cayley-rotor embeddings (2026-06-16)</w:t>
      </w:r>
    </w:p>
    <w:p>
      <w:pPr>
        <w:spacing w:after="120"/>
        <w:jc w:val="both"/>
      </w:pPr>
      <w:r>
        <w:t xml:space="preserve">A flat-parameter, inductive, leakage-free embedding: each item embedding is a learned rotation (a Clifford rotor via the Cayley map) of one shared reference on a sphere — no per-node lookup table. It matches a growing-parameter baseline (DADSGNN) at ~9–16× fewer parameters, and label-shuffle collapses it to chance (~0.50).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1533525"/>
            <wp:effectExtent t="0" r="0" b="0" l="0"/>
            <wp:docPr id="1" name="figure" descr="img/rotor_sphere.png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Figure 5 — The rotor embedding: each item is a rotation of one reference on a sphere; the angle is the similarity.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900"/>
        <w:gridCol w:w="2100"/>
        <w:gridCol w:w="1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Rotor AUROC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Rotor params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DADSGNN AUROC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DADSGNN params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0.867 ± 0.011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15.8k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0.860 ± 0.011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142k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Bitcoin-OTC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0.894 ± 0.006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15.8k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0.880 ± 0.007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209k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wiki_elec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01A40"/>
                <w:sz w:val="19"/>
                <w:szCs w:val="19"/>
              </w:rPr>
              <w:t xml:space="preserve">0.885 ± 0.002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15.8k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0.896 ± 0.007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01A40"/>
                <w:sz w:val="19"/>
                <w:szCs w:val="19"/>
              </w:rPr>
              <w:t xml:space="preserve">249k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6B6690"/>
          <w:sz w:val="16"/>
          <w:szCs w:val="16"/>
        </w:rPr>
        <w:t xml:space="preserve">Table 4 — Signed-link test ROC-AUC, 5 seeds. Rotor is parameter-flat; the baseline grows. Source: reports/rotor_multiseed_20260616.jsonl.</w:t>
      </w:r>
    </w:p>
    <w:p>
      <w:pPr>
        <w:pStyle w:val="Heading2"/>
      </w:pPr>
      <w:r>
        <w:t xml:space="preserve">Contributions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A canonical hypergraph infrastructure — a DSL plus a content-hashed IR; one source, many targets.</w:t>
      </w:r>
    </w:p>
    <w:p>
      <w:pPr>
        <w:pStyle w:val="ListParagraph"/>
        <w:numPr>
          <w:ilvl w:val="0"/>
          <w:numId w:val="2"/>
        </w:numPr>
        <w:spacing w:after="36"/>
      </w:pPr>
      <w:r>
        <w:t xml:space="preserve">A structural-prior learning family — cycles and walks as inductive features (SignedKAN / HSiKAN / Gömb), strictly leakage-audited. The same IR is both the engineering transform and the learning substrate.</w:t>
      </w:r>
    </w:p>
    <w:p>
      <w:pPr>
        <w:spacing w:after="120"/>
        <w:jc w:val="both"/>
      </w:pPr>
      <w:r>
        <w:t xml:space="preserve">Co-authors: László Környei, Katalin Kovács, Ádám Csapó, and others.</w:t>
      </w:r>
    </w:p>
    <w:p>
      <w:pPr>
        <w:pStyle w:val="Heading2"/>
      </w:pPr>
      <w:r>
        <w:t xml:space="preserve">Contact</w:t>
      </w:r>
    </w:p>
    <w:p>
      <w:pPr>
        <w:spacing w:before="40"/>
      </w:pPr>
      <w:r>
        <w:t xml:space="preserve">Csaba Hajdu  ·  Kato Laboratory.   Code &amp; docs: </w:t>
      </w:r>
      <w:hyperlink w:history="1" r:id="rIdxvio50tuukufqwce9wf7r">
        <w:r>
          <w:rPr>
            <w:rStyle w:val="Hyperlink"/>
          </w:rPr>
          <w:t xml:space="preserve">github.com/kyberszittya/hymeko_framework_rust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A0"/>
        <w:sz w:val="16"/>
        <w:szCs w:val="16"/>
      </w:rPr>
      <w:t xml:space="preserve">HyMeKo · PhD Seminar handout   ·   </w:t>
    </w:r>
    <w:r>
      <w:rPr>
        <w:color w:val="9090A0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Arial" w:cs="Arial" w:eastAsia="Arial" w:hAnsi="Arial"/>
      <w:b/>
      <w:bCs/>
      <w:color w:val="201A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vio50tuukufqwce9wf7r" Type="http://schemas.openxmlformats.org/officeDocument/2006/relationships/hyperlink" Target="https://github.com/kyberszittya/hymeko_framework_rust" TargetMode="External"/><Relationship Id="rId8" Type="http://schemas.openxmlformats.org/officeDocument/2006/relationships/image" Target="media/0fe9145370c0c79a67d0f6c7ef1f23638946c63c.png"/><Relationship Id="rId9" Type="http://schemas.openxmlformats.org/officeDocument/2006/relationships/image" Target="media/1a014511d8b870ffab1f9e8b2441146665ff1efd.png"/><Relationship Id="rId10" Type="http://schemas.openxmlformats.org/officeDocument/2006/relationships/image" Target="media/55abe043e6f063b92c9d578850287a5ba10d83e0.png"/><Relationship Id="rId11" Type="http://schemas.openxmlformats.org/officeDocument/2006/relationships/image" Target="media/d9a8a14046c0a5cfc93ee13178caa7348f279254.png"/><Relationship Id="rId12" Type="http://schemas.openxmlformats.org/officeDocument/2006/relationships/image" Target="media/e8edd41893ec6eccdc1768ce11eaee91a716f633.png"/><Relationship Id="rId13" Type="http://schemas.openxmlformats.org/officeDocument/2006/relationships/image" Target="media/1e5a221016ab17e6130baab55daf61235777efdf.png"/><Relationship Id="rId14" Type="http://schemas.openxmlformats.org/officeDocument/2006/relationships/image" Target="media/ae4fe1a860d2c67c8e1523ee8da65ddb55e95f7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2026-06-17T04:42:51.964Z</dcterms:created>
  <dcterms:modified xsi:type="dcterms:W3CDTF">2026-06-17T04:42:51.969Z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