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0A21B" w:sz="6" w:space="6"/>
          <w:bottom w:val="single" w:color="E0A21B" w:sz="6" w:space="6"/>
          <w:left w:val="single" w:color="E0A21B" w:sz="6" w:space="6"/>
          <w:right w:val="single" w:color="E0A21B" w:sz="6" w:space="6"/>
        </w:pBdr>
        <w:shd w:fill="FFF4D6" w:val="clear"/>
        <w:spacing w:after="160"/>
      </w:pPr>
      <w:r>
        <w:rPr>
          <w:b/>
          <w:bCs/>
          <w:color w:val="7A5A00"/>
          <w:sz w:val="20"/>
          <w:szCs w:val="20"/>
        </w:rPr>
        <w:t xml:space="preserve">【ご注意】本ハンドアウトは機械翻訳によるものです。正確な内容については英語版を正としてご参照ください。</w:t>
      </w:r>
    </w:p>
    <w:p>
      <w:pPr>
        <w:pStyle w:val="Heading1"/>
        <w:spacing w:after="60"/>
      </w:pPr>
      <w:r>
        <w:t xml:space="preserve">HyMeKo：構造化システムの表現と学習のための単一ハイパーグラフ基盤</w:t>
      </w:r>
    </w:p>
    <w:p>
      <w:pPr>
        <w:spacing w:after="40"/>
      </w:pPr>
      <w:r>
        <w:rPr>
          <w:i/>
          <w:iCs/>
          <w:color w:val="4B2E83"/>
          <w:sz w:val="22"/>
          <w:szCs w:val="22"/>
        </w:rPr>
        <w:t xml:space="preserve">宣言的なハイパーグラフ構造から、構造事前情報に基づく学習へ。</w:t>
      </w:r>
    </w:p>
    <w:p>
      <w:pPr>
        <w:spacing w:after="160"/>
      </w:pPr>
      <w:r>
        <w:rPr>
          <w:color w:val="6B6690"/>
          <w:sz w:val="18"/>
          <w:szCs w:val="18"/>
        </w:rPr>
        <w:t xml:space="preserve">博士セミナー  ·  加藤研究室  ·  Csaba Hajdu  ·  2026年6月</w:t>
      </w:r>
    </w:p>
    <w:p>
      <w:pPr>
        <w:pStyle w:val="Heading2"/>
      </w:pPr>
      <w:r>
        <w:t xml:space="preserve">概要</w:t>
      </w:r>
    </w:p>
    <w:p>
      <w:pPr>
        <w:spacing w:after="120"/>
        <w:jc w:val="both"/>
      </w:pPr>
      <w:r>
        <w:t xml:space="preserve">我々が扱う構造化システム（ロボット機構、符号付きの信頼・感情ネットワーク、化学プロセス、ニューラルなデータフロー）は本質的に n 項関係である。これらを二項グラフへ落とし込むと各関係の同一性が失われ、表現は O(|E|·d²) に膨張する。HyMeKo は、表現と学習の双方を担う単一の正準ハイパーグラフ基盤でこれに対処する。すなわち、フレームワークがコンパイルする構造と、モデルが推論する構造が同一になる。宣言的言語は内容ハッシュ付きのハイパーグラフ中間表現（IR）へコンパイルされ、単一のクエリ＋テンプレートエンジンが URDF・SDF・MJCF・SysML v2・PyTorch をビュー間整合性を保って出力し、O(|E|·d) のスター展開はゼロコピーで GPU へ流れる。学習は列挙された符号付きサイクルとウォークにより駆動され、SignedKAN・HSiKAN・Gömb の系列が Kolmogorov–Arnold スプライン活性化で構造を帰納的事前情報へ変える。すべてリーク検査済みの厳格なプロトコルで評価する。</w:t>
      </w:r>
    </w:p>
    <w:p>
      <w:pPr>
        <w:pStyle w:val="Heading2"/>
      </w:pPr>
      <w:r>
        <w:t xml:space="preserve">単一基盤、二つの成果</w:t>
      </w:r>
    </w:p>
    <w:p>
      <w:pPr>
        <w:spacing w:after="120"/>
        <w:jc w:val="both"/>
      </w:pPr>
      <w:r>
        <w:t xml:space="preserve">宣言的な .hymeko ソースは、SIMD レキサと LALRPOP パーサを経て、Blake3 内容ハッシュによる同一性を持つ単一の正準ハイパーグラフ IR へコンパイルされる。この単一 IR から、多数のターゲット形式の出力と、構造事前情報に基づく学習スタックへの供給の双方が行われる。</w:t>
      </w:r>
    </w:p>
    <w:p>
      <w:pPr>
        <w:spacing w:after="20" w:before="60"/>
        <w:jc w:val="center"/>
      </w:pPr>
      <w:r>
        <w:drawing>
          <wp:inline distT="0" distB="0" distL="0" distR="0">
            <wp:extent cx="6286500" cy="3057525"/>
            <wp:effectExtent t="0" r="0" b="0" l="0"/>
            <wp:docPr id="1" name="figure" descr="img/workflow.png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B6690"/>
          <w:sz w:val="16"/>
          <w:szCs w:val="16"/>
        </w:rPr>
        <w:t xml:space="preserve">図1 — HyMeKo のワークフロー：単一ソース → 単一の正準 IR → 二つの成果（表現・変換／構造からの学習）。</w:t>
      </w:r>
    </w:p>
    <w:p>
      <w:pPr>
        <w:pStyle w:val="Heading2"/>
      </w:pPr>
      <w:r>
        <w:t xml:space="preserve">数学的準備</w:t>
      </w:r>
    </w:p>
    <w:p>
      <w:pPr>
        <w:spacing w:after="120"/>
        <w:jc w:val="both"/>
      </w:pPr>
      <w:r>
        <w:t xml:space="preserve">発表全体で用いる対象の簡潔なまとめ。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グラフと符号付きグラフ。グラフ G = (V, E) は頂点 V と二項辺 E ⊆ V×V から成る。符号付きグラフはこれに σ: E → {+, −}（信頼／不信、好き／嫌い）を加える。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ハイパーグラフ（n 項）。ハイパーグラフ H = (V, E) では、各ハイパーエッジ e ∈ E が一度に |e| = k 個の頂点を束ねる（k 項関係）。k = 2 で通常のグラフに戻る。d̄ は平均アリティ。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接続行列とスター展開。Levi / Berge 接続は符号付きの頂点×ハイパーエッジ行列 B ∈ {−1, 0, +1} であり、ハイパーエッジごとに 1 つのハブを持つ二部「スター」展開に等しい。サイズは O(|E|·d̄)。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クリーク展開。各ハイパーエッジをクリークに置き換えると頂点×頂点行列となり、サイズは O(|E|·d̄²) — スター展開が回避する二次の膨張。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ウォークとサイクル。k-ウォークは長さ k の開いた経路、k-サイクルは閉じた（始点に戻る）経路。サイクルの符号は辺の符号の積であり、構造的バランス（Cartwright–Harary）は欠損辺の符号をそれを通るサイクルから読む。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Kolmogorov–Arnold 表現。任意の連続関数は f(x₁,…,xₙ) = Σ_q Φ_q( Σ_p ψ_{q,p}(x_p) ) と書ける。KAN は一変数 ψ をスプラインとして学習する。HSiKAN は符号付きサイクル／ウォークのタプル上に学習可能な Catmull–Rom スプラインを置く。</w:t>
      </w:r>
    </w:p>
    <w:p>
      <w:pPr>
        <w:spacing w:after="20" w:before="60"/>
        <w:jc w:val="center"/>
      </w:pPr>
      <w:r>
        <w:drawing>
          <wp:inline distT="0" distB="0" distL="0" distR="0">
            <wp:extent cx="4095750" cy="2009775"/>
            <wp:effectExtent t="0" r="0" b="0" l="0"/>
            <wp:docPr id="1" name="figure" descr="img/levi.png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B6690"/>
          <w:sz w:val="16"/>
          <w:szCs w:val="16"/>
        </w:rPr>
        <w:t xml:space="preserve">図3 — 符号付きハイパーグラフ（v₁…v₅ 上のハイパーエッジ e_a, e_b）と、その Levi / Berge 接続（スター展開）。緑 +、赤 −。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876300"/>
            <wp:effectExtent t="0" r="0" b="0" l="0"/>
            <wp:docPr id="1" name="figure" descr="img/kcw.png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B6690"/>
          <w:sz w:val="16"/>
          <w:szCs w:val="16"/>
        </w:rPr>
        <w:t xml:space="preserve">図4 — k-サイクル（閉）と k-ウォーク（開）。サイクルの符号は辺の符号の積。</w:t>
      </w:r>
    </w:p>
    <w:p>
      <w:pPr>
        <w:spacing w:after="20" w:before="60"/>
        <w:jc w:val="center"/>
      </w:pPr>
      <w:r>
        <w:drawing>
          <wp:inline distT="0" distB="0" distL="0" distR="0">
            <wp:extent cx="2857500" cy="1343025"/>
            <wp:effectExtent t="0" r="0" b="0" l="0"/>
            <wp:docPr id="1" name="figure" descr="img/cr.png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B6690"/>
          <w:sz w:val="16"/>
          <w:szCs w:val="16"/>
        </w:rPr>
        <w:t xml:space="preserve">図5 — 学習可能な Catmull–Rom スプライン活性化（固定 ReLU との対比）— KAN の基本要素。</w:t>
      </w:r>
    </w:p>
    <w:p>
      <w:pPr>
        <w:pStyle w:val="Heading2"/>
      </w:pPr>
      <w:r>
        <w:t xml:space="preserve">仕組み — パイプライン</w:t>
      </w:r>
    </w:p>
    <w:p>
      <w:pPr>
        <w:pStyle w:val="ListParagraph"/>
        <w:numPr>
          <w:ilvl w:val="0"/>
          <w:numId w:val="3"/>
        </w:numPr>
        <w:spacing w:after="36"/>
      </w:pPr>
      <w:r>
        <w:t xml:space="preserve">記述 — 宣言的な .hymeko ソースを書く。ジオメトリ・色・語彙は重複させず参照で再利用する。</w:t>
      </w:r>
    </w:p>
    <w:p>
      <w:pPr>
        <w:pStyle w:val="ListParagraph"/>
        <w:numPr>
          <w:ilvl w:val="0"/>
          <w:numId w:val="3"/>
        </w:numPr>
        <w:spacing w:after="36"/>
      </w:pPr>
      <w:r>
        <w:t xml:space="preserve">コンパイル — SIMD レキサと LALRPOP パーサが、Blake3 内容ハッシュによる同一性を持つ単一の正準ハイパーグラフ IR を生成する。</w:t>
      </w:r>
    </w:p>
    <w:p>
      <w:pPr>
        <w:pStyle w:val="ListParagraph"/>
        <w:numPr>
          <w:ilvl w:val="0"/>
          <w:numId w:val="3"/>
        </w:numPr>
        <w:spacing w:after="36"/>
      </w:pPr>
      <w:r>
        <w:t xml:space="preserve">表現 — 単一のクエリ＋テンプレートエンジンが、その IR から URDF・SDF・MJCF・SysML v2・ROS 2 launch・DOT・Mermaid・PyTorch をビュー間整合で出力する。</w:t>
      </w:r>
    </w:p>
    <w:p>
      <w:pPr>
        <w:pStyle w:val="ListParagraph"/>
        <w:numPr>
          <w:ilvl w:val="0"/>
          <w:numId w:val="3"/>
        </w:numPr>
        <w:spacing w:after="36"/>
      </w:pPr>
      <w:r>
        <w:t xml:space="preserve">ストリーム — O(|E|·d) のスター展開を PyTorch へゼロコピー（Iceoryx2 / Arrow / DLPack）。トポロジハッシュのゲート（&lt;100µs）が構造と重みを分離する。</w:t>
      </w:r>
    </w:p>
    <w:p>
      <w:pPr>
        <w:pStyle w:val="ListParagraph"/>
        <w:numPr>
          <w:ilvl w:val="0"/>
          <w:numId w:val="3"/>
        </w:numPr>
        <w:spacing w:after="36"/>
      </w:pPr>
      <w:r>
        <w:t xml:space="preserve">列挙 — 訓練エッジ上の符号付き k-サイクルと k-ウォークが構造タプル（c3・c4・c5・w2・w3）になる。</w:t>
      </w:r>
    </w:p>
    <w:p>
      <w:pPr>
        <w:pStyle w:val="ListParagraph"/>
        <w:numPr>
          <w:ilvl w:val="0"/>
          <w:numId w:val="3"/>
        </w:numPr>
        <w:spacing w:after="36"/>
      </w:pPr>
      <w:r>
        <w:t xml:space="preserve">学習 — SignedKAN → HSiKAN → Gömb（Clifford-FIR → HSiKAN-CR → CPML）。学習可能な Catmull–Rom スプライン、エッジごとの CR ハイウェイ（edge_cr）、四元数符号アテンションを用いる。</w:t>
      </w:r>
    </w:p>
    <w:p>
      <w:pPr>
        <w:pStyle w:val="ListParagraph"/>
        <w:numPr>
          <w:ilvl w:val="0"/>
          <w:numId w:val="3"/>
        </w:numPr>
        <w:spacing w:after="36"/>
      </w:pPr>
      <w:r>
        <w:t xml:space="preserve">監査 — リーク検査済みの厳格なプロトコル：サイクルプールはテストエッジの符号を見ない。ラベルシャッフルで偶然（0.540）まで低下、5シード対応差。</w:t>
      </w:r>
    </w:p>
    <w:p>
      <w:pPr>
        <w:spacing w:after="120"/>
        <w:jc w:val="both"/>
      </w:pPr>
      <w:r>
        <w:t xml:space="preserve">HyMeKo はハイパーグラフを第一級の対象として扱う。1 本のハイパーエッジが複数の頂点を同時に束ねるため、n 項関係はその同一性を保つ（クリーク膨張がない）。</w:t>
      </w:r>
    </w:p>
    <w:p>
      <w:pPr>
        <w:spacing w:after="20" w:before="60"/>
        <w:jc w:val="center"/>
      </w:pPr>
      <w:r>
        <w:drawing>
          <wp:inline distT="0" distB="0" distL="0" distR="0">
            <wp:extent cx="3429000" cy="3133725"/>
            <wp:effectExtent t="0" r="0" b="0" l="0"/>
            <wp:docPr id="1" name="figure" descr="img/hg_gallery.png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B6690"/>
          <w:sz w:val="16"/>
          <w:szCs w:val="16"/>
        </w:rPr>
        <w:t xml:space="preserve">図2 — 代表的なハイパーグラフ：頂点（•）と、色付き集合で表したハイパーエッジ（Fano 平面、一般のハイパーグラフ、K₄⁽³⁾、ひまわり）。各々 .hymeko フィクスチャで、エッジラベルはソースに対応。</w:t>
      </w:r>
    </w:p>
    <w:p>
      <w:pPr>
        <w:pStyle w:val="Heading2"/>
      </w:pPr>
      <w:r>
        <w:t xml:space="preserve">第 I 部 — フレームワーク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参照による再利用を備えた宣言的 DSL：ジオメトリ（と色）を一度だけ定義し、visual と collision の両方から参照。運動学の語彙はインライン展開せず一度だけインポート。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Blake3 内容ハッシュによる同一性を持つ正準ハイパーグラフ IR — 同型な記述は単一の構造的フィンガープリントを共有。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単一のクエリ＋テンプレートエンジンが URDF・SDF・MJCF・SysML v2・ROS 2 launch・DOT・Mermaid・PyTorch を出力。ビュー間で整合し、ターゲットごとの再コンパイルは不要。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Iceoryx2 / Arrow / DLPack による PyTorch へのゼロコピー連携。トポロジハッシュのゲート（&lt;100µs）が構造と重みを分離。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3000"/>
        <w:gridCol w:w="3000"/>
      </w:tblGrid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材料化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非ゼロ要素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抽出時間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スター — O(|E|·d)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01A40"/>
                <w:sz w:val="19"/>
                <w:szCs w:val="19"/>
              </w:rPr>
              <w:t xml:space="preserve">1,498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79.7 ms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クリーク — O(|E|·d²)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01A40"/>
                <w:sz w:val="19"/>
                <w:szCs w:val="19"/>
              </w:rPr>
              <w:t xml:space="preserve">10,991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496 ms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6B6690"/>
          <w:sz w:val="16"/>
          <w:szCs w:val="16"/>
        </w:rPr>
        <w:t xml:space="preserve">表1 — 同一の 50ノード / 50エッジ / 密度0.30 のハイパーグラフでのスター対クリーク材料化。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2200"/>
        <w:gridCol w:w="2200"/>
        <w:gridCol w:w="2200"/>
      </w:tblGrid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運動学構造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HyMeKo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URDF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MuJoCo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2-joint connection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01A40"/>
                <w:sz w:val="19"/>
                <w:szCs w:val="19"/>
              </w:rPr>
              <w:t xml:space="preserve">71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164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91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SCARA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01A40"/>
                <w:sz w:val="19"/>
                <w:szCs w:val="19"/>
              </w:rPr>
              <w:t xml:space="preserve">101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252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129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6-DoF arm (kinematics)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01A40"/>
                <w:sz w:val="19"/>
                <w:szCs w:val="19"/>
              </w:rPr>
              <w:t xml:space="preserve">2,779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5,088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1,733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6B6690"/>
          <w:sz w:val="16"/>
          <w:szCs w:val="16"/>
        </w:rPr>
        <w:t xml:space="preserve">表2 — 同一ロボットのソース文字数。HyMeKo はジオメトリ／色を参照で再利用し、URDF は visual と collision を重複記述。完全な 6-DoF＋制御：単一 .hymeko ファイル（6,134）対 ROS/Gazebo バンドル（約4ファイルで約10k）。</w:t>
      </w:r>
    </w:p>
    <w:p>
      <w:pPr>
        <w:pStyle w:val="Heading2"/>
      </w:pPr>
      <w:r>
        <w:t xml:space="preserve">第 II 部 — 構造からの学習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列挙された符号付き k-サイクルと k-ウォークが帰納的特徴（タプル）になる。例 — k-サイクル（閉）：c3 = a→⁺b→⁻c→⁺a、c4 = a→⁺b→⁻c→⁺d→⁻a；k-ウォーク（開）：w2 = a→⁺b→⁻c、w3 = a→⁺b→⁻c→⁺d。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SignedKAN → HSiKAN → Gömb の系列は固定活性化を学習可能な Kolmogorov–Arnold（Catmull–Rom）スプラインで置換。HSiKAN はアリティ混合器、エッジごとの Catmull–Rom ハイウェイ（edge_cr）、四元数符号アテンションを追加。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Gömb は厳格な三シェルのカスケード — Clifford-FIR（四元数／多元数の符号付きフィルタ）→ HSiKAN-CR → CPML（サイクルプール・メッセージ層）— で、サイクルプールは訓練エッジのみで列挙する。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視覚向け変種は Forman–Ricci 曲率と Hodge 分解（∂²=0、1次ホモロジー、離散リッチフロー）を伴う Clifford-FIR / 四元数機構を追加。</w:t>
      </w:r>
    </w:p>
    <w:p>
      <w:pPr>
        <w:spacing w:after="20" w:before="60"/>
        <w:jc w:val="center"/>
      </w:pPr>
      <w:r>
        <w:drawing>
          <wp:inline distT="0" distB="0" distL="0" distR="0">
            <wp:extent cx="4476750" cy="2724150"/>
            <wp:effectExtent t="0" r="0" b="0" l="0"/>
            <wp:docPr id="1" name="figure" descr="img/gomb.png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B6690"/>
          <w:sz w:val="16"/>
          <w:szCs w:val="16"/>
        </w:rPr>
        <w:t xml:space="preserve">図3 — Gömb の構造事前情報カスケード（Clifford-FIR → HSiKAN-CR → CPML）。</w:t>
      </w:r>
    </w:p>
    <w:p>
      <w:pPr>
        <w:pStyle w:val="Heading2"/>
      </w:pPr>
      <w:r>
        <w:t xml:space="preserve">主な結果（誠実な提示）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低コスト（パラメータ約 1/4）で競争力があり一部最先端、Epinions では真に優位 — 一律の SOTA 主張ではない。（transductive 慣行では調整済み構成が Bitcoin で 0.996 / 0.993。）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効率：約 30k パラメータ。強みはパラメータあたり精度。系列内の順伝播差（h4 対 h16、同一デバイス）は CPU 約 3.5 倍、CUDA 約 1 倍。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転移：HyMeYOLO は mAP50 ≈ 0.90（ReLU バックボーンと統計的に同等）— ベンチマーク勝利ではなくハイパーグラフ畳み込みの一手法。運動学はトポロジのみから約 5cm で復元。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方法論：ラベルシャッフルによるリーク診断（Gömb → 0.540 = 偶然）、5シード対応差、全数値がディスク上の成果物に対応。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2700"/>
        <w:gridCol w:w="2100"/>
        <w:gridCol w:w="2100"/>
      </w:tblGrid>
      <w:tr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データセット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Gömb-strict（本研究）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SGCN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SiGAT</w:t>
            </w:r>
          </w:p>
        </w:tc>
      </w:tr>
      <w:tr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Bitcoin-α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01A40"/>
                <w:sz w:val="19"/>
                <w:szCs w:val="19"/>
              </w:rPr>
              <w:t xml:space="preserve">0.897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0.929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0.903</w:t>
            </w:r>
          </w:p>
        </w:tc>
      </w:tr>
      <w:tr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Bitcoin-OTC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01A40"/>
                <w:sz w:val="19"/>
                <w:szCs w:val="19"/>
              </w:rPr>
              <w:t xml:space="preserve">0.915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0.942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0.932</w:t>
            </w:r>
          </w:p>
        </w:tc>
      </w:tr>
      <w:tr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Slashdot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01A40"/>
                <w:sz w:val="19"/>
                <w:szCs w:val="19"/>
              </w:rPr>
              <w:t xml:space="preserve">0.902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0.919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Epinions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01A40"/>
                <w:sz w:val="19"/>
                <w:szCs w:val="19"/>
              </w:rPr>
              <w:t xml:space="preserve">0.943 (FT 0.953)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≈0.95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6B6690"/>
          <w:sz w:val="16"/>
          <w:szCs w:val="16"/>
        </w:rPr>
        <w:t xml:space="preserve">表3 — 符号付きグラフのリンク予測、ホールドアウトtest ROC-AUC（5シード、Gömb-strict）。ベースラインは公表値。</w:t>
      </w:r>
    </w:p>
    <w:p>
      <w:pPr>
        <w:pStyle w:val="Heading2"/>
      </w:pPr>
      <w:r>
        <w:t xml:space="preserve">新しい結果 — Cayley ローター埋め込み（2026-06-16）</w:t>
      </w:r>
    </w:p>
    <w:p>
      <w:pPr>
        <w:spacing w:after="120"/>
        <w:jc w:val="both"/>
      </w:pPr>
      <w:r>
        <w:t xml:space="preserve">パラメータ一定・帰納的・リークのない埋め込み：各項目の埋め込みは、球面上の一つの共有基準ベクトルを（Cayley 写像による Clifford ローターで）学習回転したものであり、ノードごとの参照表を持たない。パラメータが増大するベースライン（DADSGNN）に対し約 9〜16 倍少ないパラメータで同等の性能を示し、ラベルシャッフルでは偶然（約 0.50）まで低下する。</w:t>
      </w:r>
    </w:p>
    <w:p>
      <w:pPr>
        <w:spacing w:after="20" w:before="60"/>
        <w:jc w:val="center"/>
      </w:pPr>
      <w:r>
        <w:drawing>
          <wp:inline distT="0" distB="0" distL="0" distR="0">
            <wp:extent cx="2857500" cy="1533525"/>
            <wp:effectExtent t="0" r="0" b="0" l="0"/>
            <wp:docPr id="1" name="figure" descr="img/rotor_sphere.png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B6690"/>
          <w:sz w:val="16"/>
          <w:szCs w:val="16"/>
        </w:rPr>
        <w:t xml:space="preserve">図5 — ローター埋め込み：各項目は球面上の一つの基準ベクトルの回転で、角度が類似度。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1900"/>
        <w:gridCol w:w="2100"/>
        <w:gridCol w:w="17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データセット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Rotor AUROC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Rotor パラメータ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DADSGNN AUROC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DADSGNN パラメータ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Bitcoin-α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01A40"/>
                <w:sz w:val="19"/>
                <w:szCs w:val="19"/>
              </w:rPr>
              <w:t xml:space="preserve">0.867 ± 0.011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15.8k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0.860 ± 0.011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142k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Bitcoin-OTC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01A40"/>
                <w:sz w:val="19"/>
                <w:szCs w:val="19"/>
              </w:rPr>
              <w:t xml:space="preserve">0.894 ± 0.006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15.8k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0.880 ± 0.007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209k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wiki_elec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01A40"/>
                <w:sz w:val="19"/>
                <w:szCs w:val="19"/>
              </w:rPr>
              <w:t xml:space="preserve">0.885 ± 0.002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15.8k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0.896 ± 0.007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249k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6B6690"/>
          <w:sz w:val="16"/>
          <w:szCs w:val="16"/>
        </w:rPr>
        <w:t xml:space="preserve">表4 — 符号付きリンク予測のtest ROC-AUC、5シード。ローターはパラメータ一定、ベースラインは増大。出典：reports/rotor_multiseed_20260616.jsonl。</w:t>
      </w:r>
    </w:p>
    <w:p>
      <w:pPr>
        <w:pStyle w:val="Heading2"/>
      </w:pPr>
      <w:r>
        <w:t xml:space="preserve">貢献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正準ハイパーグラフ基盤 — DSL と内容ハッシュ付き IR。単一ソースから多数のターゲットへ。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構造事前情報に基づく学習系列 — 帰納的特徴としてのサイクルとウォーク（SignedKAN / HSiKAN / Gömb）、厳格なリーク検査つき。同一の IR が工学的変換と学習基盤の双方を担う。</w:t>
      </w:r>
    </w:p>
    <w:p>
      <w:pPr>
        <w:spacing w:after="120"/>
        <w:jc w:val="both"/>
      </w:pPr>
      <w:r>
        <w:t xml:space="preserve">共著者：László Környei、Katalin Kovács、Ádám Csapó 他。</w:t>
      </w:r>
    </w:p>
    <w:p>
      <w:pPr>
        <w:pStyle w:val="Heading2"/>
      </w:pPr>
      <w:r>
        <w:t xml:space="preserve">連絡先</w:t>
      </w:r>
    </w:p>
    <w:p>
      <w:pPr>
        <w:spacing w:before="40"/>
      </w:pPr>
      <w:r>
        <w:t xml:space="preserve">Csaba Hajdu  ·  加藤研究室。   コードとドキュメント： </w:t>
      </w:r>
      <w:hyperlink w:history="1" r:id="rIdva7oxaas0yedapjj28ibo">
        <w:r>
          <w:rPr>
            <w:rStyle w:val="Hyperlink"/>
          </w:rPr>
          <w:t xml:space="preserve">github.com/kyberszittya/hymeko_framework_rust</w:t>
        </w:r>
      </w:hyperlink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090A0"/>
        <w:sz w:val="16"/>
        <w:szCs w:val="16"/>
      </w:rPr>
      <w:t xml:space="preserve">HyMeKo · 博士セミナー ハンドアウト   ·   </w:t>
    </w:r>
    <w:r>
      <w:rPr>
        <w:color w:val="9090A0"/>
        <w:sz w:val="16"/>
        <w:szCs w:val="16"/>
      </w:rPr>
      <w:t xml:space="preserve"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60"/>
      <w:outlineLvl w:val="0"/>
    </w:pPr>
    <w:rPr>
      <w:rFonts w:ascii="Yu Gothic" w:cs="Yu Gothic" w:eastAsia="Yu Gothic" w:hAnsi="Yu Gothic"/>
      <w:b/>
      <w:bCs/>
      <w:color w:val="201A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Yu Gothic" w:cs="Yu Gothic" w:eastAsia="Yu Gothic" w:hAnsi="Yu Gothic"/>
      <w:b/>
      <w:bCs/>
      <w:color w:val="2563E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va7oxaas0yedapjj28ibo" Type="http://schemas.openxmlformats.org/officeDocument/2006/relationships/hyperlink" Target="https://github.com/kyberszittya/hymeko_framework_rust" TargetMode="External"/><Relationship Id="rId8" Type="http://schemas.openxmlformats.org/officeDocument/2006/relationships/image" Target="media/0fe9145370c0c79a67d0f6c7ef1f23638946c63c.png"/><Relationship Id="rId9" Type="http://schemas.openxmlformats.org/officeDocument/2006/relationships/image" Target="media/1a014511d8b870ffab1f9e8b2441146665ff1efd.png"/><Relationship Id="rId10" Type="http://schemas.openxmlformats.org/officeDocument/2006/relationships/image" Target="media/55abe043e6f063b92c9d578850287a5ba10d83e0.png"/><Relationship Id="rId11" Type="http://schemas.openxmlformats.org/officeDocument/2006/relationships/image" Target="media/d9a8a14046c0a5cfc93ee13178caa7348f279254.png"/><Relationship Id="rId12" Type="http://schemas.openxmlformats.org/officeDocument/2006/relationships/image" Target="media/e8edd41893ec6eccdc1768ce11eaee91a716f633.png"/><Relationship Id="rId13" Type="http://schemas.openxmlformats.org/officeDocument/2006/relationships/image" Target="media/1e5a221016ab17e6130baab55daf61235777efdf.png"/><Relationship Id="rId14" Type="http://schemas.openxmlformats.org/officeDocument/2006/relationships/image" Target="media/ae4fe1a860d2c67c8e1523ee8da65ddb55e95f79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2026-06-17T04:42:52.074Z</dcterms:created>
  <dcterms:modified xsi:type="dcterms:W3CDTF">2026-06-17T04:42:52.074Z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