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2638C" w14:textId="6378690D" w:rsidR="00337011" w:rsidRPr="005417B7" w:rsidRDefault="00000000">
      <w:pPr>
        <w:spacing w:after="160"/>
        <w:jc w:val="center"/>
        <w:rPr>
          <w:rFonts w:ascii="Times New Roman" w:hAnsi="Times New Roman" w:cs="Times New Roman"/>
        </w:rPr>
      </w:pPr>
      <w:r w:rsidRPr="005417B7">
        <w:rPr>
          <w:rFonts w:ascii="Times New Roman" w:hAnsi="Times New Roman" w:cs="Times New Roman"/>
          <w:b/>
          <w:sz w:val="28"/>
        </w:rPr>
        <w:t xml:space="preserve">STROBE Statement Checklist </w:t>
      </w:r>
    </w:p>
    <w:p w14:paraId="19B1DD76" w14:textId="2359D327" w:rsidR="00337011" w:rsidRPr="005417B7" w:rsidRDefault="00000000" w:rsidP="000E533B">
      <w:pPr>
        <w:rPr>
          <w:rFonts w:ascii="Times New Roman" w:hAnsi="Times New Roman" w:cs="Times New Roman"/>
        </w:rPr>
      </w:pPr>
      <w:r w:rsidRPr="005417B7">
        <w:rPr>
          <w:rFonts w:ascii="Times New Roman" w:hAnsi="Times New Roman" w:cs="Times New Roman"/>
          <w:b/>
        </w:rPr>
        <w:t>Manuscript: "APOE ε4 Accelerates Plasma p-tau217 Trajectory: A Bayesian Joint Longitudinal Analysis of ADNI".</w:t>
      </w:r>
    </w:p>
    <w:p w14:paraId="5789A50C" w14:textId="09262736" w:rsidR="00337011" w:rsidRPr="005417B7" w:rsidRDefault="00000000" w:rsidP="000E533B">
      <w:pPr>
        <w:rPr>
          <w:rFonts w:ascii="Times New Roman" w:hAnsi="Times New Roman" w:cs="Times New Roman"/>
        </w:rPr>
      </w:pPr>
      <w:r w:rsidRPr="005417B7">
        <w:rPr>
          <w:rFonts w:ascii="Times New Roman" w:hAnsi="Times New Roman" w:cs="Times New Roman"/>
          <w:b/>
        </w:rPr>
        <w:t xml:space="preserve">Study design: </w:t>
      </w:r>
      <w:r w:rsidRPr="005417B7">
        <w:rPr>
          <w:rFonts w:ascii="Times New Roman" w:hAnsi="Times New Roman" w:cs="Times New Roman"/>
        </w:rPr>
        <w:t>Secondary analysis of a longitudinal observational cohort (ADNI 2026-05-</w:t>
      </w:r>
      <w:r w:rsidR="000E533B" w:rsidRPr="005417B7">
        <w:rPr>
          <w:rFonts w:ascii="Times New Roman" w:hAnsi="Times New Roman" w:cs="Times New Roman"/>
        </w:rPr>
        <w:t>24</w:t>
      </w:r>
      <w:r w:rsidRPr="005417B7">
        <w:rPr>
          <w:rFonts w:ascii="Times New Roman" w:hAnsi="Times New Roman" w:cs="Times New Roman"/>
        </w:rPr>
        <w:t xml:space="preserve"> release).</w:t>
      </w:r>
    </w:p>
    <w:p w14:paraId="58FB7520" w14:textId="41C93DFE" w:rsidR="000E533B" w:rsidRPr="005417B7" w:rsidRDefault="00000000" w:rsidP="000E533B">
      <w:pPr>
        <w:rPr>
          <w:rFonts w:ascii="Times New Roman" w:hAnsi="Times New Roman" w:cs="Times New Roman"/>
        </w:rPr>
      </w:pPr>
      <w:r w:rsidRPr="005417B7">
        <w:rPr>
          <w:rFonts w:ascii="Times New Roman" w:hAnsi="Times New Roman" w:cs="Times New Roman"/>
          <w:b/>
        </w:rPr>
        <w:t xml:space="preserve">Checklist version: </w:t>
      </w:r>
      <w:r w:rsidRPr="005417B7">
        <w:rPr>
          <w:rFonts w:ascii="Times New Roman" w:hAnsi="Times New Roman" w:cs="Times New Roman"/>
        </w:rPr>
        <w:t>STROBE for cohort studies (von Elm et al. 2008, JCE 61:344–349).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648"/>
        <w:gridCol w:w="3744"/>
        <w:gridCol w:w="5184"/>
      </w:tblGrid>
      <w:tr w:rsidR="00337011" w:rsidRPr="005417B7" w14:paraId="5F4E5FC0" w14:textId="77777777" w:rsidTr="00337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E2EE8C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648" w:type="dxa"/>
          </w:tcPr>
          <w:p w14:paraId="0DE64156" w14:textId="77777777" w:rsidR="00337011" w:rsidRPr="005417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</w:rPr>
              <w:t>Sub</w:t>
            </w:r>
          </w:p>
        </w:tc>
        <w:tc>
          <w:tcPr>
            <w:tcW w:w="3744" w:type="dxa"/>
          </w:tcPr>
          <w:p w14:paraId="556536DD" w14:textId="77777777" w:rsidR="00337011" w:rsidRPr="005417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</w:rPr>
              <w:t>STROBE recommendation</w:t>
            </w:r>
          </w:p>
        </w:tc>
        <w:tc>
          <w:tcPr>
            <w:tcW w:w="5184" w:type="dxa"/>
          </w:tcPr>
          <w:p w14:paraId="26F6A616" w14:textId="77777777" w:rsidR="00337011" w:rsidRPr="005417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</w:rPr>
              <w:t>Addressed in this manuscript</w:t>
            </w:r>
          </w:p>
        </w:tc>
      </w:tr>
      <w:tr w:rsidR="00337011" w:rsidRPr="005417B7" w14:paraId="3925E56A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  <w:gridSpan w:val="4"/>
          </w:tcPr>
          <w:p w14:paraId="5CBC26B5" w14:textId="77777777" w:rsidR="00337011" w:rsidRPr="00541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7B7">
              <w:rPr>
                <w:rFonts w:ascii="Times New Roman" w:hAnsi="Times New Roman" w:cs="Times New Roman"/>
                <w:sz w:val="24"/>
                <w:szCs w:val="24"/>
              </w:rPr>
              <w:t>Title and abstract</w:t>
            </w:r>
          </w:p>
        </w:tc>
      </w:tr>
      <w:tr w:rsidR="00337011" w:rsidRPr="005417B7" w14:paraId="427EAB40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DEF06A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648" w:type="dxa"/>
          </w:tcPr>
          <w:p w14:paraId="6CBA1BB3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(a)</w:t>
            </w:r>
          </w:p>
        </w:tc>
        <w:tc>
          <w:tcPr>
            <w:tcW w:w="3744" w:type="dxa"/>
          </w:tcPr>
          <w:p w14:paraId="3AC59258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Indicate the study's design with a commonly used term in the title or the abstract.</w:t>
            </w:r>
          </w:p>
        </w:tc>
        <w:tc>
          <w:tcPr>
            <w:tcW w:w="5184" w:type="dxa"/>
          </w:tcPr>
          <w:p w14:paraId="488C1E99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The Abstract Background/Methods sentences state the study tested APOE ε4 modulation of plasma GFAP and p-tau217 trajectories using linear mixed-effects models and bivariate Bayesian joint longitudinal models.</w:t>
            </w:r>
          </w:p>
        </w:tc>
      </w:tr>
      <w:tr w:rsidR="00337011" w:rsidRPr="005417B7" w14:paraId="0BD03DB5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7C7DA9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648" w:type="dxa"/>
          </w:tcPr>
          <w:p w14:paraId="12ED73D8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(b)</w:t>
            </w:r>
          </w:p>
        </w:tc>
        <w:tc>
          <w:tcPr>
            <w:tcW w:w="3744" w:type="dxa"/>
          </w:tcPr>
          <w:p w14:paraId="3A81E8D4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Provide in the abstract an informative and balanced summary of what was done and what was found.</w:t>
            </w:r>
          </w:p>
        </w:tc>
        <w:tc>
          <w:tcPr>
            <w:tcW w:w="5184" w:type="dxa"/>
          </w:tcPr>
          <w:p w14:paraId="24CDF22C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Structured Abstract (250 words) follows Background/Objective, Methods, Results, Conclusions, with quantitative findings (APOE × time β = 0.039, p = 0.0023; brms ρ = +0.67 / −0.69 / −0.39) and explicit transparency on the directional falsification of H1/H2.</w:t>
            </w:r>
          </w:p>
        </w:tc>
      </w:tr>
      <w:tr w:rsidR="00337011" w:rsidRPr="005417B7" w14:paraId="6712247E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  <w:gridSpan w:val="4"/>
          </w:tcPr>
          <w:p w14:paraId="4EDBF350" w14:textId="77777777" w:rsidR="00337011" w:rsidRPr="00541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7B7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</w:tr>
      <w:tr w:rsidR="00337011" w:rsidRPr="005417B7" w14:paraId="744047A0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E0EED36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648" w:type="dxa"/>
          </w:tcPr>
          <w:p w14:paraId="5DAEF89F" w14:textId="77777777" w:rsidR="00337011" w:rsidRPr="005417B7" w:rsidRDefault="00337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1C84DAF5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Explain the scientific background and rationale for the investigation being reported.</w:t>
            </w:r>
          </w:p>
        </w:tc>
        <w:tc>
          <w:tcPr>
            <w:tcW w:w="5184" w:type="dxa"/>
          </w:tcPr>
          <w:p w14:paraId="2FD0B1C3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Introduction, paragraphs 1–2: clinical heterogeneity and the trial-design need for longitudinal biomarkers; plasma GFAP and p-tau217 biology and the gap in individual-level longitudinal kinetics; the APOE ε4 differential-modulation question and the methodological safeguards (covariate adjustment, joint modeling) required to test it.</w:t>
            </w:r>
          </w:p>
        </w:tc>
      </w:tr>
      <w:tr w:rsidR="00337011" w:rsidRPr="005417B7" w14:paraId="348EBC54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08B165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648" w:type="dxa"/>
          </w:tcPr>
          <w:p w14:paraId="258A5BAA" w14:textId="77777777" w:rsidR="00337011" w:rsidRPr="005417B7" w:rsidRDefault="003370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47EB58C8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State specific objectives, including any prespecified hypotheses.</w:t>
            </w:r>
          </w:p>
        </w:tc>
        <w:tc>
          <w:tcPr>
            <w:tcW w:w="5184" w:type="dxa"/>
          </w:tcPr>
          <w:p w14:paraId="2AB9CA32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Introduction, final paragraph reports three pre-specified hypotheses (H1: APOE → GFAP slope; H2: APOE not → p-tau217 slope; H3: p-tau217 slope dominant prognostic predictor) locked in SAP v1 (2026-02-12). Discussion §4.1 immediately flags that H1/H2 were directionally falsified by the completed analysis.</w:t>
            </w:r>
          </w:p>
        </w:tc>
      </w:tr>
      <w:tr w:rsidR="00337011" w:rsidRPr="005417B7" w14:paraId="1F7D2746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  <w:gridSpan w:val="4"/>
          </w:tcPr>
          <w:p w14:paraId="62DBA606" w14:textId="77777777" w:rsidR="00337011" w:rsidRPr="00541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7B7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</w:p>
        </w:tc>
      </w:tr>
      <w:tr w:rsidR="00337011" w:rsidRPr="005417B7" w14:paraId="7571AF1A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585BE8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648" w:type="dxa"/>
          </w:tcPr>
          <w:p w14:paraId="1BCAA4F5" w14:textId="77777777" w:rsidR="00337011" w:rsidRPr="005417B7" w:rsidRDefault="003370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4826FE08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Present key elements of study design early in the paper.</w:t>
            </w:r>
          </w:p>
        </w:tc>
        <w:tc>
          <w:tcPr>
            <w:tcW w:w="5184" w:type="dxa"/>
          </w:tcPr>
          <w:p w14:paraId="1AEC4722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§2.1, first sentence: longitudinal observational cohort secondary analysis under an approved ADNI Data Use Agreement, 2026-05-24 release.</w:t>
            </w:r>
          </w:p>
        </w:tc>
      </w:tr>
      <w:tr w:rsidR="00337011" w:rsidRPr="005417B7" w14:paraId="7BCCF4F4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576ACA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648" w:type="dxa"/>
          </w:tcPr>
          <w:p w14:paraId="25A881E7" w14:textId="77777777" w:rsidR="00337011" w:rsidRPr="005417B7" w:rsidRDefault="00337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4C8C4F70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Describe setting, locations and relevant dates.</w:t>
            </w:r>
          </w:p>
        </w:tc>
        <w:tc>
          <w:tcPr>
            <w:tcW w:w="5184" w:type="dxa"/>
          </w:tcPr>
          <w:p w14:paraId="3DD05155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§2.1 — ADNI multi-site cohort (USA + Canada); data release 2026-05-24; follow-up up to 10 years per participant.</w:t>
            </w:r>
          </w:p>
        </w:tc>
      </w:tr>
      <w:tr w:rsidR="00337011" w:rsidRPr="005417B7" w14:paraId="16462633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0DE34FF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648" w:type="dxa"/>
          </w:tcPr>
          <w:p w14:paraId="67A3D3F4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(a)</w:t>
            </w:r>
          </w:p>
        </w:tc>
        <w:tc>
          <w:tcPr>
            <w:tcW w:w="3744" w:type="dxa"/>
          </w:tcPr>
          <w:p w14:paraId="13073620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Eligibility criteria, sources and methods of selection.</w:t>
            </w:r>
          </w:p>
        </w:tc>
        <w:tc>
          <w:tcPr>
            <w:tcW w:w="5184" w:type="dxa"/>
          </w:tcPr>
          <w:p w14:paraId="16B41995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 xml:space="preserve">Methods §2.1: age ≥ 65, baseline diagnosis </w:t>
            </w:r>
            <w:r w:rsidRPr="005417B7">
              <w:rPr>
                <w:rFonts w:ascii="Cambria Math" w:hAnsi="Cambria Math" w:cs="Cambria Math"/>
                <w:sz w:val="18"/>
              </w:rPr>
              <w:t>∈</w:t>
            </w:r>
            <w:r w:rsidRPr="005417B7">
              <w:rPr>
                <w:rFonts w:ascii="Times New Roman" w:hAnsi="Times New Roman" w:cs="Times New Roman"/>
                <w:sz w:val="18"/>
              </w:rPr>
              <w:t xml:space="preserve"> {CN, MCI, AD}, APOE genotype available, ≥ 2 GFAP AND ≥ 2 p-tau217 measurements. Threshold relaxed from ≥ 3 to ≥ 2 per inclusion-criterion sensitivity (SAP §4). STROBE flow shown in Figure 1.</w:t>
            </w:r>
          </w:p>
        </w:tc>
      </w:tr>
      <w:tr w:rsidR="00337011" w:rsidRPr="005417B7" w14:paraId="78C1B886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C34276E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648" w:type="dxa"/>
          </w:tcPr>
          <w:p w14:paraId="17D96395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(b)</w:t>
            </w:r>
          </w:p>
        </w:tc>
        <w:tc>
          <w:tcPr>
            <w:tcW w:w="3744" w:type="dxa"/>
          </w:tcPr>
          <w:p w14:paraId="09CDFC96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Matching criteria (if applicable).</w:t>
            </w:r>
          </w:p>
        </w:tc>
        <w:tc>
          <w:tcPr>
            <w:tcW w:w="5184" w:type="dxa"/>
          </w:tcPr>
          <w:p w14:paraId="3E5FB579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Not applicable; full eligible cohort analysed without matching.</w:t>
            </w:r>
          </w:p>
        </w:tc>
      </w:tr>
      <w:tr w:rsidR="00337011" w:rsidRPr="005417B7" w14:paraId="728CF879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D0D727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648" w:type="dxa"/>
          </w:tcPr>
          <w:p w14:paraId="78DAD15A" w14:textId="77777777" w:rsidR="00337011" w:rsidRPr="005417B7" w:rsidRDefault="003370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7D9E4FE5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Define outcomes, exposures, predictors, confounders, effect modifiers.</w:t>
            </w:r>
          </w:p>
        </w:tc>
        <w:tc>
          <w:tcPr>
            <w:tcW w:w="5184" w:type="dxa"/>
          </w:tcPr>
          <w:p w14:paraId="3D6BFB1A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§2.1 — biomarkers plasma GFAP (Simoa) and plasma p-tau217 (UPENN-Fujirebio Lumipulse); exposure/modifier APOE ε4 carriership; outcomes ADAS-Cog 13, MMSE, ICV-normalized hippocampal ratio; Methods §2.2 — Tier 1 covariates baseline BMI and eGFR, Tier 2 baseline hypertension and diabetes, stroke history as a sensitivity exclusion.</w:t>
            </w:r>
          </w:p>
        </w:tc>
      </w:tr>
      <w:tr w:rsidR="00337011" w:rsidRPr="005417B7" w14:paraId="5DC3B5DC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25269B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648" w:type="dxa"/>
          </w:tcPr>
          <w:p w14:paraId="1D46CA53" w14:textId="77777777" w:rsidR="00337011" w:rsidRPr="005417B7" w:rsidRDefault="00337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3FCC869A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Sources of data and methods of assessment; comparability across groups.</w:t>
            </w:r>
          </w:p>
        </w:tc>
        <w:tc>
          <w:tcPr>
            <w:tcW w:w="5184" w:type="dxa"/>
          </w:tcPr>
          <w:p w14:paraId="2454A17B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§2.1; Tables 1 and 5; cross-assay concordance (§3.6) across four p-tau217 platforms (UPENN-Fujirebio, Lilly MSD600, Janssen, C2N PrecivityAD2). Comorbidities derived from ADNI medical-history free text by keyword matching.</w:t>
            </w:r>
          </w:p>
        </w:tc>
      </w:tr>
      <w:tr w:rsidR="00337011" w:rsidRPr="005417B7" w14:paraId="1C427A7D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24B262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648" w:type="dxa"/>
          </w:tcPr>
          <w:p w14:paraId="72DC1DEF" w14:textId="77777777" w:rsidR="00337011" w:rsidRPr="005417B7" w:rsidRDefault="003370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01754CD8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Efforts to address potential sources of bias.</w:t>
            </w:r>
          </w:p>
        </w:tc>
        <w:tc>
          <w:tcPr>
            <w:tcW w:w="5184" w:type="dxa"/>
          </w:tcPr>
          <w:p w14:paraId="0C11A70E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§2.3 — random-intercept-only sensitivity (S-A) to address singular boundary fits; cross-assay validation; ADSP ComBat-harmonized FreeSurfer; multiple-testing correction (BH-FDR primary, Bonferroni sensitivity); brms joint specification to avoid two-stage measurement-error inflation; stroke sensitivity exclusion to address acute astrocytic confounding.</w:t>
            </w:r>
          </w:p>
        </w:tc>
      </w:tr>
      <w:tr w:rsidR="00337011" w:rsidRPr="005417B7" w14:paraId="62BDCEA0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61C771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648" w:type="dxa"/>
          </w:tcPr>
          <w:p w14:paraId="6B2D1AD2" w14:textId="77777777" w:rsidR="00337011" w:rsidRPr="005417B7" w:rsidRDefault="00337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3C6AC793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Explain how the study size was arrived at.</w:t>
            </w:r>
          </w:p>
        </w:tc>
        <w:tc>
          <w:tcPr>
            <w:tcW w:w="5184" w:type="dxa"/>
          </w:tcPr>
          <w:p w14:paraId="677731C9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§2.1 and Discussion §4.6 (limitation): cohort size N = 325 is the entire ADNI subset meeting all eligibility criteria; no a priori power calculation is feasible for a fixed secondary dataset. A pre-</w:t>
            </w:r>
            <w:r w:rsidRPr="005417B7">
              <w:rPr>
                <w:rFonts w:ascii="Times New Roman" w:hAnsi="Times New Roman" w:cs="Times New Roman"/>
                <w:sz w:val="18"/>
              </w:rPr>
              <w:lastRenderedPageBreak/>
              <w:t>specified inclusion-criterion sensitivity compares N at the ≥ 2 / ≥ 3 / ≥ 4 measurement thresholds.</w:t>
            </w:r>
          </w:p>
        </w:tc>
      </w:tr>
      <w:tr w:rsidR="00337011" w:rsidRPr="005417B7" w14:paraId="129E45BC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ACAB77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lastRenderedPageBreak/>
              <w:t>11</w:t>
            </w:r>
          </w:p>
        </w:tc>
        <w:tc>
          <w:tcPr>
            <w:tcW w:w="648" w:type="dxa"/>
          </w:tcPr>
          <w:p w14:paraId="493AB7D1" w14:textId="77777777" w:rsidR="00337011" w:rsidRPr="005417B7" w:rsidRDefault="003370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6CAAA09E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Quantitative variable handling.</w:t>
            </w:r>
          </w:p>
        </w:tc>
        <w:tc>
          <w:tcPr>
            <w:tcW w:w="5184" w:type="dxa"/>
          </w:tcPr>
          <w:p w14:paraId="68E0C97A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§2.3 — plasma biomarkers natural-log transformed; time modeled in years (continuous); hippocampal volume expressed as a ratio to intracranial volume; ADAS-Cog and MMSE on native scales; diagnosis as a factor with CN reference; APOE ε4 binary; continuous covariates z-standardized.</w:t>
            </w:r>
          </w:p>
        </w:tc>
      </w:tr>
      <w:tr w:rsidR="00337011" w:rsidRPr="005417B7" w14:paraId="2860F3CB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E5ECCD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648" w:type="dxa"/>
          </w:tcPr>
          <w:p w14:paraId="7BBA5474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(a)</w:t>
            </w:r>
          </w:p>
        </w:tc>
        <w:tc>
          <w:tcPr>
            <w:tcW w:w="3744" w:type="dxa"/>
          </w:tcPr>
          <w:p w14:paraId="3646DA21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Statistical methods including confounding control.</w:t>
            </w:r>
          </w:p>
        </w:tc>
        <w:tc>
          <w:tcPr>
            <w:tcW w:w="5184" w:type="dxa"/>
          </w:tcPr>
          <w:p w14:paraId="572B04B8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§2.3 — Phase I LCGMM (exploratory only); Phase II primary LME (lmerTest::lmer, REML) with APOE × time fixed effects and Tier 1/2 covariates; Phase III primary bivariate Bayesian joint models (brms; six separate models, one per biomarker-outcome pair, each with its own shared random-effects covariance -- not a single multivariate model); Phase IV formal counterfactual mediation analysis (Imai et al., 2010; R mediation package) decomposing the APOE effect into amyloid-mediated and direct components.</w:t>
            </w:r>
          </w:p>
        </w:tc>
      </w:tr>
      <w:tr w:rsidR="00337011" w:rsidRPr="005417B7" w14:paraId="27DE001B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756A45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648" w:type="dxa"/>
          </w:tcPr>
          <w:p w14:paraId="757AA364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(b)</w:t>
            </w:r>
          </w:p>
        </w:tc>
        <w:tc>
          <w:tcPr>
            <w:tcW w:w="3744" w:type="dxa"/>
          </w:tcPr>
          <w:p w14:paraId="7CDB3AB8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Subgroups and interactions.</w:t>
            </w:r>
          </w:p>
        </w:tc>
        <w:tc>
          <w:tcPr>
            <w:tcW w:w="5184" w:type="dxa"/>
          </w:tcPr>
          <w:p w14:paraId="0168ADBE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APOE × time interaction in Phase II (primary inferential target); cross-response random-slope correlation in Phase III (joint inferential target). Baseline diagnosis was retained as an adjustment covariate rather than modeled as a stratification variable; the rationale and a suggested check are discussed in Discussion §4.6.</w:t>
            </w:r>
          </w:p>
        </w:tc>
      </w:tr>
      <w:tr w:rsidR="00337011" w:rsidRPr="005417B7" w14:paraId="6C70525D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B6DA7D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648" w:type="dxa"/>
          </w:tcPr>
          <w:p w14:paraId="23E8A1C0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(c)</w:t>
            </w:r>
          </w:p>
        </w:tc>
        <w:tc>
          <w:tcPr>
            <w:tcW w:w="3744" w:type="dxa"/>
          </w:tcPr>
          <w:p w14:paraId="2E9204A7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Missing data handling.</w:t>
            </w:r>
          </w:p>
        </w:tc>
        <w:tc>
          <w:tcPr>
            <w:tcW w:w="5184" w:type="dxa"/>
          </w:tcPr>
          <w:p w14:paraId="32C937D9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§2.2 (eGFR unavailable for the majority of the cohort, ~50/325, demoted from primary to sensitivity) and §2.3 (primary LME/joint models are complete-case under a missing-at-random assumption).</w:t>
            </w:r>
          </w:p>
        </w:tc>
      </w:tr>
      <w:tr w:rsidR="00337011" w:rsidRPr="005417B7" w14:paraId="0D88A5C3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C14A9C4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648" w:type="dxa"/>
          </w:tcPr>
          <w:p w14:paraId="2FC19C8B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(d)</w:t>
            </w:r>
          </w:p>
        </w:tc>
        <w:tc>
          <w:tcPr>
            <w:tcW w:w="3744" w:type="dxa"/>
          </w:tcPr>
          <w:p w14:paraId="319F6041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Loss to follow-up handling.</w:t>
            </w:r>
          </w:p>
        </w:tc>
        <w:tc>
          <w:tcPr>
            <w:tcW w:w="5184" w:type="dxa"/>
          </w:tcPr>
          <w:p w14:paraId="4A3C7CB2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Inclusion criterion of ≥ 2 plasma timepoints defines effective follow-up window; participants with intermittent missing observations contribute available timepoints via MAR (LME and joint model).</w:t>
            </w:r>
          </w:p>
        </w:tc>
      </w:tr>
      <w:tr w:rsidR="00337011" w:rsidRPr="005417B7" w14:paraId="33B97D63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4BEF4C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648" w:type="dxa"/>
          </w:tcPr>
          <w:p w14:paraId="52281F0F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(e)</w:t>
            </w:r>
          </w:p>
        </w:tc>
        <w:tc>
          <w:tcPr>
            <w:tcW w:w="3744" w:type="dxa"/>
          </w:tcPr>
          <w:p w14:paraId="683C643A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Sensitivity analyses.</w:t>
            </w:r>
          </w:p>
        </w:tc>
        <w:tc>
          <w:tcPr>
            <w:tcW w:w="5184" w:type="dxa"/>
          </w:tcPr>
          <w:p w14:paraId="6FDE06D8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Methods §2.3 and Results §3.5 / §3.5a / §3.5b / §3.5c — Phase II: (S-A) random-intercept-only LME, (S-C) baseline-eGFR-adjusted in the eGFR-available subset (n_id = 109), (S-F) stroke-history exclusion. Phase III: (Amyloid+) brms refit restricted to baseline plasma Aβ42/40 &lt; 0.085 (n = 168); (Post-baseline only) brms refit restricted to outcome time_yrs ≥ 0; (S-G) naive two-stage BLUP-as-predictor; (S-H) multiple-imputation measurement-error correction. Phase IV: formal counterfactual mediation analysis (§3.5a) as a complement to the amyloid-stratified sensitivity. Statistical diagnostics (§3.5c): variance inflation factors, BLUP normality (Shapiro–Wilk, Q-Q plot).</w:t>
            </w:r>
          </w:p>
        </w:tc>
      </w:tr>
      <w:tr w:rsidR="00337011" w:rsidRPr="005417B7" w14:paraId="5F997A18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  <w:gridSpan w:val="4"/>
          </w:tcPr>
          <w:p w14:paraId="3A35E50B" w14:textId="77777777" w:rsidR="000E533B" w:rsidRPr="005417B7" w:rsidRDefault="000E533B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E0C0E9C" w14:textId="703B9E54" w:rsidR="000E533B" w:rsidRPr="005417B7" w:rsidRDefault="00000000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417B7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</w:p>
        </w:tc>
      </w:tr>
      <w:tr w:rsidR="00337011" w:rsidRPr="005417B7" w14:paraId="6728BF5B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DEDDB7D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648" w:type="dxa"/>
          </w:tcPr>
          <w:p w14:paraId="490A0C0C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(a)</w:t>
            </w:r>
          </w:p>
        </w:tc>
        <w:tc>
          <w:tcPr>
            <w:tcW w:w="3744" w:type="dxa"/>
          </w:tcPr>
          <w:p w14:paraId="217D06B2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Numbers at each stage of the study.</w:t>
            </w:r>
          </w:p>
        </w:tc>
        <w:tc>
          <w:tcPr>
            <w:tcW w:w="5184" w:type="dxa"/>
          </w:tcPr>
          <w:p w14:paraId="5476A870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Results §3.1 and Figure 1 (STROBE flow): 1,593 plasma-biomarker registry → 910 age ≥ 65 → 886 baseline dx in {CN,MCI,AD} → 886 with APOE → 325 with ≥2 GFAP AND ≥2 p-tau217 (eligible cohort) → 296 with complete Tier 1/2 covariate data (regression-model analytic cohort).</w:t>
            </w:r>
          </w:p>
        </w:tc>
      </w:tr>
      <w:tr w:rsidR="00337011" w:rsidRPr="005417B7" w14:paraId="090B9FFB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41EAC4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648" w:type="dxa"/>
          </w:tcPr>
          <w:p w14:paraId="78D81979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(b)</w:t>
            </w:r>
          </w:p>
        </w:tc>
        <w:tc>
          <w:tcPr>
            <w:tcW w:w="3744" w:type="dxa"/>
          </w:tcPr>
          <w:p w14:paraId="1556209C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Reasons for non-participation at each stage.</w:t>
            </w:r>
          </w:p>
        </w:tc>
        <w:tc>
          <w:tcPr>
            <w:tcW w:w="5184" w:type="dxa"/>
          </w:tcPr>
          <w:p w14:paraId="242DB87F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Figure 1 right-side annotations; full numerical flow in `inclusion_sensitivity.csv` and `outputs/table1_baseline.csv`.</w:t>
            </w:r>
          </w:p>
        </w:tc>
      </w:tr>
      <w:tr w:rsidR="00337011" w:rsidRPr="005417B7" w14:paraId="191A08EB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050A5F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648" w:type="dxa"/>
          </w:tcPr>
          <w:p w14:paraId="426B9C1A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(c)</w:t>
            </w:r>
          </w:p>
        </w:tc>
        <w:tc>
          <w:tcPr>
            <w:tcW w:w="3744" w:type="dxa"/>
          </w:tcPr>
          <w:p w14:paraId="35507720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Flow diagram.</w:t>
            </w:r>
          </w:p>
        </w:tc>
        <w:tc>
          <w:tcPr>
            <w:tcW w:w="5184" w:type="dxa"/>
          </w:tcPr>
          <w:p w14:paraId="6AF6CCC1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Figure 1 (STROBE 8-step flow, including the 325→296 complete-case restriction for regression models).</w:t>
            </w:r>
          </w:p>
        </w:tc>
      </w:tr>
      <w:tr w:rsidR="00337011" w:rsidRPr="005417B7" w14:paraId="3A74F27C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D4DC24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648" w:type="dxa"/>
          </w:tcPr>
          <w:p w14:paraId="7F0E1077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(a)</w:t>
            </w:r>
          </w:p>
        </w:tc>
        <w:tc>
          <w:tcPr>
            <w:tcW w:w="3744" w:type="dxa"/>
          </w:tcPr>
          <w:p w14:paraId="599A98B2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Participant characteristics including exposures and confounders.</w:t>
            </w:r>
          </w:p>
        </w:tc>
        <w:tc>
          <w:tcPr>
            <w:tcW w:w="5184" w:type="dxa"/>
          </w:tcPr>
          <w:p w14:paraId="1AE0BB0F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Results §3.1 and Table 1: age, sex, education, diagnosis breakdown, APOE4, HTN/DM/stroke, BMI, eGFR (subset), baseline biomarker concentrations, follow-up duration.</w:t>
            </w:r>
          </w:p>
        </w:tc>
      </w:tr>
      <w:tr w:rsidR="00337011" w:rsidRPr="005417B7" w14:paraId="0DD8EBBE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875631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648" w:type="dxa"/>
          </w:tcPr>
          <w:p w14:paraId="6A0252CA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(b)</w:t>
            </w:r>
          </w:p>
        </w:tc>
        <w:tc>
          <w:tcPr>
            <w:tcW w:w="3744" w:type="dxa"/>
          </w:tcPr>
          <w:p w14:paraId="762F0A0A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Missing data per variable of interest.</w:t>
            </w:r>
          </w:p>
        </w:tc>
        <w:tc>
          <w:tcPr>
            <w:tcW w:w="5184" w:type="dxa"/>
          </w:tcPr>
          <w:p w14:paraId="05A108BD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Table 1 lists the number with non-missing baseline values per variable. eGFR missingness (~50/325 available) is explicitly discussed in Methods §2.2 and Discussion §4.6.</w:t>
            </w:r>
          </w:p>
        </w:tc>
      </w:tr>
      <w:tr w:rsidR="00337011" w:rsidRPr="005417B7" w14:paraId="3013C267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D88A86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648" w:type="dxa"/>
          </w:tcPr>
          <w:p w14:paraId="6F4720DA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(c)</w:t>
            </w:r>
          </w:p>
        </w:tc>
        <w:tc>
          <w:tcPr>
            <w:tcW w:w="3744" w:type="dxa"/>
          </w:tcPr>
          <w:p w14:paraId="16C433CC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Cohort follow-up summary.</w:t>
            </w:r>
          </w:p>
        </w:tc>
        <w:tc>
          <w:tcPr>
            <w:tcW w:w="5184" w:type="dxa"/>
          </w:tcPr>
          <w:p w14:paraId="0003E278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Results §3.1 and Table 1: median (IQR) GFAP and p-tau217 measurements per participant; up to 10-year follow-up window.</w:t>
            </w:r>
          </w:p>
        </w:tc>
      </w:tr>
      <w:tr w:rsidR="00337011" w:rsidRPr="005417B7" w14:paraId="1A3E198F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15B4BA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15</w:t>
            </w:r>
          </w:p>
        </w:tc>
        <w:tc>
          <w:tcPr>
            <w:tcW w:w="648" w:type="dxa"/>
          </w:tcPr>
          <w:p w14:paraId="38C2F390" w14:textId="77777777" w:rsidR="00337011" w:rsidRPr="005417B7" w:rsidRDefault="00337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2A06AF0C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Outcome events or summary measures over time.</w:t>
            </w:r>
          </w:p>
        </w:tc>
        <w:tc>
          <w:tcPr>
            <w:tcW w:w="5184" w:type="dxa"/>
          </w:tcPr>
          <w:p w14:paraId="5D7630E1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Results §3.3-§3.4: continuous outcome rate of change from LME / joint model rather than discrete events; full estimates with 95% CI / CrI in Table 2 (Phase II LME) and Table 3 (Phase III joint-model rho). Formal mediation decomposition (direct/indirect pathways) in new Table 4 (Section 3.5a).</w:t>
            </w:r>
          </w:p>
        </w:tc>
      </w:tr>
      <w:tr w:rsidR="00337011" w:rsidRPr="005417B7" w14:paraId="5857BD15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67330D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16</w:t>
            </w:r>
          </w:p>
        </w:tc>
        <w:tc>
          <w:tcPr>
            <w:tcW w:w="648" w:type="dxa"/>
          </w:tcPr>
          <w:p w14:paraId="211E6B17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(a)</w:t>
            </w:r>
          </w:p>
        </w:tc>
        <w:tc>
          <w:tcPr>
            <w:tcW w:w="3744" w:type="dxa"/>
          </w:tcPr>
          <w:p w14:paraId="26FF2461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Unadjusted and adjusted estimates with precision.</w:t>
            </w:r>
          </w:p>
        </w:tc>
        <w:tc>
          <w:tcPr>
            <w:tcW w:w="5184" w:type="dxa"/>
          </w:tcPr>
          <w:p w14:paraId="25235A9B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Table 2: beta, SE, 95% CI for Phase II LME. Table 3: rho (mean, median) with 95% CrI for Phase III bivariate brms joint models. All Phase III joint-model effects reported per 1-SD log-biomarker slope. Two-stage and MI-corrected sensitivity estimates shown side-by-side in Supplementary Table S4c/S4d, not a main-text table.</w:t>
            </w:r>
          </w:p>
        </w:tc>
      </w:tr>
      <w:tr w:rsidR="00337011" w:rsidRPr="005417B7" w14:paraId="37A38E60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FDA120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lastRenderedPageBreak/>
              <w:t>16</w:t>
            </w:r>
          </w:p>
        </w:tc>
        <w:tc>
          <w:tcPr>
            <w:tcW w:w="648" w:type="dxa"/>
          </w:tcPr>
          <w:p w14:paraId="751B21F0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(b)</w:t>
            </w:r>
          </w:p>
        </w:tc>
        <w:tc>
          <w:tcPr>
            <w:tcW w:w="3744" w:type="dxa"/>
          </w:tcPr>
          <w:p w14:paraId="2CF1E1CF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Category boundaries when continuous variables were categorised.</w:t>
            </w:r>
          </w:p>
        </w:tc>
        <w:tc>
          <w:tcPr>
            <w:tcW w:w="5184" w:type="dxa"/>
          </w:tcPr>
          <w:p w14:paraId="56709226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Not applicable — primary analyses use continuous biomarker values. APOE ε4 as the only binary categorisation (carrier ≥ 1 ε4 allele vs none) is standard.</w:t>
            </w:r>
          </w:p>
        </w:tc>
      </w:tr>
      <w:tr w:rsidR="00337011" w:rsidRPr="005417B7" w14:paraId="2E1950D6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99D929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16</w:t>
            </w:r>
          </w:p>
        </w:tc>
        <w:tc>
          <w:tcPr>
            <w:tcW w:w="648" w:type="dxa"/>
          </w:tcPr>
          <w:p w14:paraId="612CBD07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(c)</w:t>
            </w:r>
          </w:p>
        </w:tc>
        <w:tc>
          <w:tcPr>
            <w:tcW w:w="3744" w:type="dxa"/>
          </w:tcPr>
          <w:p w14:paraId="0C5CAC28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Translate relative to absolute risk.</w:t>
            </w:r>
          </w:p>
        </w:tc>
        <w:tc>
          <w:tcPr>
            <w:tcW w:w="5184" w:type="dxa"/>
          </w:tcPr>
          <w:p w14:paraId="5A45429C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Discussion §4.4 translates the joint-model ρ values into clinical relevance for trial enrichment; effect sizes per 1-SD slope are reported throughout for interpretability.</w:t>
            </w:r>
          </w:p>
        </w:tc>
      </w:tr>
      <w:tr w:rsidR="00337011" w:rsidRPr="005417B7" w14:paraId="684A90EA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C3EE661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17</w:t>
            </w:r>
          </w:p>
        </w:tc>
        <w:tc>
          <w:tcPr>
            <w:tcW w:w="648" w:type="dxa"/>
          </w:tcPr>
          <w:p w14:paraId="3418D967" w14:textId="77777777" w:rsidR="00337011" w:rsidRPr="005417B7" w:rsidRDefault="00337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385906CE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Other analyses (subgroups, interactions, sensitivities).</w:t>
            </w:r>
          </w:p>
        </w:tc>
        <w:tc>
          <w:tcPr>
            <w:tcW w:w="5184" w:type="dxa"/>
          </w:tcPr>
          <w:p w14:paraId="4A66E421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Results §3.5 (amyloid-positive stratified Phase II + Phase III refit), §3.5a (formal causal mediation analysis), §3.5b (post-baseline-only Phase III refit), §3.5c (collinearity VIF and BLUP normality), §3.6 (cross-assay p-tau217 concordance). Supplementary Tables S1–S6 and Supplementary Figure S1 provide full numerical detail.</w:t>
            </w:r>
          </w:p>
        </w:tc>
      </w:tr>
      <w:tr w:rsidR="00337011" w:rsidRPr="005417B7" w14:paraId="7ADB3E15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  <w:gridSpan w:val="4"/>
          </w:tcPr>
          <w:p w14:paraId="0FA6536D" w14:textId="77777777" w:rsidR="00337011" w:rsidRPr="00541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7B7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</w:tr>
      <w:tr w:rsidR="00337011" w:rsidRPr="005417B7" w14:paraId="777E9A4C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E9A264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18</w:t>
            </w:r>
          </w:p>
        </w:tc>
        <w:tc>
          <w:tcPr>
            <w:tcW w:w="648" w:type="dxa"/>
          </w:tcPr>
          <w:p w14:paraId="6907AC6B" w14:textId="77777777" w:rsidR="00337011" w:rsidRPr="005417B7" w:rsidRDefault="00337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666E79C2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Summarise key results in relation to objectives.</w:t>
            </w:r>
          </w:p>
        </w:tc>
        <w:tc>
          <w:tcPr>
            <w:tcW w:w="5184" w:type="dxa"/>
          </w:tcPr>
          <w:p w14:paraId="3741EF1A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Discussion §4.1 maps the three principal findings (APOE → p-tau217 selectively; p-tau217 ρ values; methodological dependence) to the three pre-specified hypotheses, explicitly flagging that H1 and H2 were directionally falsified.</w:t>
            </w:r>
          </w:p>
        </w:tc>
      </w:tr>
      <w:tr w:rsidR="00337011" w:rsidRPr="005417B7" w14:paraId="2D9F45DB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F25E5A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19</w:t>
            </w:r>
          </w:p>
        </w:tc>
        <w:tc>
          <w:tcPr>
            <w:tcW w:w="648" w:type="dxa"/>
          </w:tcPr>
          <w:p w14:paraId="431A8F91" w14:textId="77777777" w:rsidR="00337011" w:rsidRPr="005417B7" w:rsidRDefault="003370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6D028497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Limitations including direction and magnitude of bias.</w:t>
            </w:r>
          </w:p>
        </w:tc>
        <w:tc>
          <w:tcPr>
            <w:tcW w:w="5184" w:type="dxa"/>
          </w:tcPr>
          <w:p w14:paraId="14A589AC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Discussion §4.6 enumerates limitations: modest measurements per participant; eGFR unavailable for most of the cohort (sensitivity at n_id = 109 confirmed direction); only 38 AD cases, so diagnosis was retained as an adjustment covariate rather than a stratification variable (rationale and a suggested check discussed); predominantly European ancestry; amyloid status ascertained via a plasma ratio rather than amyloid PET; H1/H2 directional pre-specifications falsified, with the full-cohort APOE × time effect on p-tau217 substantially mediated by amyloid status (§3.5, §3.5a); cross-assay overlaps small for two of three comparator platforms; hippocampal ρ is specification-sensitive (attenuates under both amyloid-positive stratification and a post-baseline-only window).</w:t>
            </w:r>
          </w:p>
        </w:tc>
      </w:tr>
      <w:tr w:rsidR="00337011" w:rsidRPr="005417B7" w14:paraId="51F9F223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47A924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648" w:type="dxa"/>
          </w:tcPr>
          <w:p w14:paraId="2230A7F7" w14:textId="77777777" w:rsidR="00337011" w:rsidRPr="005417B7" w:rsidRDefault="00337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3FA8790F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Cautious overall interpretation.</w:t>
            </w:r>
          </w:p>
        </w:tc>
        <w:tc>
          <w:tcPr>
            <w:tcW w:w="5184" w:type="dxa"/>
          </w:tcPr>
          <w:p w14:paraId="3D39157B" w14:textId="77777777" w:rsidR="00337011" w:rsidRPr="00541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Discussion §4.2–§4.4: cautious framing of the p-tau217 finding as requiring external replication before clinical translation; explicit comparison with Woo et al. (2025, Alzheimer's &amp; Dementia; N = 2,039, combined TRIAD/ADNI), positioning the present findings as complementary — Woo et al. establishes the amyloid-dependent APOE effect at scale with PET anchoring, while the present analysis formalizes its causal-mediation structure; explicit acknowledgment that joint-model ρ values are larger than typical two-stage estimates because of correct measurement-error handling, not artefact.</w:t>
            </w:r>
          </w:p>
        </w:tc>
      </w:tr>
      <w:tr w:rsidR="00337011" w:rsidRPr="005417B7" w14:paraId="0E3B9C4E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CB1C7A" w14:textId="77777777" w:rsidR="00337011" w:rsidRPr="00541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7B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48" w:type="dxa"/>
          </w:tcPr>
          <w:p w14:paraId="17106684" w14:textId="77777777" w:rsidR="00337011" w:rsidRPr="005417B7" w:rsidRDefault="003370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6B398288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Generalisability.</w:t>
            </w:r>
          </w:p>
        </w:tc>
        <w:tc>
          <w:tcPr>
            <w:tcW w:w="5184" w:type="dxa"/>
          </w:tcPr>
          <w:p w14:paraId="18519E89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Discussion §4.6 limitations 3–4: cohort predominantly European-ancestry, volunteer ADNI with high educational attainment; CN-heavy sample limits inference to clinically diagnosed late-onset AD; non-European populations not represented.</w:t>
            </w:r>
          </w:p>
        </w:tc>
      </w:tr>
      <w:tr w:rsidR="00337011" w:rsidRPr="005417B7" w14:paraId="238B5D8F" w14:textId="77777777" w:rsidTr="00337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  <w:gridSpan w:val="4"/>
          </w:tcPr>
          <w:p w14:paraId="1FE80819" w14:textId="77777777" w:rsidR="00337011" w:rsidRPr="00541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7B7">
              <w:rPr>
                <w:rFonts w:ascii="Times New Roman" w:hAnsi="Times New Roman" w:cs="Times New Roman"/>
                <w:sz w:val="24"/>
                <w:szCs w:val="24"/>
              </w:rPr>
              <w:t>Other information</w:t>
            </w:r>
          </w:p>
        </w:tc>
      </w:tr>
      <w:tr w:rsidR="00337011" w:rsidRPr="005417B7" w14:paraId="480C43A6" w14:textId="77777777" w:rsidTr="003370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90EC73" w14:textId="77777777" w:rsidR="00337011" w:rsidRPr="005417B7" w:rsidRDefault="00000000">
            <w:pPr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22</w:t>
            </w:r>
          </w:p>
        </w:tc>
        <w:tc>
          <w:tcPr>
            <w:tcW w:w="648" w:type="dxa"/>
          </w:tcPr>
          <w:p w14:paraId="36CBC5C7" w14:textId="77777777" w:rsidR="00337011" w:rsidRPr="005417B7" w:rsidRDefault="003370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744" w:type="dxa"/>
          </w:tcPr>
          <w:p w14:paraId="426F4081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Source of funding and role of funders.</w:t>
            </w:r>
          </w:p>
        </w:tc>
        <w:tc>
          <w:tcPr>
            <w:tcW w:w="5184" w:type="dxa"/>
          </w:tcPr>
          <w:p w14:paraId="410A6D34" w14:textId="77777777" w:rsidR="00337011" w:rsidRPr="005417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417B7">
              <w:rPr>
                <w:rFonts w:ascii="Times New Roman" w:hAnsi="Times New Roman" w:cs="Times New Roman"/>
                <w:sz w:val="18"/>
              </w:rPr>
              <w:t>Declarations: no specific funding for the present secondary analysis; ADNI data collection funded under NIH U01 AG024904; standard ADNI Acknowledgement included; full Investigators list URL provided.</w:t>
            </w:r>
          </w:p>
        </w:tc>
      </w:tr>
    </w:tbl>
    <w:p w14:paraId="198C1664" w14:textId="7C2E1E0E" w:rsidR="00337011" w:rsidRPr="005417B7" w:rsidRDefault="00000000">
      <w:pPr>
        <w:spacing w:before="200"/>
        <w:rPr>
          <w:rFonts w:ascii="Times New Roman" w:hAnsi="Times New Roman" w:cs="Times New Roman"/>
          <w:bCs/>
        </w:rPr>
      </w:pPr>
      <w:r w:rsidRPr="005417B7">
        <w:rPr>
          <w:rFonts w:ascii="Times New Roman" w:hAnsi="Times New Roman" w:cs="Times New Roman"/>
          <w:b/>
          <w:i/>
        </w:rPr>
        <w:t xml:space="preserve">Note: </w:t>
      </w:r>
      <w:r w:rsidRPr="005417B7">
        <w:rPr>
          <w:rFonts w:ascii="Times New Roman" w:hAnsi="Times New Roman" w:cs="Times New Roman"/>
          <w:bCs/>
          <w:i/>
        </w:rPr>
        <w:t>An Explanation and Elaboration article discusses each STROBE item and gives methodological background and published examples of transparent reporting (Vandenbroucke et al., PLoS Med 2007;</w:t>
      </w:r>
      <w:proofErr w:type="gramStart"/>
      <w:r w:rsidRPr="005417B7">
        <w:rPr>
          <w:rFonts w:ascii="Times New Roman" w:hAnsi="Times New Roman" w:cs="Times New Roman"/>
          <w:bCs/>
          <w:i/>
        </w:rPr>
        <w:t>4:e</w:t>
      </w:r>
      <w:proofErr w:type="gramEnd"/>
      <w:r w:rsidRPr="005417B7">
        <w:rPr>
          <w:rFonts w:ascii="Times New Roman" w:hAnsi="Times New Roman" w:cs="Times New Roman"/>
          <w:bCs/>
          <w:i/>
        </w:rPr>
        <w:t>297). Pre-specified Statistical Analysis Plan v1 (locked 2026-02-12 with 10 amendments) is provided as Supplementary File S1; the reproducibility pipeline, intermediate CSV artefacts, and code self-review log are released on GitHub with a Zenodo DOI.</w:t>
      </w:r>
    </w:p>
    <w:sectPr w:rsidR="00337011" w:rsidRPr="005417B7" w:rsidSect="00034616">
      <w:headerReference w:type="default" r:id="rId8"/>
      <w:footerReference w:type="default" r:id="rId9"/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612226">
    <w:abstractNumId w:val="8"/>
  </w:num>
  <w:num w:numId="2" w16cid:durableId="1843665308">
    <w:abstractNumId w:val="6"/>
  </w:num>
  <w:num w:numId="3" w16cid:durableId="878318928">
    <w:abstractNumId w:val="5"/>
  </w:num>
  <w:num w:numId="4" w16cid:durableId="1442795613">
    <w:abstractNumId w:val="4"/>
  </w:num>
  <w:num w:numId="5" w16cid:durableId="1848910366">
    <w:abstractNumId w:val="7"/>
  </w:num>
  <w:num w:numId="6" w16cid:durableId="470364849">
    <w:abstractNumId w:val="3"/>
  </w:num>
  <w:num w:numId="7" w16cid:durableId="114563119">
    <w:abstractNumId w:val="2"/>
  </w:num>
  <w:num w:numId="8" w16cid:durableId="424112470">
    <w:abstractNumId w:val="1"/>
  </w:num>
  <w:num w:numId="9" w16cid:durableId="15738095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75A"/>
    <w:rsid w:val="000E533B"/>
    <w:rsid w:val="000F3147"/>
    <w:rsid w:val="0015074B"/>
    <w:rsid w:val="0029639D"/>
    <w:rsid w:val="00326F90"/>
    <w:rsid w:val="00337011"/>
    <w:rsid w:val="0041698C"/>
    <w:rsid w:val="005417B7"/>
    <w:rsid w:val="005D35B2"/>
    <w:rsid w:val="007C4064"/>
    <w:rsid w:val="00AA1D8D"/>
    <w:rsid w:val="00B47730"/>
    <w:rsid w:val="00B539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F14BC"/>
  <w14:defaultImageDpi w14:val="300"/>
  <w15:docId w15:val="{8E72B311-32C8-F544-B815-CC3247FB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1598</Words>
  <Characters>10036</Characters>
  <Application>Microsoft Office Word</Application>
  <DocSecurity>0</DocSecurity>
  <Lines>295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Gerry Chu</cp:lastModifiedBy>
  <cp:revision>5</cp:revision>
  <dcterms:created xsi:type="dcterms:W3CDTF">2013-12-23T23:15:00Z</dcterms:created>
  <dcterms:modified xsi:type="dcterms:W3CDTF">2026-08-11T02:55:00Z</dcterms:modified>
  <cp:category/>
</cp:coreProperties>
</file>