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6"/>
          <w:szCs w:val="36"/>
        </w:rPr>
      </w:pPr>
      <w:r w:rsidDel="00000000" w:rsidR="00000000" w:rsidRPr="00000000">
        <w:rPr>
          <w:color w:val="202124"/>
          <w:sz w:val="36"/>
          <w:szCs w:val="36"/>
          <w:rtl w:val="0"/>
        </w:rPr>
        <w:t xml:space="preserve">https://cloud.google.com/api-gateway/docs/deployment-model</w:t>
      </w:r>
    </w:p>
    <w:p w:rsidR="00000000" w:rsidDel="00000000" w:rsidP="00000000" w:rsidRDefault="00000000" w:rsidRPr="00000000" w14:paraId="00000002">
      <w:pPr>
        <w:rPr>
          <w:color w:val="202124"/>
          <w:sz w:val="36"/>
          <w:szCs w:val="36"/>
        </w:rPr>
      </w:pPr>
      <w:r w:rsidDel="00000000" w:rsidR="00000000" w:rsidRPr="00000000">
        <w:rPr>
          <w:color w:val="202124"/>
          <w:sz w:val="36"/>
          <w:szCs w:val="36"/>
          <w:rtl w:val="0"/>
        </w:rPr>
        <w:t xml:space="preserve">What is API gateway?</w:t>
      </w:r>
    </w:p>
    <w:p w:rsidR="00000000" w:rsidDel="00000000" w:rsidP="00000000" w:rsidRDefault="00000000" w:rsidRPr="00000000" w14:paraId="00000003">
      <w:pPr>
        <w:rPr>
          <w:color w:val="2021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API Gateway  provide secure access to your backend services through a well-defined REST API that is consistent across all of your services, regardless of the service implementation. Clients consume your REST APIS to implement standalone apps for a mobile device or tablet, through apps running in a browser, or through any other type of app that can make a request to an HTTP endpoint.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right w:color="auto" w:space="30" w:sz="0" w:val="none"/>
        </w:pBdr>
        <w:shd w:fill="ffffff" w:val="clear"/>
        <w:spacing w:after="80" w:lineRule="auto"/>
        <w:ind w:right="-600"/>
        <w:rPr>
          <w:rFonts w:ascii="Roboto" w:cs="Roboto" w:eastAsia="Roboto" w:hAnsi="Roboto"/>
          <w:b w:val="1"/>
          <w:color w:val="202124"/>
          <w:sz w:val="34"/>
          <w:szCs w:val="34"/>
        </w:rPr>
      </w:pPr>
      <w:bookmarkStart w:colFirst="0" w:colLast="0" w:name="_seppgw4x9ync" w:id="0"/>
      <w:bookmarkEnd w:id="0"/>
      <w:r w:rsidDel="00000000" w:rsidR="00000000" w:rsidRPr="00000000">
        <w:rPr>
          <w:rFonts w:ascii="Roboto" w:cs="Roboto" w:eastAsia="Roboto" w:hAnsi="Roboto"/>
          <w:b w:val="1"/>
          <w:color w:val="202124"/>
          <w:sz w:val="34"/>
          <w:szCs w:val="34"/>
          <w:rtl w:val="0"/>
        </w:rPr>
        <w:t xml:space="preserve">///Service: apigateway.googleapis.com///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36"/>
          <w:szCs w:val="36"/>
        </w:rPr>
      </w:pPr>
      <w:r w:rsidDel="00000000" w:rsidR="00000000" w:rsidRPr="00000000">
        <w:rPr>
          <w:color w:val="202124"/>
          <w:sz w:val="36"/>
          <w:szCs w:val="36"/>
          <w:rtl w:val="0"/>
        </w:rPr>
        <w:t xml:space="preserve">API Gateway pricing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0" w:line="312" w:lineRule="auto"/>
        <w:rPr>
          <w:color w:val="202124"/>
          <w:sz w:val="24"/>
          <w:szCs w:val="24"/>
        </w:rPr>
      </w:pPr>
      <w:bookmarkStart w:colFirst="0" w:colLast="0" w:name="_ygsvjdgdxj5c" w:id="1"/>
      <w:bookmarkEnd w:id="1"/>
      <w:r w:rsidDel="00000000" w:rsidR="00000000" w:rsidRPr="00000000">
        <w:rPr>
          <w:color w:val="202124"/>
          <w:sz w:val="24"/>
          <w:szCs w:val="24"/>
          <w:rtl w:val="0"/>
        </w:rPr>
        <w:t xml:space="preserve">Per call pricing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API Gateway charges by its calls to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Service Control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. Each API call processed by API Gateway is reported as a tracked operation by the Service Control API and is listed as a line item for Service Control on your bill.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 price for API Gateway depends on the number of calls to your API, as described in the following table: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63.556638246041"/>
        <w:gridCol w:w="3796.443361753959"/>
        <w:tblGridChange w:id="0">
          <w:tblGrid>
            <w:gridCol w:w="5563.556638246041"/>
            <w:gridCol w:w="3796.443361753959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300.0" w:type="dxa"/>
              <w:left w:w="240.0" w:type="dxa"/>
              <w:bottom w:w="30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API calls per month per billing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300.0" w:type="dxa"/>
              <w:left w:w="240.0" w:type="dxa"/>
              <w:bottom w:w="30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Cost per million API calls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0-2M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2M-1B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$3.00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1B+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$1.50</w:t>
            </w:r>
          </w:p>
        </w:tc>
      </w:tr>
    </w:tbl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rtl w:val="0"/>
        </w:rPr>
        <w:t xml:space="preserve">If you pay in a currency other than USD, the prices listed in your currency on </w:t>
      </w:r>
      <w:hyperlink r:id="rId7">
        <w:r w:rsidDel="00000000" w:rsidR="00000000" w:rsidRPr="00000000">
          <w:rPr>
            <w:rFonts w:ascii="Roboto" w:cs="Roboto" w:eastAsia="Roboto" w:hAnsi="Roboto"/>
            <w:color w:val="1a73e8"/>
            <w:sz w:val="19"/>
            <w:szCs w:val="19"/>
            <w:rtl w:val="0"/>
          </w:rPr>
          <w:t xml:space="preserve">Cloud Platform SKUs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19"/>
          <w:szCs w:val="19"/>
          <w:rtl w:val="0"/>
        </w:rPr>
        <w:t xml:space="preserve"> apply.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0" w:before="0" w:line="312" w:lineRule="auto"/>
        <w:rPr>
          <w:color w:val="202124"/>
          <w:sz w:val="60"/>
          <w:szCs w:val="60"/>
        </w:rPr>
      </w:pPr>
      <w:bookmarkStart w:colFirst="0" w:colLast="0" w:name="_m4028x7vreu5" w:id="2"/>
      <w:bookmarkEnd w:id="2"/>
      <w:r w:rsidDel="00000000" w:rsidR="00000000" w:rsidRPr="00000000">
        <w:rPr>
          <w:color w:val="202124"/>
          <w:sz w:val="60"/>
          <w:szCs w:val="60"/>
          <w:rtl w:val="0"/>
        </w:rPr>
        <w:t xml:space="preserve">Ingress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Ingress is always free.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0" w:before="0" w:line="312" w:lineRule="auto"/>
        <w:rPr>
          <w:color w:val="202124"/>
          <w:sz w:val="60"/>
          <w:szCs w:val="60"/>
        </w:rPr>
      </w:pPr>
      <w:bookmarkStart w:colFirst="0" w:colLast="0" w:name="_m6k18ofn7pwb" w:id="3"/>
      <w:bookmarkEnd w:id="3"/>
      <w:r w:rsidDel="00000000" w:rsidR="00000000" w:rsidRPr="00000000">
        <w:rPr>
          <w:color w:val="202124"/>
          <w:sz w:val="60"/>
          <w:szCs w:val="60"/>
          <w:rtl w:val="0"/>
        </w:rPr>
        <w:t xml:space="preserve">Egress pricing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General network usage applies to data that exits Google. The API Gateway uses Premium Internet Egress, with prices shown below. Egress prices are consistent with Google Cloud Network Pricing - Premium Tier.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Prices are per GB per month.</w:t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50.5237515225335"/>
        <w:gridCol w:w="1219.878197320341"/>
        <w:gridCol w:w="1812.7161997563949"/>
        <w:gridCol w:w="1276.881851400731"/>
        <w:tblGridChange w:id="0">
          <w:tblGrid>
            <w:gridCol w:w="5050.5237515225335"/>
            <w:gridCol w:w="1219.878197320341"/>
            <w:gridCol w:w="1812.7161997563949"/>
            <w:gridCol w:w="1276.881851400731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300.0" w:type="dxa"/>
              <w:left w:w="240.0" w:type="dxa"/>
              <w:bottom w:w="30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Source and destination of traffic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300.0" w:type="dxa"/>
              <w:left w:w="240.0" w:type="dxa"/>
              <w:bottom w:w="30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0-10 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300.0" w:type="dxa"/>
              <w:left w:w="240.0" w:type="dxa"/>
              <w:bottom w:w="30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10 TB-150 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300.0" w:type="dxa"/>
              <w:left w:w="240.0" w:type="dxa"/>
              <w:bottom w:w="30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150 TB+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North America to North America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$0.060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Europe to Europe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$0.060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Asia Pacific to Asia Pacific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$0.080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South America to South America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$0.080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Oceania to Oceania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$0.080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Intercontinental (excluding Oceania and China)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$0.080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Intercontinental to/from Oceania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$0.150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Any traffic to China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$0.150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service-control/overview" TargetMode="External"/><Relationship Id="rId7" Type="http://schemas.openxmlformats.org/officeDocument/2006/relationships/hyperlink" Target="https://cloud.google.com/sku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