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Billing accounts creation in GCP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Limitations :- No limitations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Possibilities 1 :-  One billing account can map one or  more  projects //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Access levels required in GCP enviormenent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https://cloud.google.com/billing/docs/how-to/billing-access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01579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1579b"/>
          <w:sz w:val="21"/>
          <w:szCs w:val="21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1579b"/>
          <w:sz w:val="21"/>
          <w:szCs w:val="21"/>
          <w:rtl w:val="0"/>
        </w:rPr>
        <w:t xml:space="preserve"> Other legacy roles (such as Project Owner) also confer some Cloud Billing permissions. The Project Owner role is a superset of Project Billing Manager.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0157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01579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1579b"/>
          <w:sz w:val="21"/>
          <w:szCs w:val="21"/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0157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01579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01579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oud.google.com/billing/docs/how-to/billing-acc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