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
        </w:numPr>
        <w:spacing w:line="360" w:lineRule="auto"/>
        <w:ind w:left="720" w:hanging="360"/>
        <w:jc w:val="both"/>
        <w:rPr>
          <w:u w:val="none"/>
        </w:rPr>
      </w:pPr>
      <w:bookmarkStart w:colFirst="0" w:colLast="0" w:name="_qnomqwkox6k0" w:id="0"/>
      <w:bookmarkEnd w:id="0"/>
      <w:r w:rsidDel="00000000" w:rsidR="00000000" w:rsidRPr="00000000">
        <w:rPr>
          <w:rtl w:val="0"/>
        </w:rPr>
        <w:t xml:space="preserve">Introduction</w:t>
      </w:r>
    </w:p>
    <w:p w:rsidR="00000000" w:rsidDel="00000000" w:rsidP="00000000" w:rsidRDefault="00000000" w:rsidRPr="00000000" w14:paraId="00000002">
      <w:pPr>
        <w:spacing w:line="360" w:lineRule="auto"/>
        <w:jc w:val="both"/>
        <w:rPr>
          <w:sz w:val="24"/>
          <w:szCs w:val="24"/>
        </w:rPr>
      </w:pPr>
      <w:r w:rsidDel="00000000" w:rsidR="00000000" w:rsidRPr="00000000">
        <w:rPr>
          <w:sz w:val="24"/>
          <w:szCs w:val="24"/>
          <w:rtl w:val="0"/>
        </w:rPr>
        <w:t xml:space="preserve">The MoneyGram team is aiming to automate customer validation and transaction release processes, which involve verification from data sources. Quantiphi will build a GCP environment in which users can upload various document types via an API and receive a classification or entity extraction response for the specific document type. This project aims at developing an end-to-end pipeline for document classification and entity extraction. </w:t>
      </w:r>
    </w:p>
    <w:p w:rsidR="00000000" w:rsidDel="00000000" w:rsidP="00000000" w:rsidRDefault="00000000" w:rsidRPr="00000000" w14:paraId="00000003">
      <w:pPr>
        <w:spacing w:line="360" w:lineRule="auto"/>
        <w:jc w:val="both"/>
        <w:rPr>
          <w:sz w:val="24"/>
          <w:szCs w:val="24"/>
        </w:rPr>
      </w:pPr>
      <w:r w:rsidDel="00000000" w:rsidR="00000000" w:rsidRPr="00000000">
        <w:rPr>
          <w:rtl w:val="0"/>
        </w:rPr>
      </w:r>
    </w:p>
    <w:p w:rsidR="00000000" w:rsidDel="00000000" w:rsidP="00000000" w:rsidRDefault="00000000" w:rsidRPr="00000000" w14:paraId="00000004">
      <w:pPr>
        <w:pStyle w:val="Heading1"/>
        <w:numPr>
          <w:ilvl w:val="0"/>
          <w:numId w:val="2"/>
        </w:numPr>
        <w:spacing w:line="360" w:lineRule="auto"/>
        <w:ind w:left="720" w:hanging="360"/>
        <w:jc w:val="both"/>
        <w:rPr>
          <w:u w:val="none"/>
        </w:rPr>
      </w:pPr>
      <w:bookmarkStart w:colFirst="0" w:colLast="0" w:name="_ob900a4la9r4" w:id="1"/>
      <w:bookmarkEnd w:id="1"/>
      <w:r w:rsidDel="00000000" w:rsidR="00000000" w:rsidRPr="00000000">
        <w:rPr>
          <w:rtl w:val="0"/>
        </w:rPr>
        <w:t xml:space="preserve">Resource Management</w:t>
      </w:r>
    </w:p>
    <w:p w:rsidR="00000000" w:rsidDel="00000000" w:rsidP="00000000" w:rsidRDefault="00000000" w:rsidRPr="00000000" w14:paraId="00000005">
      <w:pPr>
        <w:spacing w:line="360" w:lineRule="auto"/>
        <w:jc w:val="both"/>
        <w:rPr>
          <w:sz w:val="24"/>
          <w:szCs w:val="24"/>
        </w:rPr>
      </w:pPr>
      <w:r w:rsidDel="00000000" w:rsidR="00000000" w:rsidRPr="00000000">
        <w:rPr>
          <w:sz w:val="24"/>
          <w:szCs w:val="24"/>
          <w:rtl w:val="0"/>
        </w:rPr>
        <w:t xml:space="preserve">This section covers how the MGO organization should be structured on the Google Cloud Platform. The standard naming convention for the GCP project and its resources. How to manage the billing account, monitor all your GCP charges in one place, set alerts for the defined budgets, and how to export your bills to BigQuery for detailed reporting and visual representation. </w:t>
      </w:r>
    </w:p>
    <w:p w:rsidR="00000000" w:rsidDel="00000000" w:rsidP="00000000" w:rsidRDefault="00000000" w:rsidRPr="00000000" w14:paraId="00000006">
      <w:pPr>
        <w:spacing w:line="360" w:lineRule="auto"/>
        <w:jc w:val="both"/>
        <w:rPr>
          <w:sz w:val="24"/>
          <w:szCs w:val="24"/>
        </w:rPr>
      </w:pPr>
      <w:r w:rsidDel="00000000" w:rsidR="00000000" w:rsidRPr="00000000">
        <w:rPr>
          <w:rtl w:val="0"/>
        </w:rPr>
      </w:r>
    </w:p>
    <w:p w:rsidR="00000000" w:rsidDel="00000000" w:rsidP="00000000" w:rsidRDefault="00000000" w:rsidRPr="00000000" w14:paraId="00000007">
      <w:pPr>
        <w:pStyle w:val="Heading2"/>
        <w:spacing w:line="360" w:lineRule="auto"/>
        <w:jc w:val="both"/>
        <w:rPr/>
      </w:pPr>
      <w:bookmarkStart w:colFirst="0" w:colLast="0" w:name="_fz0ga7oszwsk" w:id="2"/>
      <w:bookmarkEnd w:id="2"/>
      <w:r w:rsidDel="00000000" w:rsidR="00000000" w:rsidRPr="00000000">
        <w:rPr>
          <w:rtl w:val="0"/>
        </w:rPr>
        <w:t xml:space="preserve">2.1</w:t>
        <w:tab/>
        <w:t xml:space="preserve">Resource Hierarchy</w:t>
      </w:r>
    </w:p>
    <w:p w:rsidR="00000000" w:rsidDel="00000000" w:rsidP="00000000" w:rsidRDefault="00000000" w:rsidRPr="00000000" w14:paraId="00000008">
      <w:pPr>
        <w:pStyle w:val="Subtitle"/>
        <w:spacing w:line="360" w:lineRule="auto"/>
        <w:jc w:val="both"/>
        <w:rPr/>
      </w:pPr>
      <w:bookmarkStart w:colFirst="0" w:colLast="0" w:name="_hlxezxvpadu9" w:id="3"/>
      <w:bookmarkEnd w:id="3"/>
      <w:r w:rsidDel="00000000" w:rsidR="00000000" w:rsidRPr="00000000">
        <w:rPr>
          <w:rtl w:val="0"/>
        </w:rPr>
        <w:t xml:space="preserve">Description</w:t>
      </w:r>
    </w:p>
    <w:p w:rsidR="00000000" w:rsidDel="00000000" w:rsidP="00000000" w:rsidRDefault="00000000" w:rsidRPr="00000000" w14:paraId="00000009">
      <w:pPr>
        <w:spacing w:line="360" w:lineRule="auto"/>
        <w:jc w:val="both"/>
        <w:rPr>
          <w:sz w:val="24"/>
          <w:szCs w:val="24"/>
        </w:rPr>
      </w:pPr>
      <w:r w:rsidDel="00000000" w:rsidR="00000000" w:rsidRPr="00000000">
        <w:rPr>
          <w:sz w:val="24"/>
          <w:szCs w:val="24"/>
          <w:rtl w:val="0"/>
        </w:rPr>
        <w:t xml:space="preserve">GCP resources are organized hierarchically. This hierarchy allows MGO to map its organization's operational structure to GCP, and to manage access control and permissions for groups of related resources. </w:t>
      </w:r>
    </w:p>
    <w:p w:rsidR="00000000" w:rsidDel="00000000" w:rsidP="00000000" w:rsidRDefault="00000000" w:rsidRPr="00000000" w14:paraId="0000000A">
      <w:pPr>
        <w:spacing w:line="360" w:lineRule="auto"/>
        <w:jc w:val="both"/>
        <w:rPr>
          <w:sz w:val="24"/>
          <w:szCs w:val="24"/>
        </w:rPr>
      </w:pPr>
      <w:r w:rsidDel="00000000" w:rsidR="00000000" w:rsidRPr="00000000">
        <w:rPr>
          <w:rtl w:val="0"/>
        </w:rPr>
      </w:r>
    </w:p>
    <w:p w:rsidR="00000000" w:rsidDel="00000000" w:rsidP="00000000" w:rsidRDefault="00000000" w:rsidRPr="00000000" w14:paraId="0000000B">
      <w:pPr>
        <w:spacing w:line="360" w:lineRule="auto"/>
        <w:jc w:val="both"/>
        <w:rPr>
          <w:sz w:val="24"/>
          <w:szCs w:val="24"/>
        </w:rPr>
      </w:pPr>
      <w:r w:rsidDel="00000000" w:rsidR="00000000" w:rsidRPr="00000000">
        <w:rPr>
          <w:rtl w:val="0"/>
        </w:rPr>
      </w:r>
    </w:p>
    <w:p w:rsidR="00000000" w:rsidDel="00000000" w:rsidP="00000000" w:rsidRDefault="00000000" w:rsidRPr="00000000" w14:paraId="0000000C">
      <w:pPr>
        <w:spacing w:line="360" w:lineRule="auto"/>
        <w:jc w:val="both"/>
        <w:rPr>
          <w:sz w:val="24"/>
          <w:szCs w:val="24"/>
        </w:rPr>
      </w:pPr>
      <w:r w:rsidDel="00000000" w:rsidR="00000000" w:rsidRPr="00000000">
        <w:rPr>
          <w:rtl w:val="0"/>
        </w:rPr>
      </w:r>
    </w:p>
    <w:p w:rsidR="00000000" w:rsidDel="00000000" w:rsidP="00000000" w:rsidRDefault="00000000" w:rsidRPr="00000000" w14:paraId="0000000D">
      <w:pPr>
        <w:jc w:val="both"/>
        <w:rPr>
          <w:rFonts w:ascii="Google Sans" w:cs="Google Sans" w:eastAsia="Google Sans" w:hAnsi="Google Sans"/>
          <w:color w:val="757575"/>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590"/>
        <w:tblGridChange w:id="0">
          <w:tblGrid>
            <w:gridCol w:w="1770"/>
            <w:gridCol w:w="759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4285f4" w:val="clear"/>
            <w:tcMar>
              <w:top w:w="100.0" w:type="dxa"/>
              <w:left w:w="100.0" w:type="dxa"/>
              <w:bottom w:w="100.0" w:type="dxa"/>
              <w:right w:w="100.0" w:type="dxa"/>
            </w:tcMar>
            <w:vAlign w:val="center"/>
          </w:tcPr>
          <w:p w:rsidR="00000000" w:rsidDel="00000000" w:rsidP="00000000" w:rsidRDefault="00000000" w:rsidRPr="00000000" w14:paraId="0000000E">
            <w:pPr>
              <w:jc w:val="center"/>
              <w:rPr>
                <w:rFonts w:ascii="Google Sans" w:cs="Google Sans" w:eastAsia="Google Sans" w:hAnsi="Google Sans"/>
                <w:color w:val="ffffff"/>
              </w:rPr>
            </w:pPr>
            <w:r w:rsidDel="00000000" w:rsidR="00000000" w:rsidRPr="00000000">
              <w:rPr>
                <w:rFonts w:ascii="Google Sans" w:cs="Google Sans" w:eastAsia="Google Sans" w:hAnsi="Google Sans"/>
                <w:b w:val="1"/>
                <w:color w:val="ffffff"/>
                <w:rtl w:val="0"/>
              </w:rPr>
              <w:t xml:space="preserve">Organization</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F">
            <w:pPr>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An </w:t>
            </w:r>
            <w:r w:rsidDel="00000000" w:rsidR="00000000" w:rsidRPr="00000000">
              <w:rPr>
                <w:rFonts w:ascii="Google Sans" w:cs="Google Sans" w:eastAsia="Google Sans" w:hAnsi="Google Sans"/>
                <w:b w:val="1"/>
                <w:color w:val="757575"/>
                <w:rtl w:val="0"/>
              </w:rPr>
              <w:t xml:space="preserve">Organization</w:t>
            </w:r>
            <w:r w:rsidDel="00000000" w:rsidR="00000000" w:rsidRPr="00000000">
              <w:rPr>
                <w:rFonts w:ascii="Google Sans" w:cs="Google Sans" w:eastAsia="Google Sans" w:hAnsi="Google Sans"/>
                <w:color w:val="757575"/>
                <w:rtl w:val="0"/>
              </w:rPr>
              <w:t xml:space="preserve"> is the root node of the Google Cloud Platform hierarchy of resources. All resources that belong to an organization are grouped under the Organization node, which provides insight into and access control over every resource in the organization.</w:t>
            </w:r>
          </w:p>
          <w:p w:rsidR="00000000" w:rsidDel="00000000" w:rsidP="00000000" w:rsidRDefault="00000000" w:rsidRPr="00000000" w14:paraId="00000010">
            <w:pPr>
              <w:jc w:val="both"/>
              <w:rPr>
                <w:rFonts w:ascii="Google Sans" w:cs="Google Sans" w:eastAsia="Google Sans" w:hAnsi="Google Sans"/>
                <w:color w:val="757575"/>
              </w:rPr>
            </w:pPr>
            <w:r w:rsidDel="00000000" w:rsidR="00000000" w:rsidRPr="00000000">
              <w:rPr>
                <w:rtl w:val="0"/>
              </w:rPr>
            </w:r>
          </w:p>
          <w:p w:rsidR="00000000" w:rsidDel="00000000" w:rsidP="00000000" w:rsidRDefault="00000000" w:rsidRPr="00000000" w14:paraId="00000011">
            <w:pPr>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An organization is associated with exactly one </w:t>
            </w:r>
            <w:hyperlink r:id="rId6">
              <w:r w:rsidDel="00000000" w:rsidR="00000000" w:rsidRPr="00000000">
                <w:rPr>
                  <w:rFonts w:ascii="Google Sans" w:cs="Google Sans" w:eastAsia="Google Sans" w:hAnsi="Google Sans"/>
                  <w:color w:val="1155cc"/>
                  <w:u w:val="single"/>
                  <w:rtl w:val="0"/>
                </w:rPr>
                <w:t xml:space="preserve">Domain</w:t>
              </w:r>
            </w:hyperlink>
            <w:r w:rsidDel="00000000" w:rsidR="00000000" w:rsidRPr="00000000">
              <w:rPr>
                <w:rFonts w:ascii="Google Sans" w:cs="Google Sans" w:eastAsia="Google Sans" w:hAnsi="Google Sans"/>
                <w:color w:val="757575"/>
                <w:rtl w:val="0"/>
              </w:rPr>
              <w:t xml:space="preserve">.</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4285f4" w:val="clear"/>
            <w:tcMar>
              <w:top w:w="100.0" w:type="dxa"/>
              <w:left w:w="100.0" w:type="dxa"/>
              <w:bottom w:w="100.0" w:type="dxa"/>
              <w:right w:w="100.0" w:type="dxa"/>
            </w:tcMar>
            <w:vAlign w:val="center"/>
          </w:tcPr>
          <w:p w:rsidR="00000000" w:rsidDel="00000000" w:rsidP="00000000" w:rsidRDefault="00000000" w:rsidRPr="00000000" w14:paraId="00000012">
            <w:pPr>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Domains</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3">
            <w:pPr>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The </w:t>
            </w:r>
            <w:r w:rsidDel="00000000" w:rsidR="00000000" w:rsidRPr="00000000">
              <w:rPr>
                <w:rFonts w:ascii="Google Sans" w:cs="Google Sans" w:eastAsia="Google Sans" w:hAnsi="Google Sans"/>
                <w:b w:val="1"/>
                <w:color w:val="757575"/>
                <w:rtl w:val="0"/>
              </w:rPr>
              <w:t xml:space="preserve">Domain</w:t>
            </w:r>
            <w:r w:rsidDel="00000000" w:rsidR="00000000" w:rsidRPr="00000000">
              <w:rPr>
                <w:rFonts w:ascii="Google Sans" w:cs="Google Sans" w:eastAsia="Google Sans" w:hAnsi="Google Sans"/>
                <w:color w:val="757575"/>
                <w:rtl w:val="0"/>
              </w:rPr>
              <w:t xml:space="preserve"> allows you to manage the users in the MGO organization. An organization can have one primary domain and 599 non-primary (secondary domain).</w:t>
            </w:r>
          </w:p>
          <w:p w:rsidR="00000000" w:rsidDel="00000000" w:rsidP="00000000" w:rsidRDefault="00000000" w:rsidRPr="00000000" w14:paraId="00000014">
            <w:pPr>
              <w:jc w:val="both"/>
              <w:rPr>
                <w:rFonts w:ascii="Google Sans" w:cs="Google Sans" w:eastAsia="Google Sans" w:hAnsi="Google Sans"/>
                <w:color w:val="757575"/>
              </w:rPr>
            </w:pPr>
            <w:r w:rsidDel="00000000" w:rsidR="00000000" w:rsidRPr="00000000">
              <w:rPr>
                <w:rtl w:val="0"/>
              </w:rPr>
            </w:r>
          </w:p>
          <w:p w:rsidR="00000000" w:rsidDel="00000000" w:rsidP="00000000" w:rsidRDefault="00000000" w:rsidRPr="00000000" w14:paraId="00000015">
            <w:pPr>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Regardless of the secondary domain, users will still have the possibility to collaborate on the resources of the organization</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4285f4" w:val="clear"/>
            <w:tcMar>
              <w:top w:w="100.0" w:type="dxa"/>
              <w:left w:w="100.0" w:type="dxa"/>
              <w:bottom w:w="100.0" w:type="dxa"/>
              <w:right w:w="100.0" w:type="dxa"/>
            </w:tcMar>
            <w:vAlign w:val="center"/>
          </w:tcPr>
          <w:p w:rsidR="00000000" w:rsidDel="00000000" w:rsidP="00000000" w:rsidRDefault="00000000" w:rsidRPr="00000000" w14:paraId="00000016">
            <w:pPr>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Folder</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7">
            <w:pPr>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Folders</w:t>
            </w:r>
            <w:r w:rsidDel="00000000" w:rsidR="00000000" w:rsidRPr="00000000">
              <w:rPr>
                <w:rFonts w:ascii="Google Sans" w:cs="Google Sans" w:eastAsia="Google Sans" w:hAnsi="Google Sans"/>
                <w:color w:val="757575"/>
                <w:rtl w:val="0"/>
              </w:rPr>
              <w:t xml:space="preserve"> are resources in the organization hierarchy used to logically group projects by business needs. They are used as targets to set permission boundaries and support inheritance.</w:t>
              <w:br w:type="textWrapping"/>
            </w:r>
          </w:p>
          <w:p w:rsidR="00000000" w:rsidDel="00000000" w:rsidP="00000000" w:rsidRDefault="00000000" w:rsidRPr="00000000" w14:paraId="00000018">
            <w:pPr>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One benefit of using folders is that MGO can enforce different Cloud IAM policies on each folder level. </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4285f4" w:val="clear"/>
            <w:tcMar>
              <w:top w:w="100.0" w:type="dxa"/>
              <w:left w:w="100.0" w:type="dxa"/>
              <w:bottom w:w="100.0" w:type="dxa"/>
              <w:right w:w="100.0" w:type="dxa"/>
            </w:tcMar>
            <w:vAlign w:val="center"/>
          </w:tcPr>
          <w:p w:rsidR="00000000" w:rsidDel="00000000" w:rsidP="00000000" w:rsidRDefault="00000000" w:rsidRPr="00000000" w14:paraId="00000019">
            <w:pPr>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Project</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A">
            <w:pPr>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At the bottom of the hierarchy, </w:t>
            </w:r>
            <w:r w:rsidDel="00000000" w:rsidR="00000000" w:rsidRPr="00000000">
              <w:rPr>
                <w:rFonts w:ascii="Google Sans" w:cs="Google Sans" w:eastAsia="Google Sans" w:hAnsi="Google Sans"/>
                <w:b w:val="1"/>
                <w:color w:val="757575"/>
                <w:rtl w:val="0"/>
              </w:rPr>
              <w:t xml:space="preserve">Project</w:t>
            </w:r>
            <w:r w:rsidDel="00000000" w:rsidR="00000000" w:rsidRPr="00000000">
              <w:rPr>
                <w:rFonts w:ascii="Google Sans" w:cs="Google Sans" w:eastAsia="Google Sans" w:hAnsi="Google Sans"/>
                <w:color w:val="757575"/>
                <w:rtl w:val="0"/>
              </w:rPr>
              <w:t xml:space="preserve">. Projects contain the service-level resources (such as computing, storage, and networking resources) that process your workloads and constitute your apps. </w:t>
              <w:tab/>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4285f4" w:val="clear"/>
            <w:tcMar>
              <w:top w:w="100.0" w:type="dxa"/>
              <w:left w:w="100.0" w:type="dxa"/>
              <w:bottom w:w="100.0" w:type="dxa"/>
              <w:right w:w="100.0" w:type="dxa"/>
            </w:tcMar>
            <w:vAlign w:val="center"/>
          </w:tcPr>
          <w:p w:rsidR="00000000" w:rsidDel="00000000" w:rsidP="00000000" w:rsidRDefault="00000000" w:rsidRPr="00000000" w14:paraId="0000001B">
            <w:pPr>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Resource Labels</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C">
            <w:pPr>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Labels</w:t>
            </w:r>
            <w:r w:rsidDel="00000000" w:rsidR="00000000" w:rsidRPr="00000000">
              <w:rPr>
                <w:rFonts w:ascii="Google Sans" w:cs="Google Sans" w:eastAsia="Google Sans" w:hAnsi="Google Sans"/>
                <w:color w:val="757575"/>
                <w:rtl w:val="0"/>
              </w:rPr>
              <w:t xml:space="preserve"> are key/value pairs that provide a way to group together with resources that are related or associated with each other.  Leverage labels to easily search for resources that belong to each operating unit when necessary. </w:t>
            </w:r>
          </w:p>
        </w:tc>
      </w:tr>
    </w:tbl>
    <w:p w:rsidR="00000000" w:rsidDel="00000000" w:rsidP="00000000" w:rsidRDefault="00000000" w:rsidRPr="00000000" w14:paraId="0000001D">
      <w:pPr>
        <w:jc w:val="both"/>
        <w:rPr>
          <w:rFonts w:ascii="Google Sans" w:cs="Google Sans" w:eastAsia="Google Sans" w:hAnsi="Google Sans"/>
          <w:color w:val="757575"/>
        </w:rPr>
      </w:pPr>
      <w:r w:rsidDel="00000000" w:rsidR="00000000" w:rsidRPr="00000000">
        <w:rPr>
          <w:rtl w:val="0"/>
        </w:rPr>
      </w:r>
    </w:p>
    <w:p w:rsidR="00000000" w:rsidDel="00000000" w:rsidP="00000000" w:rsidRDefault="00000000" w:rsidRPr="00000000" w14:paraId="0000001E">
      <w:pPr>
        <w:spacing w:line="360" w:lineRule="auto"/>
        <w:jc w:val="both"/>
        <w:rPr>
          <w:sz w:val="24"/>
          <w:szCs w:val="24"/>
        </w:rPr>
      </w:pPr>
      <w:r w:rsidDel="00000000" w:rsidR="00000000" w:rsidRPr="00000000">
        <w:rPr>
          <w:rtl w:val="0"/>
        </w:rPr>
      </w:r>
    </w:p>
    <w:p w:rsidR="00000000" w:rsidDel="00000000" w:rsidP="00000000" w:rsidRDefault="00000000" w:rsidRPr="00000000" w14:paraId="0000001F">
      <w:pPr>
        <w:spacing w:line="360" w:lineRule="auto"/>
        <w:jc w:val="both"/>
        <w:rPr>
          <w:sz w:val="24"/>
          <w:szCs w:val="24"/>
        </w:rPr>
      </w:pPr>
      <w:r w:rsidDel="00000000" w:rsidR="00000000" w:rsidRPr="00000000">
        <w:rPr>
          <w:rtl w:val="0"/>
        </w:rPr>
      </w:r>
    </w:p>
    <w:p w:rsidR="00000000" w:rsidDel="00000000" w:rsidP="00000000" w:rsidRDefault="00000000" w:rsidRPr="00000000" w14:paraId="00000020">
      <w:pPr>
        <w:pStyle w:val="Heading2"/>
        <w:spacing w:line="360" w:lineRule="auto"/>
        <w:jc w:val="both"/>
        <w:rPr/>
      </w:pPr>
      <w:bookmarkStart w:colFirst="0" w:colLast="0" w:name="_cynbv83dwaoi" w:id="4"/>
      <w:bookmarkEnd w:id="4"/>
      <w:r w:rsidDel="00000000" w:rsidR="00000000" w:rsidRPr="00000000">
        <w:rPr>
          <w:rtl w:val="0"/>
        </w:rPr>
        <w:t xml:space="preserve">2.2 Billing</w:t>
      </w:r>
    </w:p>
    <w:p w:rsidR="00000000" w:rsidDel="00000000" w:rsidP="00000000" w:rsidRDefault="00000000" w:rsidRPr="00000000" w14:paraId="00000021">
      <w:pPr>
        <w:spacing w:line="360" w:lineRule="auto"/>
        <w:jc w:val="both"/>
        <w:rPr>
          <w:sz w:val="24"/>
          <w:szCs w:val="24"/>
        </w:rPr>
      </w:pPr>
      <w:r w:rsidDel="00000000" w:rsidR="00000000" w:rsidRPr="00000000">
        <w:rPr>
          <w:rtl w:val="0"/>
        </w:rPr>
      </w:r>
    </w:p>
    <w:p w:rsidR="00000000" w:rsidDel="00000000" w:rsidP="00000000" w:rsidRDefault="00000000" w:rsidRPr="00000000" w14:paraId="00000022">
      <w:pPr>
        <w:spacing w:line="360" w:lineRule="auto"/>
        <w:jc w:val="both"/>
        <w:rPr>
          <w:sz w:val="24"/>
          <w:szCs w:val="24"/>
        </w:rPr>
      </w:pPr>
      <w:r w:rsidDel="00000000" w:rsidR="00000000" w:rsidRPr="00000000">
        <w:rPr>
          <w:sz w:val="24"/>
          <w:szCs w:val="24"/>
          <w:rtl w:val="0"/>
        </w:rPr>
        <w:t xml:space="preserve">Cloud Billing accounts are linked to one or more GCP projects and are used to pay for the resources you use, such as compute, networking, and storage. Cloud Identity and Access Management (Cloud IAM) roles control access to Cloud Billing accounts.  </w:t>
      </w:r>
    </w:p>
    <w:p w:rsidR="00000000" w:rsidDel="00000000" w:rsidP="00000000" w:rsidRDefault="00000000" w:rsidRPr="00000000" w14:paraId="00000023">
      <w:pPr>
        <w:spacing w:line="360" w:lineRule="auto"/>
        <w:jc w:val="both"/>
        <w:rPr>
          <w:sz w:val="24"/>
          <w:szCs w:val="24"/>
        </w:rPr>
      </w:pPr>
      <w:r w:rsidDel="00000000" w:rsidR="00000000" w:rsidRPr="00000000">
        <w:rPr>
          <w:rtl w:val="0"/>
        </w:rPr>
      </w:r>
    </w:p>
    <w:p w:rsidR="00000000" w:rsidDel="00000000" w:rsidP="00000000" w:rsidRDefault="00000000" w:rsidRPr="00000000" w14:paraId="00000024">
      <w:pPr>
        <w:spacing w:line="360" w:lineRule="auto"/>
        <w:jc w:val="both"/>
        <w:rPr>
          <w:sz w:val="24"/>
          <w:szCs w:val="24"/>
        </w:rPr>
      </w:pPr>
      <w:r w:rsidDel="00000000" w:rsidR="00000000" w:rsidRPr="00000000">
        <w:rPr>
          <w:sz w:val="24"/>
          <w:szCs w:val="24"/>
          <w:rtl w:val="0"/>
        </w:rPr>
        <w:t xml:space="preserve">MGO currently owns and manages the billing account for the ‘mgo.com’ domain/organization. </w:t>
      </w:r>
    </w:p>
    <w:p w:rsidR="00000000" w:rsidDel="00000000" w:rsidP="00000000" w:rsidRDefault="00000000" w:rsidRPr="00000000" w14:paraId="00000025">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Additional Information</w:t>
      </w:r>
    </w:p>
    <w:p w:rsidR="00000000" w:rsidDel="00000000" w:rsidP="00000000" w:rsidRDefault="00000000" w:rsidRPr="00000000" w14:paraId="00000026">
      <w:pPr>
        <w:spacing w:line="360" w:lineRule="auto"/>
        <w:jc w:val="both"/>
        <w:rPr>
          <w:sz w:val="24"/>
          <w:szCs w:val="24"/>
        </w:rPr>
      </w:pPr>
      <w:r w:rsidDel="00000000" w:rsidR="00000000" w:rsidRPr="00000000">
        <w:rPr>
          <w:sz w:val="24"/>
          <w:szCs w:val="24"/>
          <w:rtl w:val="0"/>
        </w:rPr>
        <w:t xml:space="preserve">               </w:t>
      </w:r>
      <w:hyperlink r:id="rId7">
        <w:r w:rsidDel="00000000" w:rsidR="00000000" w:rsidRPr="00000000">
          <w:rPr>
            <w:color w:val="1155cc"/>
            <w:sz w:val="24"/>
            <w:szCs w:val="24"/>
            <w:u w:val="single"/>
            <w:rtl w:val="0"/>
          </w:rPr>
          <w:t xml:space="preserve">https://cloud.google.com/billing/docs/concepts</w:t>
        </w:r>
      </w:hyperlink>
      <w:r w:rsidDel="00000000" w:rsidR="00000000" w:rsidRPr="00000000">
        <w:rPr>
          <w:rtl w:val="0"/>
        </w:rPr>
      </w:r>
    </w:p>
    <w:p w:rsidR="00000000" w:rsidDel="00000000" w:rsidP="00000000" w:rsidRDefault="00000000" w:rsidRPr="00000000" w14:paraId="00000027">
      <w:pPr>
        <w:spacing w:line="360" w:lineRule="auto"/>
        <w:jc w:val="both"/>
        <w:rPr>
          <w:sz w:val="24"/>
          <w:szCs w:val="24"/>
        </w:rPr>
      </w:pPr>
      <w:r w:rsidDel="00000000" w:rsidR="00000000" w:rsidRPr="00000000">
        <w:rPr>
          <w:rtl w:val="0"/>
        </w:rPr>
      </w:r>
    </w:p>
    <w:p w:rsidR="00000000" w:rsidDel="00000000" w:rsidP="00000000" w:rsidRDefault="00000000" w:rsidRPr="00000000" w14:paraId="00000028">
      <w:pPr>
        <w:pStyle w:val="Heading2"/>
        <w:spacing w:line="360" w:lineRule="auto"/>
        <w:jc w:val="both"/>
        <w:rPr/>
      </w:pPr>
      <w:bookmarkStart w:colFirst="0" w:colLast="0" w:name="_25478zyf21yc" w:id="5"/>
      <w:bookmarkEnd w:id="5"/>
      <w:r w:rsidDel="00000000" w:rsidR="00000000" w:rsidRPr="00000000">
        <w:rPr>
          <w:rtl w:val="0"/>
        </w:rPr>
        <w:t xml:space="preserve">2.3</w:t>
        <w:tab/>
        <w:t xml:space="preserve">Naming conventions</w:t>
      </w:r>
    </w:p>
    <w:p w:rsidR="00000000" w:rsidDel="00000000" w:rsidP="00000000" w:rsidRDefault="00000000" w:rsidRPr="00000000" w14:paraId="00000029">
      <w:pPr>
        <w:spacing w:line="360" w:lineRule="auto"/>
        <w:jc w:val="both"/>
        <w:rPr>
          <w:sz w:val="24"/>
          <w:szCs w:val="24"/>
        </w:rPr>
      </w:pPr>
      <w:r w:rsidDel="00000000" w:rsidR="00000000" w:rsidRPr="00000000">
        <w:rPr>
          <w:sz w:val="24"/>
          <w:szCs w:val="24"/>
          <w:rtl w:val="0"/>
        </w:rPr>
        <w:t xml:space="preserve">Having a consistent naming practice is an important discipline. This ensures that administrators and end-users understand the purpose of each resource, where it is located, and how it is differentiated from other resources.</w:t>
      </w:r>
    </w:p>
    <w:p w:rsidR="00000000" w:rsidDel="00000000" w:rsidP="00000000" w:rsidRDefault="00000000" w:rsidRPr="00000000" w14:paraId="0000002A">
      <w:pPr>
        <w:pStyle w:val="Subtitle"/>
        <w:spacing w:line="360" w:lineRule="auto"/>
        <w:jc w:val="both"/>
        <w:rPr>
          <w:rFonts w:ascii="Google Sans" w:cs="Google Sans" w:eastAsia="Google Sans" w:hAnsi="Google Sans"/>
          <w:b w:val="1"/>
          <w:color w:val="4285f4"/>
          <w:sz w:val="26"/>
          <w:szCs w:val="26"/>
        </w:rPr>
      </w:pPr>
      <w:bookmarkStart w:colFirst="0" w:colLast="0" w:name="_xcmc9h24qaan" w:id="6"/>
      <w:bookmarkEnd w:id="6"/>
      <w:r w:rsidDel="00000000" w:rsidR="00000000" w:rsidRPr="00000000">
        <w:rPr>
          <w:rtl w:val="0"/>
        </w:rPr>
        <w:t xml:space="preserve">Recommendations</w:t>
      </w:r>
      <w:r w:rsidDel="00000000" w:rsidR="00000000" w:rsidRPr="00000000">
        <w:rPr>
          <w:rtl w:val="0"/>
        </w:rPr>
      </w:r>
    </w:p>
    <w:tbl>
      <w:tblPr>
        <w:tblStyle w:val="Table2"/>
        <w:tblW w:w="96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005"/>
        <w:gridCol w:w="3000"/>
        <w:gridCol w:w="3840"/>
        <w:tblGridChange w:id="0">
          <w:tblGrid>
            <w:gridCol w:w="1755"/>
            <w:gridCol w:w="1005"/>
            <w:gridCol w:w="3000"/>
            <w:gridCol w:w="3840"/>
          </w:tblGrid>
        </w:tblGridChange>
      </w:tblGrid>
      <w:tr>
        <w:trPr>
          <w:cantSplit w:val="0"/>
          <w:tblHeader w:val="0"/>
        </w:trPr>
        <w:tc>
          <w:tcPr>
            <w:tcBorders>
              <w:top w:color="000000" w:space="0" w:sz="0" w:val="nil"/>
              <w:left w:color="000000" w:space="0" w:sz="0" w:val="nil"/>
              <w:bottom w:color="ffffff" w:space="0" w:sz="8"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Token</w:t>
            </w:r>
          </w:p>
        </w:tc>
        <w:tc>
          <w:tcPr>
            <w:tcBorders>
              <w:top w:color="000000" w:space="0" w:sz="0" w:val="nil"/>
              <w:left w:color="000000" w:space="0" w:sz="0" w:val="nil"/>
              <w:bottom w:color="ffffff" w:space="0" w:sz="8"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Length (chars)</w:t>
            </w:r>
          </w:p>
        </w:tc>
        <w:tc>
          <w:tcPr>
            <w:tcBorders>
              <w:top w:color="000000" w:space="0" w:sz="0" w:val="nil"/>
              <w:left w:color="000000" w:space="0" w:sz="0" w:val="nil"/>
              <w:bottom w:color="ffffff" w:space="0" w:sz="8"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Details</w:t>
            </w:r>
          </w:p>
        </w:tc>
        <w:tc>
          <w:tcPr>
            <w:tcBorders>
              <w:top w:color="000000" w:space="0" w:sz="0" w:val="nil"/>
              <w:left w:color="000000" w:space="0" w:sz="0" w:val="nil"/>
              <w:bottom w:color="ffffff" w:space="0" w:sz="8"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Examples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center"/>
              <w:rPr>
                <w:rFonts w:ascii="Google Sans" w:cs="Google Sans" w:eastAsia="Google Sans" w:hAnsi="Google Sans"/>
                <w:b w:val="1"/>
                <w:color w:val="757575"/>
              </w:rPr>
            </w:pPr>
            <w:r w:rsidDel="00000000" w:rsidR="00000000" w:rsidRPr="00000000">
              <w:rPr>
                <w:rFonts w:ascii="Google Sans" w:cs="Google Sans" w:eastAsia="Google Sans" w:hAnsi="Google Sans"/>
                <w:b w:val="1"/>
                <w:color w:val="757575"/>
                <w:rtl w:val="0"/>
              </w:rPr>
              <w:t xml:space="preserve">Business unit prefix</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center"/>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3-5</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Defines the name of the business operating unit</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MGO: </w:t>
            </w:r>
            <w:r w:rsidDel="00000000" w:rsidR="00000000" w:rsidRPr="00000000">
              <w:rPr>
                <w:rFonts w:ascii="Google Sans" w:cs="Google Sans" w:eastAsia="Google Sans" w:hAnsi="Google Sans"/>
                <w:color w:val="757575"/>
                <w:rtl w:val="0"/>
              </w:rPr>
              <w:t xml:space="preserve">mgo</w:t>
            </w:r>
            <w:r w:rsidDel="00000000" w:rsidR="00000000" w:rsidRPr="00000000">
              <w:rPr>
                <w:rFonts w:ascii="Google Sans" w:cs="Google Sans" w:eastAsia="Google Sans" w:hAnsi="Google Sans"/>
                <w:color w:val="757575"/>
                <w:rtl w:val="0"/>
              </w:rPr>
              <w:br w:type="textWrapp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center"/>
              <w:rPr>
                <w:rFonts w:ascii="Google Sans" w:cs="Google Sans" w:eastAsia="Google Sans" w:hAnsi="Google Sans"/>
                <w:b w:val="1"/>
                <w:color w:val="757575"/>
              </w:rPr>
            </w:pPr>
            <w:r w:rsidDel="00000000" w:rsidR="00000000" w:rsidRPr="00000000">
              <w:rPr>
                <w:rFonts w:ascii="Google Sans" w:cs="Google Sans" w:eastAsia="Google Sans" w:hAnsi="Google Sans"/>
                <w:b w:val="1"/>
                <w:color w:val="757575"/>
                <w:rtl w:val="0"/>
              </w:rPr>
              <w:t xml:space="preserve">Environments</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jc w:val="center"/>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1-5</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The environment where the resource is deployed</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Development</w:t>
            </w:r>
            <w:r w:rsidDel="00000000" w:rsidR="00000000" w:rsidRPr="00000000">
              <w:rPr>
                <w:rFonts w:ascii="Google Sans" w:cs="Google Sans" w:eastAsia="Google Sans" w:hAnsi="Google Sans"/>
                <w:color w:val="757575"/>
                <w:rtl w:val="0"/>
              </w:rPr>
              <w:t xml:space="preserve">: dev</w:t>
            </w:r>
          </w:p>
          <w:p w:rsidR="00000000" w:rsidDel="00000000" w:rsidP="00000000" w:rsidRDefault="00000000" w:rsidRPr="00000000" w14:paraId="00000037">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Staging</w:t>
            </w:r>
            <w:r w:rsidDel="00000000" w:rsidR="00000000" w:rsidRPr="00000000">
              <w:rPr>
                <w:rFonts w:ascii="Google Sans" w:cs="Google Sans" w:eastAsia="Google Sans" w:hAnsi="Google Sans"/>
                <w:color w:val="757575"/>
                <w:rtl w:val="0"/>
              </w:rPr>
              <w:t xml:space="preserve">: stage</w:t>
            </w:r>
          </w:p>
          <w:p w:rsidR="00000000" w:rsidDel="00000000" w:rsidP="00000000" w:rsidRDefault="00000000" w:rsidRPr="00000000" w14:paraId="00000038">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User Acceptance Testing</w:t>
            </w:r>
            <w:r w:rsidDel="00000000" w:rsidR="00000000" w:rsidRPr="00000000">
              <w:rPr>
                <w:rFonts w:ascii="Google Sans" w:cs="Google Sans" w:eastAsia="Google Sans" w:hAnsi="Google Sans"/>
                <w:color w:val="757575"/>
                <w:rtl w:val="0"/>
              </w:rPr>
              <w:t xml:space="preserve">: uat</w:t>
            </w:r>
          </w:p>
          <w:p w:rsidR="00000000" w:rsidDel="00000000" w:rsidP="00000000" w:rsidRDefault="00000000" w:rsidRPr="00000000" w14:paraId="00000039">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Production</w:t>
            </w:r>
            <w:r w:rsidDel="00000000" w:rsidR="00000000" w:rsidRPr="00000000">
              <w:rPr>
                <w:rFonts w:ascii="Google Sans" w:cs="Google Sans" w:eastAsia="Google Sans" w:hAnsi="Google Sans"/>
                <w:color w:val="757575"/>
                <w:rtl w:val="0"/>
              </w:rPr>
              <w:t xml:space="preserve">: prod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center"/>
              <w:rPr>
                <w:rFonts w:ascii="Google Sans" w:cs="Google Sans" w:eastAsia="Google Sans" w:hAnsi="Google Sans"/>
                <w:b w:val="1"/>
                <w:color w:val="757575"/>
              </w:rPr>
            </w:pPr>
            <w:r w:rsidDel="00000000" w:rsidR="00000000" w:rsidRPr="00000000">
              <w:rPr>
                <w:rFonts w:ascii="Google Sans" w:cs="Google Sans" w:eastAsia="Google Sans" w:hAnsi="Google Sans"/>
                <w:b w:val="1"/>
                <w:color w:val="757575"/>
                <w:rtl w:val="0"/>
              </w:rPr>
              <w:t xml:space="preserve">Initiatives</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2-10</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Name of the initiatives (as an abbreviation) associated with operating unit</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Document Analysis:</w:t>
            </w:r>
            <w:r w:rsidDel="00000000" w:rsidR="00000000" w:rsidRPr="00000000">
              <w:rPr>
                <w:rFonts w:ascii="Google Sans" w:cs="Google Sans" w:eastAsia="Google Sans" w:hAnsi="Google Sans"/>
                <w:color w:val="757575"/>
                <w:rtl w:val="0"/>
              </w:rPr>
              <w:t xml:space="preserve"> da</w:t>
            </w:r>
          </w:p>
          <w:p w:rsidR="00000000" w:rsidDel="00000000" w:rsidP="00000000" w:rsidRDefault="00000000" w:rsidRPr="00000000" w14:paraId="0000003E">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Shared Services:</w:t>
            </w:r>
            <w:r w:rsidDel="00000000" w:rsidR="00000000" w:rsidRPr="00000000">
              <w:rPr>
                <w:rFonts w:ascii="Google Sans" w:cs="Google Sans" w:eastAsia="Google Sans" w:hAnsi="Google Sans"/>
                <w:color w:val="757575"/>
                <w:rtl w:val="0"/>
              </w:rPr>
              <w:t xml:space="preserve"> ss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jc w:val="center"/>
              <w:rPr>
                <w:rFonts w:ascii="Google Sans" w:cs="Google Sans" w:eastAsia="Google Sans" w:hAnsi="Google Sans"/>
                <w:b w:val="1"/>
                <w:color w:val="757575"/>
              </w:rPr>
            </w:pPr>
            <w:r w:rsidDel="00000000" w:rsidR="00000000" w:rsidRPr="00000000">
              <w:rPr>
                <w:rFonts w:ascii="Google Sans" w:cs="Google Sans" w:eastAsia="Google Sans" w:hAnsi="Google Sans"/>
                <w:b w:val="1"/>
                <w:color w:val="757575"/>
                <w:rtl w:val="0"/>
              </w:rPr>
              <w:t xml:space="preserve">Resource</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jc w:val="center"/>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1-5</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An abbreviation for the resource type</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Google Cloud Storage:</w:t>
            </w:r>
            <w:r w:rsidDel="00000000" w:rsidR="00000000" w:rsidRPr="00000000">
              <w:rPr>
                <w:rFonts w:ascii="Google Sans" w:cs="Google Sans" w:eastAsia="Google Sans" w:hAnsi="Google Sans"/>
                <w:color w:val="757575"/>
                <w:rtl w:val="0"/>
              </w:rPr>
              <w:t xml:space="preserve"> gcs</w:t>
              <w:br w:type="textWrapping"/>
            </w:r>
            <w:r w:rsidDel="00000000" w:rsidR="00000000" w:rsidRPr="00000000">
              <w:rPr>
                <w:rFonts w:ascii="Google Sans" w:cs="Google Sans" w:eastAsia="Google Sans" w:hAnsi="Google Sans"/>
                <w:b w:val="1"/>
                <w:color w:val="757575"/>
                <w:rtl w:val="0"/>
              </w:rPr>
              <w:t xml:space="preserve">Bigquery:</w:t>
            </w:r>
            <w:r w:rsidDel="00000000" w:rsidR="00000000" w:rsidRPr="00000000">
              <w:rPr>
                <w:rFonts w:ascii="Google Sans" w:cs="Google Sans" w:eastAsia="Google Sans" w:hAnsi="Google Sans"/>
                <w:color w:val="757575"/>
                <w:rtl w:val="0"/>
              </w:rPr>
              <w:t xml:space="preserve"> bq</w:t>
            </w:r>
          </w:p>
          <w:p w:rsidR="00000000" w:rsidDel="00000000" w:rsidP="00000000" w:rsidRDefault="00000000" w:rsidRPr="00000000" w14:paraId="00000043">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Google Kubernetes Engine: </w:t>
            </w:r>
            <w:r w:rsidDel="00000000" w:rsidR="00000000" w:rsidRPr="00000000">
              <w:rPr>
                <w:rFonts w:ascii="Google Sans" w:cs="Google Sans" w:eastAsia="Google Sans" w:hAnsi="Google Sans"/>
                <w:color w:val="757575"/>
                <w:rtl w:val="0"/>
              </w:rPr>
              <w:t xml:space="preserve">gke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Google Sans" w:cs="Google Sans" w:eastAsia="Google Sans" w:hAnsi="Google Sans"/>
                <w:b w:val="1"/>
                <w:color w:val="757575"/>
              </w:rPr>
            </w:pPr>
            <w:r w:rsidDel="00000000" w:rsidR="00000000" w:rsidRPr="00000000">
              <w:rPr>
                <w:rFonts w:ascii="Google Sans" w:cs="Google Sans" w:eastAsia="Google Sans" w:hAnsi="Google Sans"/>
                <w:b w:val="1"/>
                <w:color w:val="757575"/>
                <w:rtl w:val="0"/>
              </w:rPr>
              <w:t xml:space="preserve">Location</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center"/>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1-5</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An abbreviation of where the resource is located</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Zone</w:t>
            </w:r>
            <w:r w:rsidDel="00000000" w:rsidR="00000000" w:rsidRPr="00000000">
              <w:rPr>
                <w:rFonts w:ascii="Google Sans" w:cs="Google Sans" w:eastAsia="Google Sans" w:hAnsi="Google Sans"/>
                <w:color w:val="757575"/>
                <w:rtl w:val="0"/>
              </w:rPr>
              <w:t xml:space="preserve">: us-east4-b -&gt; use4b</w:t>
            </w:r>
          </w:p>
          <w:p w:rsidR="00000000" w:rsidDel="00000000" w:rsidP="00000000" w:rsidRDefault="00000000" w:rsidRPr="00000000" w14:paraId="00000048">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Region</w:t>
            </w:r>
            <w:r w:rsidDel="00000000" w:rsidR="00000000" w:rsidRPr="00000000">
              <w:rPr>
                <w:rFonts w:ascii="Google Sans" w:cs="Google Sans" w:eastAsia="Google Sans" w:hAnsi="Google Sans"/>
                <w:color w:val="757575"/>
                <w:rtl w:val="0"/>
              </w:rPr>
              <w:t xml:space="preserve">: us-east4 -&gt; use4</w:t>
            </w:r>
          </w:p>
          <w:p w:rsidR="00000000" w:rsidDel="00000000" w:rsidP="00000000" w:rsidRDefault="00000000" w:rsidRPr="00000000" w14:paraId="00000049">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b w:val="1"/>
                <w:color w:val="757575"/>
                <w:rtl w:val="0"/>
              </w:rPr>
              <w:t xml:space="preserve">Global</w:t>
            </w:r>
            <w:r w:rsidDel="00000000" w:rsidR="00000000" w:rsidRPr="00000000">
              <w:rPr>
                <w:rFonts w:ascii="Google Sans" w:cs="Google Sans" w:eastAsia="Google Sans" w:hAnsi="Google Sans"/>
                <w:color w:val="757575"/>
                <w:rtl w:val="0"/>
              </w:rPr>
              <w:t xml:space="preserve">: 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rFonts w:ascii="Google Sans" w:cs="Google Sans" w:eastAsia="Google Sans" w:hAnsi="Google Sans"/>
                <w:b w:val="1"/>
                <w:color w:val="757575"/>
              </w:rPr>
            </w:pPr>
            <w:r w:rsidDel="00000000" w:rsidR="00000000" w:rsidRPr="00000000">
              <w:rPr>
                <w:rFonts w:ascii="Google Sans" w:cs="Google Sans" w:eastAsia="Google Sans" w:hAnsi="Google Sans"/>
                <w:b w:val="1"/>
                <w:color w:val="757575"/>
                <w:rtl w:val="0"/>
              </w:rPr>
              <w:t xml:space="preserve">Description</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center"/>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10</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[Optional] Description of the resource to be deployed</w:t>
            </w:r>
          </w:p>
        </w:tc>
        <w:tc>
          <w:tcPr>
            <w:tcBorders>
              <w:top w:color="ffffff" w:space="0" w:sz="8" w:val="single"/>
              <w:left w:color="ffffff" w:space="0" w:sz="8" w:val="single"/>
              <w:bottom w:color="ffffff" w:space="0" w:sz="8" w:val="single"/>
              <w:right w:color="ffffff" w:space="0" w:sz="8" w:val="single"/>
            </w:tcBorders>
            <w:shd w:fill="e3f2fd"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jc w:val="both"/>
              <w:rPr>
                <w:rFonts w:ascii="Google Sans" w:cs="Google Sans" w:eastAsia="Google Sans" w:hAnsi="Google Sans"/>
                <w:color w:val="757575"/>
              </w:rPr>
            </w:pPr>
            <w:r w:rsidDel="00000000" w:rsidR="00000000" w:rsidRPr="00000000">
              <w:rPr>
                <w:rFonts w:ascii="Google Sans" w:cs="Google Sans" w:eastAsia="Google Sans" w:hAnsi="Google Sans"/>
                <w:color w:val="757575"/>
                <w:rtl w:val="0"/>
              </w:rPr>
              <w:t xml:space="preserve">Cluster, Dataset, etc</w:t>
            </w:r>
          </w:p>
        </w:tc>
      </w:tr>
    </w:tbl>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rFonts w:ascii="Google Sans" w:cs="Google Sans" w:eastAsia="Google Sans" w:hAnsi="Google Sans"/>
        </w:rPr>
      </w:pPr>
      <w:r w:rsidDel="00000000" w:rsidR="00000000" w:rsidRPr="00000000">
        <w:rPr>
          <w:rtl w:val="0"/>
        </w:rPr>
      </w:r>
    </w:p>
    <w:tbl>
      <w:tblPr>
        <w:tblStyle w:val="Table3"/>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1.25"/>
        <w:gridCol w:w="3571.875"/>
        <w:gridCol w:w="3571.875"/>
        <w:tblGridChange w:id="0">
          <w:tblGrid>
            <w:gridCol w:w="2381.25"/>
            <w:gridCol w:w="3571.875"/>
            <w:gridCol w:w="3571.875"/>
          </w:tblGrid>
        </w:tblGridChange>
      </w:tblGrid>
      <w:tr>
        <w:trPr>
          <w:cantSplit w:val="0"/>
          <w:trHeight w:val="315" w:hRule="atLeast"/>
          <w:tblHeader w:val="1"/>
        </w:trPr>
        <w:tc>
          <w:tcPr>
            <w:vMerge w:val="restart"/>
            <w:tcBorders>
              <w:top w:color="000000" w:space="0" w:sz="6" w:val="single"/>
              <w:left w:color="000000" w:space="0" w:sz="6" w:val="single"/>
              <w:bottom w:color="000000" w:space="0" w:sz="6" w:val="single"/>
              <w:right w:color="000000" w:space="0" w:sz="6" w:val="single"/>
            </w:tcBorders>
            <w:shd w:fill="a64d79"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rFonts w:ascii="Montserrat" w:cs="Montserrat" w:eastAsia="Montserrat" w:hAnsi="Montserrat"/>
                <w:b w:val="1"/>
                <w:color w:val="ffffff"/>
                <w:sz w:val="20"/>
                <w:szCs w:val="20"/>
                <w:rtl w:val="0"/>
              </w:rPr>
              <w:t xml:space="preserve">Services</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a64d79"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rFonts w:ascii="Montserrat" w:cs="Montserrat" w:eastAsia="Montserrat" w:hAnsi="Montserrat"/>
                <w:b w:val="1"/>
                <w:color w:val="ffffff"/>
                <w:sz w:val="20"/>
                <w:szCs w:val="20"/>
                <w:rtl w:val="0"/>
              </w:rPr>
              <w:t xml:space="preserve">Naming Convention</w:t>
            </w:r>
            <w:r w:rsidDel="00000000" w:rsidR="00000000" w:rsidRPr="00000000">
              <w:rPr>
                <w:rtl w:val="0"/>
              </w:rPr>
            </w:r>
          </w:p>
        </w:tc>
      </w:tr>
      <w:tr>
        <w:trPr>
          <w:cantSplit w:val="0"/>
          <w:trHeight w:val="315" w:hRule="atLeast"/>
          <w:tblHeader w:val="1"/>
        </w:trPr>
        <w:tc>
          <w:tcPr>
            <w:vMerge w:val="continue"/>
            <w:tcBorders>
              <w:top w:color="000000" w:space="0" w:sz="6" w:val="single"/>
              <w:left w:color="000000" w:space="0" w:sz="6" w:val="single"/>
              <w:bottom w:color="000000" w:space="0" w:sz="6" w:val="single"/>
              <w:right w:color="000000" w:space="0" w:sz="6" w:val="single"/>
            </w:tcBorders>
            <w:shd w:fill="a64d79" w:val="clear"/>
            <w:tcMar>
              <w:top w:w="40.0" w:type="dxa"/>
              <w:left w:w="40.0" w:type="dxa"/>
              <w:bottom w:w="40.0" w:type="dxa"/>
              <w:right w:w="40.0" w:type="dxa"/>
            </w:tcMar>
            <w:vAlign w:val="bottom"/>
          </w:tcPr>
          <w:p w:rsidR="00000000" w:rsidDel="00000000" w:rsidP="00000000" w:rsidRDefault="00000000" w:rsidRPr="00000000" w14:paraId="00000053">
            <w:pPr>
              <w:widowControl w:val="0"/>
              <w:spacing w:after="0" w:before="0" w:line="240" w:lineRule="auto"/>
              <w:ind w:left="0" w:firstLine="0"/>
              <w:jc w:val="center"/>
              <w:rPr>
                <w:rFonts w:ascii="Montserrat" w:cs="Montserrat" w:eastAsia="Montserrat" w:hAnsi="Montserrat"/>
                <w:b w:val="1"/>
                <w:color w:val="ffffff"/>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64d79"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Quantiphi's Understanding</w:t>
            </w:r>
          </w:p>
        </w:tc>
        <w:tc>
          <w:tcPr>
            <w:tcBorders>
              <w:top w:color="000000" w:space="0" w:sz="6" w:val="single"/>
              <w:left w:color="cccccc" w:space="0" w:sz="6" w:val="single"/>
              <w:bottom w:color="000000" w:space="0" w:sz="6" w:val="single"/>
              <w:right w:color="000000" w:space="0" w:sz="6" w:val="single"/>
            </w:tcBorders>
            <w:shd w:fill="a64d79"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MoneyGram's Response</w:t>
            </w:r>
          </w:p>
        </w:tc>
      </w:tr>
      <w:tr>
        <w:trPr>
          <w:cantSplit w:val="0"/>
          <w:trHeight w:val="13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6">
            <w:pPr>
              <w:widowControl w:val="0"/>
              <w:jc w:val="center"/>
              <w:rPr>
                <w:sz w:val="20"/>
                <w:szCs w:val="20"/>
              </w:rPr>
            </w:pPr>
            <w:r w:rsidDel="00000000" w:rsidR="00000000" w:rsidRPr="00000000">
              <w:rPr>
                <w:rFonts w:ascii="Montserrat" w:cs="Montserrat" w:eastAsia="Montserrat" w:hAnsi="Montserrat"/>
                <w:sz w:val="20"/>
                <w:szCs w:val="20"/>
                <w:rtl w:val="0"/>
              </w:rPr>
              <w:t xml:space="preserve">Cloud Storage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57">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Syntax : &lt;ou&gt;-&lt;env&gt;-&lt;init&gt;-&lt;resource&gt;-&lt;location&gt;-&lt;description&gt;</w:t>
            </w:r>
          </w:p>
          <w:p w:rsidR="00000000" w:rsidDel="00000000" w:rsidP="00000000" w:rsidRDefault="00000000" w:rsidRPr="00000000" w14:paraId="00000058">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mgo-np-da-gcs-use4-&lt;description&gt;</w:t>
            </w:r>
          </w:p>
          <w:p w:rsidR="00000000" w:rsidDel="00000000" w:rsidP="00000000" w:rsidRDefault="00000000" w:rsidRPr="00000000" w14:paraId="00000059">
            <w:pPr>
              <w:widowControl w:val="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A">
            <w:pPr>
              <w:widowControl w:val="0"/>
              <w:rPr>
                <w:rFonts w:ascii="Montserrat" w:cs="Montserrat" w:eastAsia="Montserrat" w:hAnsi="Montserrat"/>
                <w:sz w:val="20"/>
                <w:szCs w:val="20"/>
              </w:rPr>
            </w:pPr>
            <w:r w:rsidDel="00000000" w:rsidR="00000000" w:rsidRPr="00000000">
              <w:rPr>
                <w:rFonts w:ascii="Montserrat" w:cs="Montserrat" w:eastAsia="Montserrat" w:hAnsi="Montserrat"/>
                <w:i w:val="1"/>
                <w:sz w:val="20"/>
                <w:szCs w:val="20"/>
                <w:rtl w:val="0"/>
              </w:rPr>
              <w:t xml:space="preserve">eg. mgo-np-da-gcs-use4-labelled-documents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5B">
            <w:pPr>
              <w:widowControl w:val="0"/>
              <w:rPr>
                <w:rFonts w:ascii="Montserrat" w:cs="Montserrat" w:eastAsia="Montserrat" w:hAnsi="Montserrat"/>
                <w:sz w:val="20"/>
                <w:szCs w:val="20"/>
              </w:rPr>
            </w:pPr>
            <w:r w:rsidDel="00000000" w:rsidR="00000000" w:rsidRPr="00000000">
              <w:rPr>
                <w:rtl w:val="0"/>
              </w:rPr>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C">
            <w:pPr>
              <w:widowControl w:val="0"/>
              <w:jc w:val="center"/>
              <w:rPr>
                <w:sz w:val="20"/>
                <w:szCs w:val="20"/>
              </w:rPr>
            </w:pPr>
            <w:r w:rsidDel="00000000" w:rsidR="00000000" w:rsidRPr="00000000">
              <w:rPr>
                <w:rFonts w:ascii="Montserrat" w:cs="Montserrat" w:eastAsia="Montserrat" w:hAnsi="Montserrat"/>
                <w:sz w:val="20"/>
                <w:szCs w:val="20"/>
                <w:rtl w:val="0"/>
              </w:rPr>
              <w:t xml:space="preserve">Service Account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5D">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sa-&lt;mg&gt;-&lt;env&gt;-&lt;resourcedescription&gt;@&lt;projectid&gt;.iam.gserviceaccount.com</w:t>
            </w:r>
          </w:p>
          <w:p w:rsidR="00000000" w:rsidDel="00000000" w:rsidP="00000000" w:rsidRDefault="00000000" w:rsidRPr="00000000" w14:paraId="0000005E">
            <w:pPr>
              <w:widowControl w:val="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F">
            <w:pPr>
              <w:widowControl w:val="0"/>
              <w:rPr>
                <w:i w:val="1"/>
                <w:sz w:val="20"/>
                <w:szCs w:val="20"/>
              </w:rPr>
            </w:pPr>
            <w:r w:rsidDel="00000000" w:rsidR="00000000" w:rsidRPr="00000000">
              <w:rPr>
                <w:rFonts w:ascii="Montserrat" w:cs="Montserrat" w:eastAsia="Montserrat" w:hAnsi="Montserrat"/>
                <w:i w:val="1"/>
                <w:sz w:val="20"/>
                <w:szCs w:val="20"/>
                <w:rtl w:val="0"/>
              </w:rPr>
              <w:t xml:space="preserve">eg. </w:t>
            </w:r>
            <w:r w:rsidDel="00000000" w:rsidR="00000000" w:rsidRPr="00000000">
              <w:rPr>
                <w:i w:val="1"/>
                <w:sz w:val="20"/>
                <w:szCs w:val="20"/>
                <w:rtl w:val="0"/>
              </w:rPr>
              <w:t xml:space="preserve">sa-mg-dev-ai-notebook</w:t>
            </w:r>
          </w:p>
          <w:p w:rsidR="00000000" w:rsidDel="00000000" w:rsidP="00000000" w:rsidRDefault="00000000" w:rsidRPr="00000000" w14:paraId="00000060">
            <w:pPr>
              <w:widowControl w:val="0"/>
              <w:rPr>
                <w:rFonts w:ascii="Montserrat" w:cs="Montserrat" w:eastAsia="Montserrat" w:hAnsi="Montserrat"/>
                <w:i w:val="1"/>
                <w:sz w:val="20"/>
                <w:szCs w:val="20"/>
              </w:rPr>
            </w:pPr>
            <w:r w:rsidDel="00000000" w:rsidR="00000000" w:rsidRPr="00000000">
              <w:rPr>
                <w:i w:val="1"/>
                <w:sz w:val="20"/>
                <w:szCs w:val="20"/>
                <w:rtl w:val="0"/>
              </w:rPr>
              <w:t xml:space="preserve">@mgi-edw-dev.iam.gserviceaccount.com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61">
            <w:pPr>
              <w:widowControl w:val="0"/>
              <w:rPr>
                <w:rFonts w:ascii="Montserrat" w:cs="Montserrat" w:eastAsia="Montserrat" w:hAnsi="Montserrat"/>
                <w:sz w:val="20"/>
                <w:szCs w:val="20"/>
              </w:rPr>
            </w:pPr>
            <w:r w:rsidDel="00000000" w:rsidR="00000000" w:rsidRPr="00000000">
              <w:rPr>
                <w:rtl w:val="0"/>
              </w:rPr>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2">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Pub/Sub Topics</w:t>
            </w:r>
          </w:p>
          <w:p w:rsidR="00000000" w:rsidDel="00000000" w:rsidP="00000000" w:rsidRDefault="00000000" w:rsidRPr="00000000" w14:paraId="00000063">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&amp;</w:t>
            </w:r>
          </w:p>
          <w:p w:rsidR="00000000" w:rsidDel="00000000" w:rsidP="00000000" w:rsidRDefault="00000000" w:rsidRPr="00000000" w14:paraId="00000064">
            <w:pPr>
              <w:widowControl w:val="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Cloud Run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65">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&lt;ou&gt;-&lt;env&gt;-&lt;init&gt;-&lt;resource&gt;-&lt;location&gt;-&lt;description&gt;</w:t>
            </w:r>
          </w:p>
          <w:p w:rsidR="00000000" w:rsidDel="00000000" w:rsidP="00000000" w:rsidRDefault="00000000" w:rsidRPr="00000000" w14:paraId="00000066">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quantiphi-np-dp-topic-g-&lt;description&gt;</w:t>
            </w:r>
          </w:p>
          <w:p w:rsidR="00000000" w:rsidDel="00000000" w:rsidP="00000000" w:rsidRDefault="00000000" w:rsidRPr="00000000" w14:paraId="00000067">
            <w:pPr>
              <w:widowControl w:val="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8">
            <w:pPr>
              <w:widowControl w:val="0"/>
              <w:rPr>
                <w:rFonts w:ascii="Montserrat" w:cs="Montserrat" w:eastAsia="Montserrat" w:hAnsi="Montserrat"/>
                <w:sz w:val="20"/>
                <w:szCs w:val="20"/>
              </w:rPr>
            </w:pPr>
            <w:r w:rsidDel="00000000" w:rsidR="00000000" w:rsidRPr="00000000">
              <w:rPr>
                <w:rFonts w:ascii="Montserrat" w:cs="Montserrat" w:eastAsia="Montserrat" w:hAnsi="Montserrat"/>
                <w:i w:val="1"/>
                <w:sz w:val="20"/>
                <w:szCs w:val="20"/>
                <w:rtl w:val="0"/>
              </w:rPr>
              <w:t xml:space="preserve">eg. mg-dev-cloudrun-job-preprocessing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69">
            <w:pPr>
              <w:widowControl w:val="0"/>
              <w:rPr>
                <w:rFonts w:ascii="Montserrat" w:cs="Montserrat" w:eastAsia="Montserrat" w:hAnsi="Montserrat"/>
                <w:sz w:val="20"/>
                <w:szCs w:val="20"/>
              </w:rPr>
            </w:pP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A">
            <w:pPr>
              <w:widowControl w:val="0"/>
              <w:jc w:val="center"/>
              <w:rPr>
                <w:sz w:val="20"/>
                <w:szCs w:val="20"/>
              </w:rPr>
            </w:pPr>
            <w:r w:rsidDel="00000000" w:rsidR="00000000" w:rsidRPr="00000000">
              <w:rPr>
                <w:rFonts w:ascii="Montserrat" w:cs="Montserrat" w:eastAsia="Montserrat" w:hAnsi="Montserrat"/>
                <w:sz w:val="20"/>
                <w:szCs w:val="20"/>
                <w:rtl w:val="0"/>
              </w:rPr>
              <w:t xml:space="preserve">BigQuery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6B">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&lt;ou&gt;-&lt;env&gt;-&lt;init&gt;-&lt;resource&gt;-&lt;location&gt;-&lt;description&gt;</w:t>
            </w:r>
          </w:p>
          <w:p w:rsidR="00000000" w:rsidDel="00000000" w:rsidP="00000000" w:rsidRDefault="00000000" w:rsidRPr="00000000" w14:paraId="0000006C">
            <w:pPr>
              <w:widowControl w:val="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D">
            <w:pPr>
              <w:widowControl w:val="0"/>
              <w:rPr>
                <w:rFonts w:ascii="Montserrat" w:cs="Montserrat" w:eastAsia="Montserrat" w:hAnsi="Montserrat"/>
                <w:sz w:val="20"/>
                <w:szCs w:val="20"/>
              </w:rPr>
            </w:pPr>
            <w:r w:rsidDel="00000000" w:rsidR="00000000" w:rsidRPr="00000000">
              <w:rPr>
                <w:rFonts w:ascii="Montserrat" w:cs="Montserrat" w:eastAsia="Montserrat" w:hAnsi="Montserrat"/>
                <w:i w:val="1"/>
                <w:sz w:val="20"/>
                <w:szCs w:val="20"/>
                <w:rtl w:val="0"/>
              </w:rPr>
              <w:t xml:space="preserve">eg. mgo-np-da-bq-ml-datasetname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6E">
            <w:pPr>
              <w:widowControl w:val="0"/>
              <w:rPr>
                <w:rFonts w:ascii="Montserrat" w:cs="Montserrat" w:eastAsia="Montserrat" w:hAnsi="Montserrat"/>
                <w:sz w:val="20"/>
                <w:szCs w:val="20"/>
              </w:rPr>
            </w:pP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F">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Artifact Registry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70">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&lt;ou&gt;-&lt;env&gt;-&lt;init&gt;-&lt;resource&gt;-&lt;location&gt;-&lt;description&gt;</w:t>
            </w:r>
          </w:p>
          <w:p w:rsidR="00000000" w:rsidDel="00000000" w:rsidP="00000000" w:rsidRDefault="00000000" w:rsidRPr="00000000" w14:paraId="00000071">
            <w:pPr>
              <w:widowControl w:val="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2">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e.g mgo-np-da-ar-use4-repository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73">
            <w:pPr>
              <w:widowControl w:val="0"/>
              <w:rPr>
                <w:rFonts w:ascii="Montserrat" w:cs="Montserrat" w:eastAsia="Montserrat" w:hAnsi="Montserrat"/>
                <w:sz w:val="20"/>
                <w:szCs w:val="20"/>
              </w:rPr>
            </w:pP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4">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GKE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75">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&lt;ou&gt;-&lt;env&gt;-&lt;init&gt;-&lt;resource&gt;-&lt;location&gt;-&lt;description&gt;</w:t>
            </w:r>
          </w:p>
          <w:p w:rsidR="00000000" w:rsidDel="00000000" w:rsidP="00000000" w:rsidRDefault="00000000" w:rsidRPr="00000000" w14:paraId="00000076">
            <w:pPr>
              <w:widowControl w:val="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7">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e.g mgo-np-da-gke-use4-docai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78">
            <w:pPr>
              <w:widowControl w:val="0"/>
              <w:rPr>
                <w:rFonts w:ascii="Montserrat" w:cs="Montserrat" w:eastAsia="Montserrat" w:hAnsi="Montserrat"/>
                <w:sz w:val="20"/>
                <w:szCs w:val="20"/>
              </w:rPr>
            </w:pPr>
            <w:r w:rsidDel="00000000" w:rsidR="00000000" w:rsidRPr="00000000">
              <w:rPr>
                <w:rtl w:val="0"/>
              </w:rPr>
            </w:r>
          </w:p>
        </w:tc>
      </w:tr>
    </w:tbl>
    <w:p w:rsidR="00000000" w:rsidDel="00000000" w:rsidP="00000000" w:rsidRDefault="00000000" w:rsidRPr="00000000" w14:paraId="00000079">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pStyle w:val="Heading1"/>
        <w:numPr>
          <w:ilvl w:val="0"/>
          <w:numId w:val="2"/>
        </w:numPr>
        <w:ind w:left="720" w:hanging="360"/>
        <w:jc w:val="both"/>
        <w:rPr>
          <w:u w:val="none"/>
        </w:rPr>
      </w:pPr>
      <w:bookmarkStart w:colFirst="0" w:colLast="0" w:name="_xqehm8c3vbd5" w:id="7"/>
      <w:bookmarkEnd w:id="7"/>
      <w:r w:rsidDel="00000000" w:rsidR="00000000" w:rsidRPr="00000000">
        <w:rPr>
          <w:rtl w:val="0"/>
        </w:rPr>
        <w:t xml:space="preserve">GCP Components and Explanations</w:t>
      </w:r>
    </w:p>
    <w:p w:rsidR="00000000" w:rsidDel="00000000" w:rsidP="00000000" w:rsidRDefault="00000000" w:rsidRPr="00000000" w14:paraId="0000007B">
      <w:pPr>
        <w:spacing w:line="360" w:lineRule="auto"/>
        <w:rPr>
          <w:sz w:val="24"/>
          <w:szCs w:val="24"/>
        </w:rPr>
      </w:pPr>
      <w:r w:rsidDel="00000000" w:rsidR="00000000" w:rsidRPr="00000000">
        <w:rPr>
          <w:sz w:val="24"/>
          <w:szCs w:val="24"/>
          <w:rtl w:val="0"/>
        </w:rPr>
        <w:t xml:space="preserve">This solution will comprise a number of GCP components.  This section will highlight the major components and describe those components in detail.  For each component links to GCP, documentation are included where more information can be found about each component.  Lastly, for platform certifications relating to security, data handling, and privacy please find details here: </w:t>
      </w:r>
    </w:p>
    <w:p w:rsidR="00000000" w:rsidDel="00000000" w:rsidP="00000000" w:rsidRDefault="00000000" w:rsidRPr="00000000" w14:paraId="0000007C">
      <w:pPr>
        <w:spacing w:line="360" w:lineRule="auto"/>
        <w:rPr>
          <w:sz w:val="24"/>
          <w:szCs w:val="24"/>
        </w:rPr>
      </w:pPr>
      <w:hyperlink r:id="rId8">
        <w:r w:rsidDel="00000000" w:rsidR="00000000" w:rsidRPr="00000000">
          <w:rPr>
            <w:color w:val="1155cc"/>
            <w:sz w:val="24"/>
            <w:szCs w:val="24"/>
            <w:u w:val="single"/>
            <w:rtl w:val="0"/>
          </w:rPr>
          <w:t xml:space="preserve">https://cloud.google.com/security/compliance/financial-services</w:t>
        </w:r>
      </w:hyperlink>
      <w:r w:rsidDel="00000000" w:rsidR="00000000" w:rsidRPr="00000000">
        <w:rPr>
          <w:rtl w:val="0"/>
        </w:rPr>
      </w:r>
    </w:p>
    <w:p w:rsidR="00000000" w:rsidDel="00000000" w:rsidP="00000000" w:rsidRDefault="00000000" w:rsidRPr="00000000" w14:paraId="0000007D">
      <w:pPr>
        <w:jc w:val="both"/>
        <w:rPr>
          <w:rFonts w:ascii="Montserrat" w:cs="Montserrat" w:eastAsia="Montserrat" w:hAnsi="Montserrat"/>
          <w:color w:val="757575"/>
          <w:highlight w:val="white"/>
        </w:rPr>
      </w:pPr>
      <w:r w:rsidDel="00000000" w:rsidR="00000000" w:rsidRPr="00000000">
        <w:rPr>
          <w:rFonts w:ascii="Montserrat" w:cs="Montserrat" w:eastAsia="Montserrat" w:hAnsi="Montserrat"/>
          <w:highlight w:val="white"/>
          <w:rtl w:val="0"/>
        </w:rPr>
        <w:t xml:space="preserve">This table includes a broad summary of the resources leveraged on this project and additional details can be found in Section</w:t>
      </w:r>
      <w:r w:rsidDel="00000000" w:rsidR="00000000" w:rsidRPr="00000000">
        <w:rPr>
          <w:rFonts w:ascii="Montserrat" w:cs="Montserrat" w:eastAsia="Montserrat" w:hAnsi="Montserrat"/>
          <w:color w:val="757575"/>
          <w:highlight w:val="white"/>
          <w:rtl w:val="0"/>
        </w:rPr>
        <w:t xml:space="preserve"> </w:t>
      </w:r>
    </w:p>
    <w:p w:rsidR="00000000" w:rsidDel="00000000" w:rsidP="00000000" w:rsidRDefault="00000000" w:rsidRPr="00000000" w14:paraId="0000007E">
      <w:pPr>
        <w:jc w:val="both"/>
        <w:rPr>
          <w:rFonts w:ascii="Montserrat" w:cs="Montserrat" w:eastAsia="Montserrat" w:hAnsi="Montserrat"/>
          <w:color w:val="757575"/>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835"/>
        <w:gridCol w:w="4125"/>
        <w:tblGridChange w:id="0">
          <w:tblGrid>
            <w:gridCol w:w="2400"/>
            <w:gridCol w:w="2835"/>
            <w:gridCol w:w="4125"/>
          </w:tblGrid>
        </w:tblGridChange>
      </w:tblGrid>
      <w:tr>
        <w:trPr>
          <w:cantSplit w:val="0"/>
          <w:tblHeader w:val="0"/>
        </w:trPr>
        <w:tc>
          <w:tcPr>
            <w:shd w:fill="4285f4"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rFonts w:ascii="Montserrat" w:cs="Montserrat" w:eastAsia="Montserrat" w:hAnsi="Montserrat"/>
                <w:b w:val="1"/>
                <w:color w:val="f3f3f3"/>
              </w:rPr>
            </w:pPr>
            <w:r w:rsidDel="00000000" w:rsidR="00000000" w:rsidRPr="00000000">
              <w:rPr>
                <w:rFonts w:ascii="Montserrat" w:cs="Montserrat" w:eastAsia="Montserrat" w:hAnsi="Montserrat"/>
                <w:b w:val="1"/>
                <w:color w:val="f3f3f3"/>
                <w:rtl w:val="0"/>
              </w:rPr>
              <w:t xml:space="preserve">Type </w:t>
            </w:r>
          </w:p>
        </w:tc>
        <w:tc>
          <w:tcPr>
            <w:shd w:fill="4285f4"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rFonts w:ascii="Montserrat" w:cs="Montserrat" w:eastAsia="Montserrat" w:hAnsi="Montserrat"/>
                <w:b w:val="1"/>
                <w:color w:val="f3f3f3"/>
              </w:rPr>
            </w:pPr>
            <w:r w:rsidDel="00000000" w:rsidR="00000000" w:rsidRPr="00000000">
              <w:rPr>
                <w:rFonts w:ascii="Montserrat" w:cs="Montserrat" w:eastAsia="Montserrat" w:hAnsi="Montserrat"/>
                <w:b w:val="1"/>
                <w:color w:val="f3f3f3"/>
                <w:rtl w:val="0"/>
              </w:rPr>
              <w:t xml:space="preserve">Resource</w:t>
            </w:r>
          </w:p>
        </w:tc>
        <w:tc>
          <w:tcPr>
            <w:shd w:fill="4285f4"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rFonts w:ascii="Montserrat" w:cs="Montserrat" w:eastAsia="Montserrat" w:hAnsi="Montserrat"/>
                <w:b w:val="1"/>
                <w:color w:val="f3f3f3"/>
              </w:rPr>
            </w:pPr>
            <w:r w:rsidDel="00000000" w:rsidR="00000000" w:rsidRPr="00000000">
              <w:rPr>
                <w:rFonts w:ascii="Montserrat" w:cs="Montserrat" w:eastAsia="Montserrat" w:hAnsi="Montserrat"/>
                <w:b w:val="1"/>
                <w:color w:val="f3f3f3"/>
                <w:rtl w:val="0"/>
              </w:rPr>
              <w:t xml:space="preserve">Purpose in this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Identity &amp; Access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IAM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ensure principles of ‘least privilege’ are followed and only the required accesses are granted to team members working on DocAI project</w:t>
            </w:r>
          </w:p>
          <w:p w:rsidR="00000000" w:rsidDel="00000000" w:rsidP="00000000" w:rsidRDefault="00000000" w:rsidRPr="00000000" w14:paraId="00000085">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p w:rsidR="00000000" w:rsidDel="00000000" w:rsidP="00000000" w:rsidRDefault="00000000" w:rsidRPr="00000000" w14:paraId="00000086">
            <w:pPr>
              <w:widowControl w:val="0"/>
              <w:spacing w:line="240" w:lineRule="auto"/>
              <w:jc w:val="both"/>
              <w:rPr>
                <w:rFonts w:ascii="Montserrat" w:cs="Montserrat" w:eastAsia="Montserrat" w:hAnsi="Montserrat"/>
                <w:color w:val="757575"/>
                <w:highlight w:val="white"/>
              </w:rPr>
            </w:pPr>
            <w:hyperlink r:id="rId9">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MFA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Quantiphi users have MFA as part of their Google account logins </w:t>
            </w:r>
          </w:p>
          <w:p w:rsidR="00000000" w:rsidDel="00000000" w:rsidP="00000000" w:rsidRDefault="00000000" w:rsidRPr="00000000" w14:paraId="0000008A">
            <w:pPr>
              <w:widowControl w:val="0"/>
              <w:spacing w:line="240" w:lineRule="auto"/>
              <w:jc w:val="both"/>
              <w:rPr>
                <w:rFonts w:ascii="Montserrat" w:cs="Montserrat" w:eastAsia="Montserrat" w:hAnsi="Montserrat"/>
                <w:color w:val="757575"/>
                <w:highlight w:val="white"/>
              </w:rPr>
            </w:pPr>
            <w:hyperlink r:id="rId10">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MGO users to have SSO</w:t>
            </w:r>
          </w:p>
          <w:p w:rsidR="00000000" w:rsidDel="00000000" w:rsidP="00000000" w:rsidRDefault="00000000" w:rsidRPr="00000000" w14:paraId="0000008E">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AD and SSO - ADFS are on for Quantiphi team</w:t>
            </w:r>
          </w:p>
          <w:p w:rsidR="00000000" w:rsidDel="00000000" w:rsidP="00000000" w:rsidRDefault="00000000" w:rsidRPr="00000000" w14:paraId="0000008F">
            <w:pPr>
              <w:widowControl w:val="0"/>
              <w:spacing w:line="240" w:lineRule="auto"/>
              <w:jc w:val="both"/>
              <w:rPr>
                <w:rFonts w:ascii="Montserrat" w:cs="Montserrat" w:eastAsia="Montserrat" w:hAnsi="Montserrat"/>
                <w:color w:val="757575"/>
                <w:highlight w:val="white"/>
              </w:rPr>
            </w:pPr>
            <w:hyperlink r:id="rId11">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Networking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Cloud VPN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establish a secure connection between MGO on-prem environment and GCP</w:t>
            </w:r>
          </w:p>
          <w:p w:rsidR="00000000" w:rsidDel="00000000" w:rsidP="00000000" w:rsidRDefault="00000000" w:rsidRPr="00000000" w14:paraId="00000093">
            <w:pPr>
              <w:widowControl w:val="0"/>
              <w:spacing w:line="240" w:lineRule="auto"/>
              <w:jc w:val="both"/>
              <w:rPr>
                <w:rFonts w:ascii="Montserrat" w:cs="Montserrat" w:eastAsia="Montserrat" w:hAnsi="Montserrat"/>
                <w:color w:val="757575"/>
                <w:highlight w:val="white"/>
              </w:rPr>
            </w:pPr>
            <w:hyperlink r:id="rId12">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Virtual Private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provide secure connectivity among cloud resources </w:t>
            </w:r>
          </w:p>
          <w:p w:rsidR="00000000" w:rsidDel="00000000" w:rsidP="00000000" w:rsidRDefault="00000000" w:rsidRPr="00000000" w14:paraId="00000097">
            <w:pPr>
              <w:widowControl w:val="0"/>
              <w:spacing w:line="240" w:lineRule="auto"/>
              <w:jc w:val="both"/>
              <w:rPr>
                <w:rFonts w:ascii="Montserrat" w:cs="Montserrat" w:eastAsia="Montserrat" w:hAnsi="Montserrat"/>
                <w:color w:val="757575"/>
                <w:highlight w:val="white"/>
              </w:rPr>
            </w:pPr>
            <w:hyperlink r:id="rId13">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Cloud Internal Load Balancer (HTTPS)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improve availability and scalability of our application by intelligently distributing work-loads to compute resources based on incoming traffic and location of requests</w:t>
            </w:r>
          </w:p>
          <w:p w:rsidR="00000000" w:rsidDel="00000000" w:rsidP="00000000" w:rsidRDefault="00000000" w:rsidRPr="00000000" w14:paraId="0000009B">
            <w:pPr>
              <w:widowControl w:val="0"/>
              <w:spacing w:line="240" w:lineRule="auto"/>
              <w:jc w:val="both"/>
              <w:rPr>
                <w:rFonts w:ascii="Montserrat" w:cs="Montserrat" w:eastAsia="Montserrat" w:hAnsi="Montserrat"/>
                <w:color w:val="757575"/>
                <w:highlight w:val="white"/>
              </w:rPr>
            </w:pPr>
            <w:hyperlink r:id="rId14">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Cloud 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Cloud DNS is a high-performance, resilient, global Domain Name System (DNS) service that publishes your domain names to the global DNS in a cost-effective way</w:t>
            </w:r>
          </w:p>
          <w:p w:rsidR="00000000" w:rsidDel="00000000" w:rsidP="00000000" w:rsidRDefault="00000000" w:rsidRPr="00000000" w14:paraId="0000009F">
            <w:pPr>
              <w:widowControl w:val="0"/>
              <w:spacing w:line="240" w:lineRule="auto"/>
              <w:jc w:val="both"/>
              <w:rPr>
                <w:rFonts w:ascii="Montserrat" w:cs="Montserrat" w:eastAsia="Montserrat" w:hAnsi="Montserrat"/>
                <w:color w:val="757575"/>
                <w:highlight w:val="white"/>
              </w:rPr>
            </w:pPr>
            <w:hyperlink r:id="rId15">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Pub/Sub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rFonts w:ascii="Google Sans" w:cs="Google Sans" w:eastAsia="Google Sans" w:hAnsi="Google Sans"/>
                <w:color w:val="757575"/>
                <w:highlight w:val="white"/>
              </w:rPr>
            </w:pPr>
            <w:r w:rsidDel="00000000" w:rsidR="00000000" w:rsidRPr="00000000">
              <w:rPr>
                <w:rFonts w:ascii="Montserrat" w:cs="Montserrat" w:eastAsia="Montserrat" w:hAnsi="Montserrat"/>
                <w:color w:val="757575"/>
                <w:highlight w:val="white"/>
                <w:rtl w:val="0"/>
              </w:rPr>
              <w:t xml:space="preserve">To provide eventing architecture and to make for more efficient scaling in response to increased load</w:t>
            </w:r>
            <w:r w:rsidDel="00000000" w:rsidR="00000000" w:rsidRPr="00000000">
              <w:rPr>
                <w:rtl w:val="0"/>
              </w:rPr>
            </w:r>
          </w:p>
          <w:p w:rsidR="00000000" w:rsidDel="00000000" w:rsidP="00000000" w:rsidRDefault="00000000" w:rsidRPr="00000000" w14:paraId="000000A3">
            <w:pPr>
              <w:widowControl w:val="0"/>
              <w:spacing w:line="240" w:lineRule="auto"/>
              <w:jc w:val="both"/>
              <w:rPr>
                <w:rFonts w:ascii="Montserrat" w:cs="Montserrat" w:eastAsia="Montserrat" w:hAnsi="Montserrat"/>
                <w:color w:val="757575"/>
                <w:highlight w:val="white"/>
              </w:rPr>
            </w:pPr>
            <w:hyperlink r:id="rId16">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Security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Google Security Scanning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proactively identify vulnerabilities in any of the resources used on GCP for this project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Data Encryption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By default data is encrypted at Rest and in Transit</w:t>
            </w:r>
          </w:p>
          <w:p w:rsidR="00000000" w:rsidDel="00000000" w:rsidP="00000000" w:rsidRDefault="00000000" w:rsidRPr="00000000" w14:paraId="000000AA">
            <w:pPr>
              <w:widowControl w:val="0"/>
              <w:spacing w:line="240" w:lineRule="auto"/>
              <w:jc w:val="both"/>
              <w:rPr>
                <w:rFonts w:ascii="Montserrat" w:cs="Montserrat" w:eastAsia="Montserrat" w:hAnsi="Montserrat"/>
                <w:color w:val="757575"/>
                <w:highlight w:val="white"/>
              </w:rPr>
            </w:pPr>
            <w:hyperlink r:id="rId17">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Logging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Logging - Cloud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provide cloud monitoring, log management and analysis, error reporting, and application performance management</w:t>
            </w:r>
          </w:p>
          <w:p w:rsidR="00000000" w:rsidDel="00000000" w:rsidP="00000000" w:rsidRDefault="00000000" w:rsidRPr="00000000" w14:paraId="000000AE">
            <w:pPr>
              <w:widowControl w:val="0"/>
              <w:spacing w:line="240" w:lineRule="auto"/>
              <w:jc w:val="both"/>
              <w:rPr>
                <w:rFonts w:ascii="Montserrat" w:cs="Montserrat" w:eastAsia="Montserrat" w:hAnsi="Montserrat"/>
                <w:color w:val="757575"/>
                <w:highlight w:val="white"/>
              </w:rPr>
            </w:pPr>
            <w:hyperlink r:id="rId18">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Google Kubernetes Engine (GKE)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host model inference scripts and to automate the deployment, scaling, and operations for container clusters</w:t>
            </w:r>
          </w:p>
          <w:p w:rsidR="00000000" w:rsidDel="00000000" w:rsidP="00000000" w:rsidRDefault="00000000" w:rsidRPr="00000000" w14:paraId="000000B2">
            <w:pPr>
              <w:widowControl w:val="0"/>
              <w:spacing w:line="240" w:lineRule="auto"/>
              <w:jc w:val="both"/>
              <w:rPr>
                <w:rFonts w:ascii="Montserrat" w:cs="Montserrat" w:eastAsia="Montserrat" w:hAnsi="Montserrat"/>
                <w:color w:val="757575"/>
                <w:highlight w:val="white"/>
              </w:rPr>
            </w:pPr>
            <w:hyperlink r:id="rId19">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Google Artifact Registry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store manage and maintain Docker container images</w:t>
              <w:br w:type="textWrapping"/>
            </w:r>
            <w:hyperlink r:id="rId20">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Storage/Database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Firestore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Firestore will be used to maintain transaction states of the Application and extracted data from the Doc AI API endpoints</w:t>
            </w:r>
          </w:p>
          <w:p w:rsidR="00000000" w:rsidDel="00000000" w:rsidP="00000000" w:rsidRDefault="00000000" w:rsidRPr="00000000" w14:paraId="000000B9">
            <w:pPr>
              <w:widowControl w:val="0"/>
              <w:spacing w:line="240" w:lineRule="auto"/>
              <w:jc w:val="both"/>
              <w:rPr>
                <w:rFonts w:ascii="Montserrat" w:cs="Montserrat" w:eastAsia="Montserrat" w:hAnsi="Montserrat"/>
                <w:color w:val="757575"/>
                <w:highlight w:val="white"/>
              </w:rPr>
            </w:pPr>
            <w:hyperlink r:id="rId21">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BigQuery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BigQuery will be used to store logging and transaction information for the API and additional analytics data as per MGO business needs - such that they are accessible with SQL queries. </w:t>
            </w:r>
          </w:p>
          <w:p w:rsidR="00000000" w:rsidDel="00000000" w:rsidP="00000000" w:rsidRDefault="00000000" w:rsidRPr="00000000" w14:paraId="000000BD">
            <w:pPr>
              <w:widowControl w:val="0"/>
              <w:spacing w:line="240" w:lineRule="auto"/>
              <w:jc w:val="both"/>
              <w:rPr>
                <w:rFonts w:ascii="Montserrat" w:cs="Montserrat" w:eastAsia="Montserrat" w:hAnsi="Montserrat"/>
                <w:color w:val="757575"/>
                <w:highlight w:val="white"/>
              </w:rPr>
            </w:pPr>
            <w:hyperlink r:id="rId22">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Cloud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store objects passively (e.g. currently being used to store documents for model training)</w:t>
            </w:r>
          </w:p>
          <w:p w:rsidR="00000000" w:rsidDel="00000000" w:rsidP="00000000" w:rsidRDefault="00000000" w:rsidRPr="00000000" w14:paraId="000000C1">
            <w:pPr>
              <w:widowControl w:val="0"/>
              <w:spacing w:line="240" w:lineRule="auto"/>
              <w:jc w:val="both"/>
              <w:rPr>
                <w:rFonts w:ascii="Montserrat" w:cs="Montserrat" w:eastAsia="Montserrat" w:hAnsi="Montserrat"/>
                <w:color w:val="757575"/>
                <w:highlight w:val="white"/>
              </w:rPr>
            </w:pPr>
            <w:hyperlink r:id="rId23">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AI/ML/Document Understanding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Form Parser API (Doc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extract all textual entities present in the form of a Key-Value pair or a Table (with bounding boxes) from input PDF documents</w:t>
            </w:r>
          </w:p>
          <w:p w:rsidR="00000000" w:rsidDel="00000000" w:rsidP="00000000" w:rsidRDefault="00000000" w:rsidRPr="00000000" w14:paraId="000000C5">
            <w:pPr>
              <w:widowControl w:val="0"/>
              <w:spacing w:line="240" w:lineRule="auto"/>
              <w:jc w:val="both"/>
              <w:rPr>
                <w:rFonts w:ascii="Montserrat" w:cs="Montserrat" w:eastAsia="Montserrat" w:hAnsi="Montserrat"/>
                <w:color w:val="757575"/>
                <w:highlight w:val="white"/>
              </w:rPr>
            </w:pPr>
            <w:hyperlink r:id="rId24">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Montserrat" w:cs="Montserrat" w:eastAsia="Montserrat" w:hAnsi="Montserrat"/>
                <w:color w:val="757575"/>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Cloud Vision API (Doc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rFonts w:ascii="Montserrat" w:cs="Montserrat" w:eastAsia="Montserrat" w:hAnsi="Montserrat"/>
                <w:color w:val="757575"/>
                <w:highlight w:val="white"/>
              </w:rPr>
            </w:pPr>
            <w:r w:rsidDel="00000000" w:rsidR="00000000" w:rsidRPr="00000000">
              <w:rPr>
                <w:rFonts w:ascii="Montserrat" w:cs="Montserrat" w:eastAsia="Montserrat" w:hAnsi="Montserrat"/>
                <w:color w:val="757575"/>
                <w:highlight w:val="white"/>
                <w:rtl w:val="0"/>
              </w:rPr>
              <w:t xml:space="preserve">To extract all textual data present in a document (Optical Character Recognition) which will be used by the document classification model</w:t>
            </w:r>
          </w:p>
          <w:p w:rsidR="00000000" w:rsidDel="00000000" w:rsidP="00000000" w:rsidRDefault="00000000" w:rsidRPr="00000000" w14:paraId="000000C9">
            <w:pPr>
              <w:widowControl w:val="0"/>
              <w:spacing w:line="240" w:lineRule="auto"/>
              <w:jc w:val="both"/>
              <w:rPr>
                <w:rFonts w:ascii="Montserrat" w:cs="Montserrat" w:eastAsia="Montserrat" w:hAnsi="Montserrat"/>
                <w:color w:val="757575"/>
                <w:highlight w:val="white"/>
              </w:rPr>
            </w:pPr>
            <w:hyperlink r:id="rId25">
              <w:r w:rsidDel="00000000" w:rsidR="00000000" w:rsidRPr="00000000">
                <w:rPr>
                  <w:rFonts w:ascii="Montserrat" w:cs="Montserrat" w:eastAsia="Montserrat" w:hAnsi="Montserrat"/>
                  <w:color w:val="1155cc"/>
                  <w:highlight w:val="white"/>
                  <w:u w:val="single"/>
                  <w:rtl w:val="0"/>
                </w:rPr>
                <w:t xml:space="preserve">Link</w:t>
              </w:r>
            </w:hyperlink>
            <w:r w:rsidDel="00000000" w:rsidR="00000000" w:rsidRPr="00000000">
              <w:rPr>
                <w:rtl w:val="0"/>
              </w:rPr>
            </w:r>
          </w:p>
        </w:tc>
      </w:tr>
    </w:tbl>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Note on Data Privacy: Google may only access data in MGO’s account in strict compliance with Google’s Privacy Policy and the Customer Agreement with MGO. Google also offers a detailed Data Processing Amendment that further describes Google's commitment to protecting your data. For purposes of providing technical support, an administrator from your domain may choose to grant the Google Support team permission to access accounts in order to resolve a specified issue. Further details can be found on Google’s Privacy Policy and  data processing and security terms.  </w:t>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Users will only be able to access the resources and data within MGO’s org if MGO grants access. According to GCP Access Transparency, data access can only be done when using GCP managed encryption, and is only done to support the customer if requested.  If requested, this access is approved by the customer and logged in Access Transparency.</w:t>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0">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1">
      <w:pPr>
        <w:spacing w:line="360" w:lineRule="auto"/>
        <w:jc w:val="both"/>
        <w:rPr>
          <w:sz w:val="24"/>
          <w:szCs w:val="24"/>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loud.google.com/artifact-registry/docs/integrate-gke" TargetMode="External"/><Relationship Id="rId22" Type="http://schemas.openxmlformats.org/officeDocument/2006/relationships/hyperlink" Target="https://cloud.google.com/bigquery/docs" TargetMode="External"/><Relationship Id="rId21" Type="http://schemas.openxmlformats.org/officeDocument/2006/relationships/hyperlink" Target="https://cloud.google.com/firestore/docs" TargetMode="External"/><Relationship Id="rId24" Type="http://schemas.openxmlformats.org/officeDocument/2006/relationships/hyperlink" Target="https://cloud.google.com/document-ai/docs" TargetMode="External"/><Relationship Id="rId23" Type="http://schemas.openxmlformats.org/officeDocument/2006/relationships/hyperlink" Target="https://cloud.google.com/storage/docs/json_api/v1/bucke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google.com/iam/docs/concepts" TargetMode="External"/><Relationship Id="rId25" Type="http://schemas.openxmlformats.org/officeDocument/2006/relationships/hyperlink" Target="https://cloud.google.com/vision/docs" TargetMode="External"/><Relationship Id="rId5" Type="http://schemas.openxmlformats.org/officeDocument/2006/relationships/styles" Target="styles.xml"/><Relationship Id="rId6" Type="http://schemas.openxmlformats.org/officeDocument/2006/relationships/hyperlink" Target="https://cloud.google.com/billing/docs/onboarding-checklist#domain_and_identity" TargetMode="External"/><Relationship Id="rId7" Type="http://schemas.openxmlformats.org/officeDocument/2006/relationships/hyperlink" Target="https://cloud.google.com/billing/docs/concepts" TargetMode="External"/><Relationship Id="rId8" Type="http://schemas.openxmlformats.org/officeDocument/2006/relationships/hyperlink" Target="https://cloud.google.com/security/compliance/financial-services" TargetMode="External"/><Relationship Id="rId11" Type="http://schemas.openxmlformats.org/officeDocument/2006/relationships/hyperlink" Target="https://cloud.google.com/identity/solutions/enable-sso" TargetMode="External"/><Relationship Id="rId10" Type="http://schemas.openxmlformats.org/officeDocument/2006/relationships/hyperlink" Target="https://cloud.google.com/identity/solutions/enforce-mfa" TargetMode="External"/><Relationship Id="rId13" Type="http://schemas.openxmlformats.org/officeDocument/2006/relationships/hyperlink" Target="https://cloud.google.com/vpc/docs/vpc" TargetMode="External"/><Relationship Id="rId12" Type="http://schemas.openxmlformats.org/officeDocument/2006/relationships/hyperlink" Target="https://cloud.google.com/network-connectivity/docs/vpn/concepts/overview" TargetMode="External"/><Relationship Id="rId15" Type="http://schemas.openxmlformats.org/officeDocument/2006/relationships/hyperlink" Target="https://cloud.google.com/dns/docs/overview" TargetMode="External"/><Relationship Id="rId14" Type="http://schemas.openxmlformats.org/officeDocument/2006/relationships/hyperlink" Target="https://cloud.google.com/load-balancing/docs/l7-internal/setting-up-l7-internal" TargetMode="External"/><Relationship Id="rId17" Type="http://schemas.openxmlformats.org/officeDocument/2006/relationships/hyperlink" Target="https://services.google.com/fh/files/misc/security_whitepapers_march2018.pdf" TargetMode="External"/><Relationship Id="rId16" Type="http://schemas.openxmlformats.org/officeDocument/2006/relationships/hyperlink" Target="https://cloud.google.com/pubsub/docs/overview" TargetMode="External"/><Relationship Id="rId19" Type="http://schemas.openxmlformats.org/officeDocument/2006/relationships/hyperlink" Target="https://cloud.google.com/kubernetes-engine/docs/concepts/kubernetes-engine-overview" TargetMode="External"/><Relationship Id="rId18" Type="http://schemas.openxmlformats.org/officeDocument/2006/relationships/hyperlink" Target="https://cloud.google.com/logging/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