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Agenda:</w:t>
      </w:r>
      <w:r w:rsidDel="00000000" w:rsidR="00000000" w:rsidRPr="00000000">
        <w:rPr>
          <w:color w:val="434343"/>
          <w:rtl w:val="0"/>
        </w:rPr>
        <w:t xml:space="preserve"> Deployment Enhancement </w:t>
      </w:r>
    </w:p>
    <w:p w:rsidR="00000000" w:rsidDel="00000000" w:rsidP="00000000" w:rsidRDefault="00000000" w:rsidRPr="00000000" w14:paraId="00000002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Date:</w:t>
      </w:r>
      <w:r w:rsidDel="00000000" w:rsidR="00000000" w:rsidRPr="00000000">
        <w:rPr>
          <w:color w:val="434343"/>
          <w:rtl w:val="0"/>
        </w:rPr>
        <w:t xml:space="preserve"> 15 Nov 2022</w:t>
      </w:r>
    </w:p>
    <w:p w:rsidR="00000000" w:rsidDel="00000000" w:rsidP="00000000" w:rsidRDefault="00000000" w:rsidRPr="00000000" w14:paraId="00000003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Seagen: Shiva, Katherine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Quantiphi: Yashwanth, Ashutosh, Hrutwin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Meeting Notes</w:t>
            </w:r>
          </w:p>
        </w:tc>
      </w:tr>
      <w:tr>
        <w:trPr>
          <w:cantSplit w:val="0"/>
          <w:trHeight w:val="2999.252929687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Points of discussion:</w:t>
            </w:r>
          </w:p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Solutions Approach</w:t>
              <w:br w:type="textWrapping"/>
            </w:r>
            <w:r w:rsidDel="00000000" w:rsidR="00000000" w:rsidRPr="00000000">
              <w:rPr>
                <w:rtl w:val="0"/>
              </w:rPr>
              <w:t xml:space="preserve">Adding the version in “requirement.txt” for IHC and TMA dataflow pipeline and creating a new base image with packages. Next use the base image to build the dataflow flex template. Check for job success using cloud functions.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By using custom container in dataflow the Seagen team aims to have everything pre installed and have a customized execution environment that will enable them to install python and non-python packages (example certain linux library like open slides)</w:t>
            </w:r>
          </w:p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Reference link 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 custom containers in Dataflow  |  Google Cloud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Next Steps: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Quantiphi: </w:t>
            </w:r>
            <w:r w:rsidDel="00000000" w:rsidR="00000000" w:rsidRPr="00000000">
              <w:rPr>
                <w:rtl w:val="0"/>
              </w:rPr>
              <w:t xml:space="preserve">Next call Quantiphi have to give explanation on  the client recommendation point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google.com/dataflow/docs/guides/using-custom-contai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