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3.png" ContentType="image/png"/>
  <Override PartName="/word/media/rId22.png" ContentType="image/png"/>
  <Override PartName="/word/media/rId60.png" ContentType="image/png"/>
  <Override PartName="/word/media/rId23.png" ContentType="image/png"/>
  <Override PartName="/word/media/rId21.png" ContentType="image/png"/>
  <Override PartName="/word/media/rId26.png" ContentType="image/png"/>
  <Override PartName="/word/media/rId35.png" ContentType="image/png"/>
  <Override PartName="/word/media/rId47.png" ContentType="image/png"/>
  <Override PartName="/word/media/rId99.png" ContentType="image/png"/>
  <Override PartName="/word/media/rId98.png" ContentType="image/png"/>
  <Override PartName="/word/media/rId51.png" ContentType="image/png"/>
  <Override PartName="/word/media/rId92.png" ContentType="image/png"/>
  <Override PartName="/word/media/rId58.png" ContentType="image/png"/>
  <Override PartName="/word/media/rId59.png" ContentType="image/png"/>
  <Override PartName="/word/media/rId107.png" ContentType="image/png"/>
  <Override PartName="/word/media/rId104.png" ContentType="image/png"/>
  <Override PartName="/word/media/rId102.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4"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2"/>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3"/>
                    <a:stretch>
                      <a:fillRect/>
                    </a:stretch>
                  </pic:blipFill>
                  <pic:spPr bwMode="auto">
                    <a:xfrm>
                      <a:off x="0" y="0"/>
                      <a:ext cx="5334000" cy="4116057"/>
                    </a:xfrm>
                    <a:prstGeom prst="rect">
                      <a:avLst/>
                    </a:prstGeom>
                    <a:noFill/>
                    <a:ln w="9525">
                      <a:noFill/>
                      <a:headEnd/>
                      <a:tailEnd/>
                    </a:ln>
                  </pic:spPr>
                </pic:pic>
              </a:graphicData>
            </a:graphic>
          </wp:inline>
        </w:drawing>
      </w:r>
    </w:p>
    <w:bookmarkEnd w:id="24"/>
    <w:bookmarkStart w:id="25"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5"/>
    <w:bookmarkStart w:id="28"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29"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w:t>
      </w:r>
    </w:p>
    <w:bookmarkEnd w:id="29"/>
    <w:bookmarkStart w:id="30" w:name="boundary-conditions"/>
    <w:p>
      <w:pPr>
        <w:pStyle w:val="Heading2"/>
      </w:pPr>
      <w:r>
        <w:rPr>
          <w:rStyle w:val="SectionNumber"/>
        </w:rPr>
        <w:t xml:space="preserve">1.6</w:t>
      </w:r>
      <w:r>
        <w:tab/>
      </w:r>
      <w:r>
        <w:t xml:space="preserve">Boundary Conditions</w:t>
      </w:r>
    </w:p>
    <w:bookmarkEnd w:id="30"/>
    <w:bookmarkStart w:id="31" w:name="initial-equilibrium"/>
    <w:p>
      <w:pPr>
        <w:pStyle w:val="Heading2"/>
      </w:pPr>
      <w:r>
        <w:rPr>
          <w:rStyle w:val="SectionNumber"/>
        </w:rPr>
        <w:t xml:space="preserve">1.7</w:t>
      </w:r>
      <w:r>
        <w:tab/>
      </w:r>
      <w:r>
        <w:t xml:space="preserve">Initial Equilibrium</w:t>
      </w:r>
    </w:p>
    <w:bookmarkEnd w:id="31"/>
    <w:bookmarkStart w:id="32" w:name="alterations"/>
    <w:p>
      <w:pPr>
        <w:pStyle w:val="Heading2"/>
      </w:pPr>
      <w:r>
        <w:rPr>
          <w:rStyle w:val="SectionNumber"/>
        </w:rPr>
        <w:t xml:space="preserve">1.8</w:t>
      </w:r>
      <w:r>
        <w:tab/>
      </w:r>
      <w:r>
        <w:t xml:space="preserve">Alterations</w:t>
      </w:r>
    </w:p>
    <w:bookmarkEnd w:id="32"/>
    <w:bookmarkStart w:id="33" w:name="results"/>
    <w:p>
      <w:pPr>
        <w:pStyle w:val="Heading2"/>
      </w:pPr>
      <w:r>
        <w:rPr>
          <w:rStyle w:val="SectionNumber"/>
        </w:rPr>
        <w:t xml:space="preserve">1.9</w:t>
      </w:r>
      <w:r>
        <w:tab/>
      </w:r>
      <w:r>
        <w:t xml:space="preserve">Results</w:t>
      </w:r>
    </w:p>
    <w:p>
      <w:r>
        <w:br w:type="page"/>
      </w:r>
    </w:p>
    <w:bookmarkEnd w:id="33"/>
    <w:bookmarkEnd w:id="34"/>
    <w:bookmarkStart w:id="5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5"/>
                    <a:stretch>
                      <a:fillRect/>
                    </a:stretch>
                  </pic:blipFill>
                  <pic:spPr bwMode="auto">
                    <a:xfrm>
                      <a:off x="0" y="0"/>
                      <a:ext cx="5334000" cy="3988629"/>
                    </a:xfrm>
                    <a:prstGeom prst="rect">
                      <a:avLst/>
                    </a:prstGeom>
                    <a:noFill/>
                    <a:ln w="9525">
                      <a:noFill/>
                      <a:headEnd/>
                      <a:tailEnd/>
                    </a:ln>
                  </pic:spPr>
                </pic:pic>
              </a:graphicData>
            </a:graphic>
          </wp:inline>
        </w:drawing>
      </w:r>
    </w:p>
    <w:bookmarkStart w:id="38" w:name="problem-description"/>
    <w:p>
      <w:pPr>
        <w:pStyle w:val="Heading2"/>
      </w:pPr>
      <w:r>
        <w:rPr>
          <w:rStyle w:val="SectionNumber"/>
        </w:rPr>
        <w:t xml:space="preserve">2.1</w:t>
      </w:r>
      <w:r>
        <w:tab/>
      </w:r>
      <w:r>
        <w:t xml:space="preserve">Problem Description</w:t>
      </w:r>
    </w:p>
    <w:bookmarkStart w:id="3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6"/>
    <w:bookmarkStart w:id="3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7"/>
    <w:bookmarkEnd w:id="38"/>
    <w:bookmarkStart w:id="39"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9"/>
    <w:bookmarkStart w:id="4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0"/>
    <w:bookmarkStart w:id="4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1"/>
    <w:bookmarkStart w:id="4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2"/>
    <w:bookmarkStart w:id="4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3"/>
    <w:bookmarkStart w:id="4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4"/>
    <w:bookmarkStart w:id="49" w:name="alterations-1"/>
    <w:p>
      <w:pPr>
        <w:pStyle w:val="Heading2"/>
      </w:pPr>
      <w:r>
        <w:rPr>
          <w:rStyle w:val="SectionNumber"/>
        </w:rPr>
        <w:t xml:space="preserve">2.8</w:t>
      </w:r>
      <w:r>
        <w:tab/>
      </w:r>
      <w:r>
        <w:t xml:space="preserve">Alterations</w:t>
      </w:r>
    </w:p>
    <w:bookmarkStart w:id="4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5"/>
    <w:bookmarkStart w:id="46"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6"/>
    <w:bookmarkStart w:id="4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48"/>
    <w:bookmarkEnd w:id="49"/>
    <w:bookmarkEnd w:id="50"/>
    <w:bookmarkStart w:id="57"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1"/>
                    <a:stretch>
                      <a:fillRect/>
                    </a:stretch>
                  </pic:blipFill>
                  <pic:spPr bwMode="auto">
                    <a:xfrm>
                      <a:off x="0" y="0"/>
                      <a:ext cx="5334000" cy="3631376"/>
                    </a:xfrm>
                    <a:prstGeom prst="rect">
                      <a:avLst/>
                    </a:prstGeom>
                    <a:noFill/>
                    <a:ln w="9525">
                      <a:noFill/>
                      <a:headEnd/>
                      <a:tailEnd/>
                    </a:ln>
                  </pic:spPr>
                </pic:pic>
              </a:graphicData>
            </a:graphic>
          </wp:inline>
        </w:drawing>
      </w:r>
      <w:r>
        <w:t xml:space="preserve"> </w:t>
      </w:r>
      <w:r>
        <w:t xml:space="preserve">## Problem Description</w:t>
      </w:r>
      <w:r>
        <w:t xml:space="preserve"> </w:t>
      </w: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Start w:id="52" w:name="zones-2"/>
    <w:p>
      <w:pPr>
        <w:pStyle w:val="Heading2"/>
      </w:pPr>
      <w:r>
        <w:rPr>
          <w:rStyle w:val="SectionNumber"/>
        </w:rPr>
        <w:t xml:space="preserve">3.1</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2"/>
    <w:bookmarkStart w:id="53" w:name="properties-1"/>
    <w:p>
      <w:pPr>
        <w:pStyle w:val="Heading2"/>
      </w:pPr>
      <w:r>
        <w:rPr>
          <w:rStyle w:val="SectionNumber"/>
        </w:rPr>
        <w:t xml:space="preserve">3.2</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3"/>
    <w:bookmarkStart w:id="54" w:name="initial-equilibrium-2"/>
    <w:p>
      <w:pPr>
        <w:pStyle w:val="Heading2"/>
      </w:pPr>
      <w:r>
        <w:rPr>
          <w:rStyle w:val="SectionNumber"/>
        </w:rPr>
        <w:t xml:space="preserve">3.3</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4"/>
    <w:bookmarkStart w:id="55" w:name="alterations-2"/>
    <w:p>
      <w:pPr>
        <w:pStyle w:val="Heading2"/>
      </w:pPr>
      <w:r>
        <w:rPr>
          <w:rStyle w:val="SectionNumber"/>
        </w:rPr>
        <w:t xml:space="preserve">3.4</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5"/>
    <w:bookmarkStart w:id="56" w:name="some-other-notes"/>
    <w:p>
      <w:pPr>
        <w:pStyle w:val="Heading2"/>
      </w:pPr>
      <w:r>
        <w:rPr>
          <w:rStyle w:val="SectionNumber"/>
        </w:rPr>
        <w:t xml:space="preserve">3.5</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6"/>
    <w:bookmarkEnd w:id="57"/>
    <w:bookmarkStart w:id="66" w:name="grid"/>
    <w:p>
      <w:pPr>
        <w:pStyle w:val="Heading1"/>
      </w:pPr>
      <w:r>
        <w:rPr>
          <w:rStyle w:val="SectionNumber"/>
        </w:rPr>
        <w:t xml:space="preserve">4</w:t>
      </w:r>
      <w:r>
        <w:tab/>
      </w:r>
      <w:r>
        <w:t xml:space="preserve">Grid</w:t>
      </w:r>
    </w:p>
    <w:bookmarkStart w:id="61"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8"/>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9"/>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0"/>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61"/>
    <w:bookmarkStart w:id="62"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62"/>
    <w:bookmarkStart w:id="63"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3"/>
    <w:bookmarkStart w:id="65"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4"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4"/>
    <w:bookmarkEnd w:id="65"/>
    <w:bookmarkEnd w:id="66"/>
    <w:bookmarkStart w:id="90" w:name="syntax-and-grammar"/>
    <w:p>
      <w:pPr>
        <w:pStyle w:val="Heading1"/>
      </w:pPr>
      <w:r>
        <w:rPr>
          <w:rStyle w:val="SectionNumber"/>
        </w:rPr>
        <w:t xml:space="preserve">5</w:t>
      </w:r>
      <w:r>
        <w:tab/>
      </w:r>
      <w:r>
        <w:t xml:space="preserve">Syntax and Grammar</w:t>
      </w:r>
    </w:p>
    <w:bookmarkStart w:id="67"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7"/>
    <w:bookmarkStart w:id="68"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8"/>
    <w:bookmarkStart w:id="69"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9"/>
    <w:bookmarkStart w:id="70"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0"/>
    <w:bookmarkStart w:id="71"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1"/>
    <w:bookmarkStart w:id="72"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2"/>
    <w:bookmarkStart w:id="73"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3"/>
    <w:bookmarkStart w:id="74"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4"/>
    <w:bookmarkStart w:id="76"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w:t>
      </w:r>
      <w:r>
        <w:t xml:space="preserve"> </w:t>
      </w:r>
      <w:r>
        <w:t xml:space="preserve">1.0 limit criteria when using the model solve command</w:t>
      </w:r>
    </w:p>
    <w:p>
      <w:pPr>
        <w:pStyle w:val="BodyText"/>
      </w:pPr>
      <w:r>
        <w:t xml:space="preserve">Initially solving to a convergence of 100 or more and then</w:t>
      </w:r>
      <w:r>
        <w:t xml:space="preserve"> </w:t>
      </w:r>
      <w:r>
        <w:t xml:space="preserve">examining the response is good practice. Making isosurface plots of convergence</w:t>
      </w:r>
      <w:r>
        <w:t xml:space="preserve"> </w:t>
      </w:r>
      <w:r>
        <w:t xml:space="preserve">to see where the model is having trouble can give insight into where model</w:t>
      </w:r>
      <w:r>
        <w:t xml:space="preserve"> </w:t>
      </w:r>
      <w:r>
        <w:t xml:space="preserve">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w:t>
      </w:r>
      <w:r>
        <w:t xml:space="preserve"> </w:t>
      </w:r>
      <w:r>
        <w:t xml:space="preserve">velocity and measure the reaction forces, rather than apply forces and measure</w:t>
      </w:r>
      <w:r>
        <w:t xml:space="preserve"> </w:t>
      </w:r>
      <w:r>
        <w:t xml:space="preserve">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5"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5"/>
    <w:bookmarkEnd w:id="76"/>
    <w:bookmarkStart w:id="78"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7"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7"/>
    <w:bookmarkEnd w:id="78"/>
    <w:bookmarkStart w:id="79"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9"/>
    <w:bookmarkStart w:id="89" w:name="fish-syntax"/>
    <w:p>
      <w:pPr>
        <w:pStyle w:val="Heading2"/>
      </w:pPr>
      <w:r>
        <w:rPr>
          <w:rStyle w:val="SectionNumber"/>
        </w:rPr>
        <w:t xml:space="preserve">5.12</w:t>
      </w:r>
      <w:r>
        <w:tab/>
      </w:r>
      <w:r>
        <w:t xml:space="preserve">Fish Syntax</w:t>
      </w:r>
    </w:p>
    <w:bookmarkStart w:id="80"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0"/>
    <w:bookmarkStart w:id="81"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1"/>
    <w:bookmarkStart w:id="83"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2"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82"/>
    <w:bookmarkEnd w:id="83"/>
    <w:bookmarkStart w:id="84"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4"/>
    <w:bookmarkStart w:id="87"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5"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5"/>
    <w:bookmarkStart w:id="86"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6"/>
    <w:bookmarkEnd w:id="87"/>
    <w:bookmarkStart w:id="88"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8"/>
    <w:bookmarkEnd w:id="89"/>
    <w:bookmarkEnd w:id="90"/>
    <w:bookmarkStart w:id="96" w:name="code-block"/>
    <w:p>
      <w:pPr>
        <w:pStyle w:val="Heading1"/>
      </w:pPr>
      <w:r>
        <w:rPr>
          <w:rStyle w:val="SectionNumber"/>
        </w:rPr>
        <w:t xml:space="preserve">6</w:t>
      </w:r>
      <w:r>
        <w:tab/>
      </w:r>
      <w:r>
        <w:t xml:space="preserve">Code Block</w:t>
      </w:r>
    </w:p>
    <w:bookmarkStart w:id="91" w:name="some-code"/>
    <w:p>
      <w:pPr>
        <w:pStyle w:val="Heading2"/>
      </w:pPr>
      <w:r>
        <w:rPr>
          <w:rStyle w:val="SectionNumber"/>
        </w:rPr>
        <w:t xml:space="preserve">6.1</w:t>
      </w:r>
      <w:r>
        <w:tab/>
      </w:r>
      <w:r>
        <w:t xml:space="preserve">Some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rPr>
          <w:rStyle w:val="CommentTok"/>
        </w:rPr>
        <w:t xml:space="preserve">" =========================================== "</w:t>
      </w:r>
      <w:r>
        <w:br/>
      </w:r>
      <w:r>
        <w:rPr>
          <w:rStyle w:val="CommentTok"/>
        </w:rPr>
        <w:t xml:space="preserve">" =========REFERENCE EXAMPLES================ "</w:t>
      </w:r>
      <w:r>
        <w:br/>
      </w:r>
      <w:r>
        <w:rPr>
          <w:rStyle w:val="CommentTok"/>
        </w:rPr>
        <w:t xml:space="preserve">" ===========================================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1"/>
    <w:bookmarkStart w:id="94"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 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 found</w:t>
      </w:r>
      <w:r>
        <w:t xml:space="preserve"> </w:t>
      </w:r>
      <w:r>
        <w:t xml:space="preserve">at z=5 and placing interface elements and nodes on one side. Contacts are found</w:t>
      </w:r>
      <w:r>
        <w:t xml:space="preserve"> </w:t>
      </w:r>
      <w:r>
        <w:t xml:space="preserve">(and forces generated) by interface nodes coming into contact with zone surface</w:t>
      </w:r>
      <w:r>
        <w:t xml:space="preserve"> </w:t>
      </w:r>
      <w:r>
        <w:t xml:space="preserve">faces that are not part of the interface 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 indicate</w:t>
      </w:r>
      <w:r>
        <w:t xml:space="preserve"> </w:t>
      </w:r>
      <w:r>
        <w:t xml:space="preserve">which interface is being referred to</w:t>
      </w:r>
    </w:p>
    <w:p>
      <w:pPr>
        <w:pStyle w:val="BodyText"/>
      </w:pPr>
      <w:r>
        <w:t xml:space="preserve">Interfaces in FLAC3D are one-sided objects. Interface elements are (in general) created attached to zone surface faces, which</w:t>
      </w:r>
      <w:r>
        <w:t xml:space="preserve"> </w:t>
      </w:r>
      <w:r>
        <w:t xml:space="preserve">in turn create interface nodes. All contact detection is between interface nodes and zone surface faces.</w:t>
      </w:r>
    </w:p>
    <w:p>
      <w:pPr>
        <w:pStyle w:val="BodyText"/>
      </w:pPr>
      <w:r>
        <w:t xml:space="preserve">Most commonly, interfaces need to be created starting with a mesh that is</w:t>
      </w:r>
      <w:r>
        <w:t xml:space="preserve"> </w:t>
      </w:r>
      <w:r>
        <w:t xml:space="preserve">continuous. In that case, it is easiest to separate the mesh and create the</w:t>
      </w:r>
      <w:r>
        <w:t xml:space="preserve"> </w:t>
      </w:r>
      <w:r>
        <w:t xml:space="preserve">interfaces all in one command using the separate keyword (as shown in the</w:t>
      </w:r>
      <w:r>
        <w:t xml:space="preserve"> </w:t>
      </w:r>
      <w:r>
        <w:t xml:space="preserve">example above).</w:t>
      </w:r>
    </w:p>
    <w:p>
      <w:pPr>
        <w:pStyle w:val="BodyText"/>
      </w:pPr>
      <w:r>
        <w:t xml:space="preserve">The new-side-origin keyword can be used to determine which</w:t>
      </w:r>
      <w:r>
        <w:t xml:space="preserve"> </w:t>
      </w:r>
      <w:r>
        <w:t xml:space="preserve">side of the separation interface elements are applied to. The side opposite the</w:t>
      </w:r>
      <w:r>
        <w:t xml:space="preserve"> </w:t>
      </w:r>
      <w:r>
        <w:t xml:space="preserve">location of the origin will be selected. In the example above, to select the other</w:t>
      </w:r>
      <w:r>
        <w:t xml:space="preserve"> </w:t>
      </w:r>
      <w:r>
        <w:t xml:space="preserve">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3" w:name="penetration"/>
    <w:p>
      <w:pPr>
        <w:pStyle w:val="Heading3"/>
      </w:pPr>
      <w:r>
        <w:rPr>
          <w:rStyle w:val="SectionNumber"/>
        </w:rPr>
        <w:t xml:space="preserve">6.2.1</w:t>
      </w:r>
      <w:r>
        <w:tab/>
      </w:r>
      <w:r>
        <w:t xml:space="preserve">Penetration</w:t>
      </w:r>
    </w:p>
    <w:p>
      <w:pPr>
        <w:pStyle w:val="FirstParagraph"/>
      </w:pPr>
      <w:r>
        <w:t xml:space="preserve">the calculation of normal stress due</w:t>
      </w:r>
      <w:r>
        <w:t xml:space="preserve"> </w:t>
      </w:r>
      <w:r>
        <w:t xml:space="preserve">to interface penetration is absolute instead of incremental. This means that</w:t>
      </w:r>
      <w:r>
        <w:t xml:space="preserve"> </w:t>
      </w:r>
      <w:r>
        <w:t xml:space="preserve">moving a gridpoint relative to an interface in the normal direction will have an</w:t>
      </w:r>
      <w:r>
        <w:t xml:space="preserve"> </w:t>
      </w:r>
      <w:r>
        <w:t xml:space="preserve">immediate 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 response</w:t>
      </w:r>
      <w:r>
        <w:t xml:space="preserve"> </w:t>
      </w:r>
      <w:r>
        <w:t xml:space="preserve">to accumulated velocities.</w:t>
      </w:r>
    </w:p>
    <w:p>
      <w:pPr>
        <w:pStyle w:val="BodyText"/>
      </w:pPr>
      <w:r>
        <w:t xml:space="preserve">small-displacement” field. is a vector field</w:t>
      </w:r>
      <w:r>
        <w:t xml:space="preserve"> </w:t>
      </w:r>
      <w:r>
        <w:t xml:space="preserve">that is accumulated from the velocity field every step in small-strain mode only.</w:t>
      </w:r>
      <w:r>
        <w:t xml:space="preserve"> </w:t>
      </w:r>
      <w:r>
        <w:t xml:space="preserve">For the purposes of calculating interface penetration, a gridpoint location is</w:t>
      </w:r>
      <w:r>
        <w:t xml:space="preserve"> </w:t>
      </w:r>
      <w:r>
        <w:t xml:space="preserve">based on the current location plus the small-strain displacement. The smallstrain displacement may be initialized using the zone gridpoint initialize</w:t>
      </w:r>
      <w:r>
        <w:t xml:space="preserve"> </w:t>
      </w:r>
      <w:r>
        <w:t xml:space="preserve">displacement-small command, and this is sometimes useful to reset the effective</w:t>
      </w:r>
      <w:r>
        <w:t xml:space="preserve"> </w:t>
      </w:r>
      <w:r>
        <w:t xml:space="preserve">penetration of an interface after some grid motion.</w:t>
      </w:r>
      <w:r>
        <w:t xml:space="preserve"> </w:t>
      </w:r>
      <w:r>
        <w:t xml:space="preserve">To initialize interface stresses without actually moving gridpoints, we introduce</w:t>
      </w:r>
      <w:r>
        <w:t xml:space="preserve"> </w:t>
      </w:r>
      <w:r>
        <w:t xml:space="preserve">a normal stress increment that is added to the normal stress calculated from</w:t>
      </w:r>
      <w:r>
        <w:t xml:space="preserve"> </w:t>
      </w:r>
      <w:r>
        <w:t xml:space="preserve">absolute penetration. It is this value that is set when the zone interface node</w:t>
      </w:r>
      <w:r>
        <w:t xml:space="preserve"> </w:t>
      </w:r>
      <w:r>
        <w:t xml:space="preserve">initialize-stresses command is given. It can also be set explicitly using zone</w:t>
      </w:r>
      <w:r>
        <w:t xml:space="preserve"> </w:t>
      </w:r>
      <w:r>
        <w:t xml:space="preserve">interface node stress-normal-increment.</w:t>
      </w:r>
    </w:p>
    <w:p>
      <w:pPr>
        <w:pStyle w:val="BodyText"/>
      </w:pPr>
      <w:r>
        <w:t xml:space="preserve">Spatial Variation and Randomness of Property Distribution</w:t>
      </w:r>
    </w:p>
    <w:p>
      <w:pPr>
        <w:pStyle w:val="BodyText"/>
      </w:pPr>
      <w:r>
        <w:t xml:space="preserve">Material properties can be specified to adjust or to vary as a function of grid</w:t>
      </w:r>
      <w:r>
        <w:t xml:space="preserve"> </w:t>
      </w:r>
      <w:r>
        <w:t xml:space="preserve">position. In fact, a different property can be assigned to every zone in a FLAC3D</w:t>
      </w:r>
      <w:r>
        <w:t xml:space="preserve"> </w:t>
      </w:r>
      <w:r>
        <w:t xml:space="preserve">model, regardless of model size.</w:t>
      </w:r>
      <w:r>
        <w:t xml:space="preserve"> </w:t>
      </w:r>
      <w:r>
        <w:t xml:space="preserve">There are two commands avialable in FLAC3D to specfiy material properties. The</w:t>
      </w:r>
      <w:r>
        <w:t xml:space="preserve"> </w:t>
      </w:r>
      <w:r>
        <w:t xml:space="preserve">first, zone property, allows multiple properties to be specified in a single</w:t>
      </w:r>
      <w:r>
        <w:t xml:space="preserve"> </w:t>
      </w:r>
      <w:r>
        <w:t xml:space="preserve">command. This is convenient to completely specify properties in different</w:t>
      </w:r>
      <w:r>
        <w:t xml:space="preserve"> </w:t>
      </w:r>
      <w:r>
        <w:t xml:space="preserve">regions, where that property does not vary within that region.</w:t>
      </w:r>
      <w:r>
        <w:t xml:space="preserve"> </w:t>
      </w:r>
      <w:r>
        <w:t xml:space="preserve">The second can only specify one property at a time, but has optional keywords</w:t>
      </w:r>
      <w:r>
        <w:t xml:space="preserve"> </w:t>
      </w:r>
      <w:r>
        <w:t xml:space="preserve">that allow the property value to be automatically varied in space. This is the zone</w:t>
      </w:r>
      <w:r>
        <w:t xml:space="preserve"> </w:t>
      </w:r>
      <w:r>
        <w:t xml:space="preserve">property-distribution command. Among the available keywords are add,</w:t>
      </w:r>
      <w:r>
        <w:t xml:space="preserve"> </w:t>
      </w:r>
      <w:r>
        <w:t xml:space="preserve">multiply, gradient, and vary, which can be used to provide fixed or linear</w:t>
      </w:r>
      <w:r>
        <w:t xml:space="preserve"> </w:t>
      </w:r>
      <w:r>
        <w:t xml:space="preserve">variations of properties with position. For example, the following command</w:t>
      </w:r>
      <w:r>
        <w:t xml:space="preserve"> </w:t>
      </w:r>
      <w:r>
        <w:t xml:space="preserve">provides a linear variation of 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w:t>
      </w:r>
      <w:r>
        <w:t xml:space="preserve"> </w:t>
      </w:r>
      <w:r>
        <w:t xml:space="preserve">With FLAC3D, it is also possible to study the influence of nonhomogeneity in a</w:t>
      </w:r>
      <w:r>
        <w:t xml:space="preserve"> </w:t>
      </w:r>
      <w:r>
        <w:t xml:space="preserve">material. Any type of statistical property distribution can be introduced, as each</w:t>
      </w:r>
      <w:r>
        <w:t xml:space="preserve"> </w:t>
      </w:r>
      <w:r>
        <w:t xml:space="preserve">element may have a unique property value. Two optional keywords are available</w:t>
      </w:r>
      <w:r>
        <w:t xml:space="preserve"> </w:t>
      </w:r>
      <w:r>
        <w:t xml:space="preserve">to apply a random distribution of a selected property with the zone propertydistribution command. The keyword deviation-gaussian assumes a normal</w:t>
      </w:r>
      <w:r>
        <w:t xml:space="preserve"> </w:t>
      </w:r>
      <w:r>
        <w:t xml:space="preserve">(Gaussian) distribution for the property, with a mean value, v, and standard</w:t>
      </w:r>
      <w:r>
        <w:t xml:space="preserve"> </w:t>
      </w:r>
      <w:r>
        <w:t xml:space="preserve">deviation, s. The keyword deviation-uniform assumes a uniform distribution with</w:t>
      </w:r>
      <w:r>
        <w:t xml:space="preserve"> </w:t>
      </w:r>
      <w:r>
        <w:t xml:space="preserve">mean value, v, and standard deviation, s. Be careful to ensure that properties do</w:t>
      </w:r>
      <w:r>
        <w:t xml:space="preserve"> </w:t>
      </w:r>
      <w:r>
        <w:t xml:space="preserve">not acquire negative values if s is large. As an example, the following command</w:t>
      </w:r>
      <w:r>
        <w:t xml:space="preserve"> </w:t>
      </w:r>
      <w:r>
        <w:t xml:space="preserve">would give a mean friction angle of 40° with a standard deviation of ±5%:</w:t>
      </w:r>
      <w:r>
        <w:t xml:space="preserve"> </w:t>
      </w:r>
      <w:r>
        <w:t xml:space="preserve">zone property-distribution friction 45 deviation-gaussian 2</w:t>
      </w:r>
      <w:r>
        <w:t xml:space="preserve"> </w:t>
      </w:r>
      <w:r>
        <w:t xml:space="preserve">Use of the variation keywords in any command (not just for property variation) is</w:t>
      </w:r>
      <w:r>
        <w:t xml:space="preserve"> </w:t>
      </w:r>
      <w:r>
        <w:t xml:space="preserve">defined in the topic Value Modifiers (Add, Multiply, Gradient, Vary).</w:t>
      </w:r>
    </w:p>
    <w:bookmarkEnd w:id="93"/>
    <w:bookmarkEnd w:id="94"/>
    <w:bookmarkStart w:id="95" w:name="kiast-model"/>
    <w:p>
      <w:pPr>
        <w:pStyle w:val="Heading2"/>
      </w:pPr>
      <w:r>
        <w:rPr>
          <w:rStyle w:val="SectionNumber"/>
        </w:rPr>
        <w:t xml:space="preserve">6.3</w:t>
      </w:r>
      <w:r>
        <w:tab/>
      </w:r>
      <w:r>
        <w:t xml:space="preserve">KIAST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5"/>
    <w:bookmarkEnd w:id="96"/>
    <w:bookmarkStart w:id="110" w:name="theory"/>
    <w:p>
      <w:pPr>
        <w:pStyle w:val="Heading1"/>
      </w:pPr>
      <w:r>
        <w:rPr>
          <w:rStyle w:val="SectionNumber"/>
        </w:rPr>
        <w:t xml:space="preserve">7</w:t>
      </w:r>
      <w:r>
        <w:tab/>
      </w:r>
      <w:r>
        <w:t xml:space="preserve">Theory</w:t>
      </w:r>
    </w:p>
    <w:bookmarkStart w:id="97" w:name="interface-1"/>
    <w:p>
      <w:pPr>
        <w:pStyle w:val="Heading2"/>
      </w:pPr>
      <w:r>
        <w:rPr>
          <w:rStyle w:val="SectionNumber"/>
        </w:rPr>
        <w:t xml:space="preserve">7.1</w:t>
      </w:r>
      <w:r>
        <w:tab/>
      </w:r>
      <w:r>
        <w:t xml:space="preserve">Interface</w:t>
      </w:r>
    </w:p>
    <w:p>
      <w:pPr>
        <w:pStyle w:val="FirstParagraph"/>
      </w:pPr>
      <w:r>
        <w:t xml:space="preserve">There are several instances in geomechanics in which it is desirable to represent planes on which sliding or separation can occur. For example:</w:t>
      </w:r>
      <w:r>
        <w:br/>
      </w:r>
    </w:p>
    <w:p>
      <w:pPr>
        <w:numPr>
          <w:ilvl w:val="0"/>
          <w:numId w:val="1003"/>
        </w:numPr>
        <w:pStyle w:val="Compact"/>
      </w:pPr>
      <w:r>
        <w:t xml:space="preserve">joint, fault, or bedding planes in a geologic medium;</w:t>
      </w:r>
    </w:p>
    <w:p>
      <w:pPr>
        <w:numPr>
          <w:ilvl w:val="0"/>
          <w:numId w:val="1003"/>
        </w:numPr>
        <w:pStyle w:val="Compact"/>
      </w:pPr>
      <w:r>
        <w:t xml:space="preserve">an interface between a foundation and the soil;</w:t>
      </w:r>
    </w:p>
    <w:p>
      <w:pPr>
        <w:numPr>
          <w:ilvl w:val="0"/>
          <w:numId w:val="1003"/>
        </w:numPr>
        <w:pStyle w:val="Compact"/>
      </w:pPr>
      <w:r>
        <w:t xml:space="preserve">a contact plane between a bin or chute and the material that it contains;</w:t>
      </w:r>
    </w:p>
    <w:p>
      <w:pPr>
        <w:numPr>
          <w:ilvl w:val="0"/>
          <w:numId w:val="1003"/>
        </w:numPr>
        <w:pStyle w:val="Compact"/>
      </w:pPr>
      <w:r>
        <w:t xml:space="preserve">a contact between two colliding objects; and</w:t>
      </w:r>
    </w:p>
    <w:p>
      <w:pPr>
        <w:numPr>
          <w:ilvl w:val="0"/>
          <w:numId w:val="1003"/>
        </w:numPr>
        <w:pStyle w:val="Compact"/>
      </w:pPr>
      <w:r>
        <w:t xml:space="preserve">a planar</w:t>
      </w:r>
      <w:r>
        <w:t xml:space="preserve"> </w:t>
      </w:r>
      <w:r>
        <w:t xml:space="preserve">“</w:t>
      </w:r>
      <w:r>
        <w:t xml:space="preserve">barrier</w:t>
      </w:r>
      <w:r>
        <w:t xml:space="preserve">”</w:t>
      </w:r>
      <w:r>
        <w:t xml:space="preserve"> </w:t>
      </w:r>
      <w:r>
        <w:t xml:space="preserve">in space, which represents a fixed, non-deformable boundary at an arbitrary position and orientation.</w:t>
      </w:r>
      <w:r>
        <w:br/>
      </w:r>
    </w:p>
    <w:p>
      <w:pPr>
        <w:pStyle w:val="FirstParagraph"/>
      </w:pPr>
      <w:r>
        <w:t xml:space="preserve">FLAC3D provides interfaces that are characterized by Coulomb sliding and/or tensile and shear bonding. Interfaces have the properties of friction, cohesion, dilation, normal and shear stiffnesses, and tensile and shear bond strength. Although there is no restriction on the number of interfaces or the complexity of their intersections, it is generally not reasonable to model more than a few simple interfaces with FLAC3D because it is awkward to specify complicated interface geometry. The program 3DEC (Itasca 2007) is specifically designed to model many interacting bodies in three dimensions; it should be used instead of FLAC3D for the more complicated interface problems.</w:t>
      </w:r>
      <w:r>
        <w:br/>
      </w:r>
    </w:p>
    <w:p>
      <w:pPr>
        <w:pStyle w:val="BodyText"/>
      </w:pPr>
      <w:r>
        <w:t xml:space="preserve">Interfaces may also be used to join regions that have different zone sizes. In general, the zone attach command should be used to join grids together. However, in some circumstances, it may be more convenient to use an interface for this purpose. In this case, the interface is prevented from sliding or opening because it does not correspond to any physical entity.</w:t>
      </w:r>
    </w:p>
    <w:bookmarkEnd w:id="97"/>
    <w:bookmarkStart w:id="100" w:name="formulation"/>
    <w:p>
      <w:pPr>
        <w:pStyle w:val="Heading2"/>
      </w:pPr>
      <w:r>
        <w:rPr>
          <w:rStyle w:val="SectionNumber"/>
        </w:rPr>
        <w:t xml:space="preserve">7.2</w:t>
      </w:r>
      <w:r>
        <w:tab/>
      </w:r>
      <w:r>
        <w:t xml:space="preserve">Formulation</w:t>
      </w:r>
    </w:p>
    <w:p>
      <w:pPr>
        <w:pStyle w:val="FirstParagraph"/>
      </w:pPr>
      <w:r>
        <w:t xml:space="preserve">FLAC3D represents interfaces as collections of triangular elements (interface elements), each of which is defined by three nodes (interface nodes). Interface elements can be created at any location in space. Generally, interface elements are attached to a zone surface face; two triangular interface elements are defined for every quadrilateral zone face. Interface nodes are then created automatically at every interface element vertex. When another grid surface comes into contact with an interface element, the contact is detected at the interface node and is characterized by normal and shear stiffnesses, and sliding properties.</w:t>
      </w:r>
      <w:r>
        <w:br/>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r>
        <w:br/>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98"/>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 differs from the formulation of two-sided interfaces in two-dimensional 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 surface to become sensitive to interpenetration with any other face with which it may come into contact.</w:t>
      </w:r>
      <w:r>
        <w:br/>
      </w:r>
    </w:p>
    <w:p>
      <w:pPr>
        <w:pStyle w:val="BodyText"/>
      </w:pPr>
      <w:r>
        <w:t xml:space="preserve">The fundamental contact relation is defined between the interface node and a zone surface face, also known as the target face. The normal direction of the interface force is determined by the orientation of the target face.</w:t>
      </w:r>
      <w:r>
        <w:br/>
      </w:r>
    </w:p>
    <w:p>
      <w:pPr>
        <w:pStyle w:val="BodyText"/>
      </w:pPr>
      <w:r>
        <w:t xml:space="preserve">During each timestep, the absolute normal penetration and the relative shear velocity are calculated for each interface node and its contacting target face. Both of these values are then used by the interface constitutive model to calculate a normal force and a shear-force vector. The constitutive model is defined by a linear Coulomb shear-strength criterion that limits the shear force acting at an interface node, normal and shear stiffnesses, tensile and shear bond strengths, and a dilation angle that causes an increase in effective normal force on the target face after the shear-strength limit is reached. By default, pore pressure is used in the interface effective stress calculation. This option can be activated/deactivated using the command zone interface effective command by setting effective = on/off. Figure 2 illustrates the components of the constitutive model acting at interface node (P):</w:t>
      </w:r>
      <w:r>
        <w:br/>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9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 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r>
        <w:br/>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r>
        <w:br/>
      </w:r>
    </w:p>
    <w:p>
      <w:pPr>
        <w:numPr>
          <w:ilvl w:val="0"/>
          <w:numId w:val="1004"/>
        </w:numPr>
      </w:pPr>
      <w:r>
        <w:t xml:space="preserve">Bonded interface — The interface remains elastic if stresses remain below the bond strengths; there is a shear bond strength, as well as a tensile bond strength. The normal bond strength is set using the tension interface property keyword. The command zone interface node property shear-bond-ratio = sbr sets the shear bond strength to sbr times the normal bond strength. The default value of property shear-bond-ratio (if not given) is 100.0. The bond breaks if either the shear stress exceeds the shear strength, or the tensile effective normal stress exceeds the normal strength. Note that giving property shear-bond-ratio alone does not cause a bond to be established—the tensile bond strength must also be set.</w:t>
      </w:r>
      <w:r>
        <w:br/>
      </w:r>
    </w:p>
    <w:p>
      <w:pPr>
        <w:numPr>
          <w:ilvl w:val="0"/>
          <w:numId w:val="1004"/>
        </w:numPr>
      </w:pPr>
      <w:r>
        <w:t xml:space="preserve">Slip while bonded — An intact bond, by default, prevents all yield behavior (slip and separation). There is an optional property switch (bonded-slip) that causes only separation to be prevented if the bond is intact (but allows shear yield, under the control of the friction and cohesion parameters, using (F_n) as the normal force). The command to allow/disallow slip for a bonded interface segment is zone interface node and by setting bonded-slip on or off.</w:t>
      </w:r>
      <w:r>
        <w:br/>
      </w:r>
    </w:p>
    <w:p>
      <w:pPr>
        <w:pStyle w:val="FirstParagraph"/>
      </w:pPr>
      <w:r>
        <w:t xml:space="preserve">The default state of bonded-slip (if not given) is off.</w:t>
      </w:r>
    </w:p>
    <w:p>
      <w:pPr>
        <w:numPr>
          <w:ilvl w:val="0"/>
          <w:numId w:val="1005"/>
        </w:numPr>
        <w:pStyle w:val="Compact"/>
      </w:pPr>
      <w:r>
        <w:t xml:space="preserve">Coulomb sliding — A bond is either intact or broken. If it is broken, then the behavior of the interface segment is determined by the friction and cohesion (and of course the stiffnesses). This is the default behavior, if bond strengths are not set (zero). A broken bond segment cannot take effective tension (which may occur under compressive normal force, if the pore pressure is greater). The shear force is zero (for a nonbonded segment) if the effective normal force is tensile or zero.</w:t>
      </w:r>
      <w:r>
        <w:br/>
      </w:r>
    </w:p>
    <w:p>
      <w:pPr>
        <w:pStyle w:val="FirstParagraph"/>
      </w:pPr>
      <w:r>
        <w:t xml:space="preserve">The Coulomb shear-strength criterion limits the shear force by the relation:</w:t>
      </w:r>
      <w:r>
        <w:br/>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 displacement may cause an increase in the effective normal stress on the joint, according to the relation:</w:t>
      </w:r>
      <w:r>
        <w:br/>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 tension denotes whether a bond is intact or broken (or not set) — nonzero or zero, respectively.</w:t>
      </w:r>
      <w:r>
        <w:br/>
      </w:r>
    </w:p>
    <w:p>
      <w:pPr>
        <w:pStyle w:val="BodyText"/>
      </w:pPr>
      <w:r>
        <w:t xml:space="preserve">The normal and shear forces calculated at the interface nodes are distributed in equal and opposite directions to both the target face and the face to which the interface node is connected (the host face). Weighting functions are used to distribute the forces to the gridpoints on each face. The interface stiffnesses are added to the accumulated stiffnesses at gridpoints on both sides of the interface in order to maintain numerical stability.</w:t>
      </w:r>
      <w:r>
        <w:br/>
      </w:r>
    </w:p>
    <w:p>
      <w:pPr>
        <w:pStyle w:val="BodyText"/>
      </w:pPr>
      <w:r>
        <w:t xml:space="preserve">Interface contacts are detected only at interface nodes, and contact forces are transferred only at interface nodes. The stress state associated with a node is assumed to be uniformly distributed over the entire representative area of the node. Interface properties are associated with each node; properties may vary from node to node.</w:t>
      </w:r>
      <w:r>
        <w:br/>
      </w:r>
    </w:p>
    <w:p>
      <w:pPr>
        <w:pStyle w:val="BodyText"/>
      </w:pPr>
      <w:r>
        <w:t xml:space="preserve">By default, the effect of pore pressure is included in the interface calculation by using effective stress as the basis for the slip condition. (The interface pore pressure is interpolated from the target face.) This applies in model configure fluid mode, or if pore pressures are assigned with the zone water or zone gridpoint initialize pore-pressure command without specifying model configure fluid. The user can switch options for interface s by using the zone interface effective command and by setting effective on or off. By default in the FLAC3D logic, fluid flow (saturated or unsaturated) is carried across an interface, provided the interface keyword maximum-edge is not used for that particular interface. The permeable interface option can be deactivated/reactivated for interface s by using the zone interface permeability command and by setting effective on or off. Note that if the keyword maximum-edge is used after the zone interface element command, and permeability is on for a particular interface, a warning is issued to inform the user that this interface will be considered as impermeable to fluid flow. (Note that for fluid flow calculation only, a mechanical model must be present. Also, the model cycle 0 command with model mechanical active on should be used to initialize the weighting factors used to transfer fluid flow information across the interface.) No pressure drop normal to the joint and no influence of normal displacement on pore pressure is calculated.</w:t>
      </w:r>
      <w:r>
        <w:br/>
      </w:r>
    </w:p>
    <w:p>
      <w:pPr>
        <w:pStyle w:val="BodyText"/>
      </w:pPr>
      <w:r>
        <w:t xml:space="preserve">Also, flow of fluid along the interface is not modeled.</w:t>
      </w:r>
      <w:r>
        <w:br/>
      </w:r>
    </w:p>
    <w:bookmarkEnd w:id="100"/>
    <w:bookmarkStart w:id="101" w:name="creation-of-interface-geometry"/>
    <w:p>
      <w:pPr>
        <w:pStyle w:val="Heading2"/>
      </w:pPr>
      <w:r>
        <w:rPr>
          <w:rStyle w:val="SectionNumber"/>
        </w:rPr>
        <w:t xml:space="preserve">7.3</w:t>
      </w:r>
      <w:r>
        <w:tab/>
      </w:r>
      <w:r>
        <w:t xml:space="preserve">Creation of Interface Geometry</w:t>
      </w:r>
    </w:p>
    <w:p>
      <w:pPr>
        <w:pStyle w:val="FirstParagraph"/>
      </w:pPr>
      <w:r>
        <w:t xml:space="preserve">Interfaces are created with the zone interface create command. For cases in which an interface between two separate grids in the model is required, the zone interface create by-face command should be used to attach an interface to one of the grid surfaces. This command generates interface elements for interface s along all surface zone faces with a center point that fall within a specified range. Any surfaces on which an interface is to be created must be generated initially; it must be possible to specify an existing surface in order to create the interface elements. A gap must be specified between two adjacent surfaces, unless the zone interface create by-face command and the separate keyword are given. In this case, the separate sub-grids may have surface gridpoints at the same location in space.</w:t>
      </w:r>
      <w:r>
        <w:br/>
      </w:r>
    </w:p>
    <w:p>
      <w:pPr>
        <w:pStyle w:val="BodyText"/>
      </w:pPr>
      <w:r>
        <w:t xml:space="preserve">By default, two interface elements are created for each zone face. The number of interface elements can be increased by using the zone interface s element maximum-edge v command. [1] This causes all interface elements with edge lengths larger than v to subdivide into smaller elements until their lengths are smaller than v. This command can be used to increase the resolution and decrease arching of forces in portions of a model that have large contrasts in zone size across an interface.</w:t>
      </w:r>
      <w:r>
        <w:br/>
      </w:r>
    </w:p>
    <w:p>
      <w:pPr>
        <w:pStyle w:val="BodyText"/>
      </w:pPr>
      <w:r>
        <w:t xml:space="preserve">Several rules should be followed when using interface elements in FLAC3D:</w:t>
      </w:r>
      <w:r>
        <w:br/>
      </w:r>
    </w:p>
    <w:p>
      <w:pPr>
        <w:numPr>
          <w:ilvl w:val="0"/>
          <w:numId w:val="1006"/>
        </w:numPr>
        <w:pStyle w:val="Compact"/>
      </w:pPr>
      <w:r>
        <w:t xml:space="preserve">If a smaller surface area contacts a larger surface area (e.g., a small block resting on a large block), the interface should be attached to the smaller region.</w:t>
      </w:r>
      <w:r>
        <w:br/>
      </w:r>
    </w:p>
    <w:p>
      <w:pPr>
        <w:numPr>
          <w:ilvl w:val="0"/>
          <w:numId w:val="1006"/>
        </w:numPr>
        <w:pStyle w:val="Compact"/>
      </w:pPr>
      <w:r>
        <w:t xml:space="preserve">If there is a difference in zone density between two adjacent grids, the interface should be attached to the grid with the greater zone density (i.e., the greater number of zones within the same area).</w:t>
      </w:r>
    </w:p>
    <w:p>
      <w:pPr>
        <w:numPr>
          <w:ilvl w:val="0"/>
          <w:numId w:val="1006"/>
        </w:numPr>
        <w:pStyle w:val="Compact"/>
      </w:pPr>
      <w:r>
        <w:t xml:space="preserve">The size of interface elements should always be equal to or smaller than the target faces with which they will come into contact. If this is not the case, the interface elements should be subdivided into smaller elements.</w:t>
      </w:r>
      <w:r>
        <w:br/>
      </w:r>
    </w:p>
    <w:p>
      <w:pPr>
        <w:numPr>
          <w:ilvl w:val="0"/>
          <w:numId w:val="1006"/>
        </w:numPr>
        <w:pStyle w:val="Compact"/>
      </w:pPr>
      <w:r>
        <w:t xml:space="preserve">Interface elements should be limited to grid surfaces that will actually come into contact with another grid.</w:t>
      </w:r>
      <w:r>
        <w:br/>
      </w:r>
      <w:r>
        <w:t xml:space="preserve">A simple example illustrating the procedure for interface creation 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 InterfaceDippingJoint.</w:t>
      </w:r>
      <w:r>
        <w:t xml:space="preserve">”</w:t>
      </w:r>
      <w:r>
        <w:t xml:space="preserve"> </w:t>
      </w:r>
      <w:r>
        <w:t xml:space="preserve">The example is a block specimen containing a 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1"/>
    <w:bookmarkStart w:id="109" w:name="typical-properties"/>
    <w:p>
      <w:pPr>
        <w:pStyle w:val="Heading2"/>
      </w:pPr>
      <w:r>
        <w:rPr>
          <w:rStyle w:val="SectionNumber"/>
        </w:rPr>
        <w:t xml:space="preserve">7.4</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w:t>
      </w:r>
      <w:r>
        <w:t xml:space="preserve"> </w:t>
      </w:r>
      <w:r>
        <w:t xml:space="preserve">In many instances, particularly in mining engineering, the response of a material</w:t>
      </w:r>
      <w:r>
        <w:t xml:space="preserve"> </w:t>
      </w:r>
      <w:r>
        <w:t xml:space="preserve">after failure has initiated is an important factor in the engineering design.</w:t>
      </w:r>
      <w:r>
        <w:t xml:space="preserve"> </w:t>
      </w:r>
      <w:r>
        <w:t xml:space="preserve">Consequently, the post-failure behavior must be simulated in the material</w:t>
      </w:r>
      <w:r>
        <w:t xml:space="preserve"> </w:t>
      </w:r>
      <w:r>
        <w:t xml:space="preserve">model. In FLAC3D, this is accomplished with properties that define four types of</w:t>
      </w:r>
      <w:r>
        <w:t xml:space="preserve"> </w:t>
      </w:r>
      <w:r>
        <w:t xml:space="preserve">post failure response:</w:t>
      </w:r>
      <w:r>
        <w:t xml:space="preserve"> </w:t>
      </w:r>
      <w:r>
        <w:t xml:space="preserve">1. shear dilatancy;</w:t>
      </w:r>
      <w:r>
        <w:t xml:space="preserve"> </w:t>
      </w:r>
      <w:r>
        <w:t xml:space="preserve">2. shear hardening/softening;</w:t>
      </w:r>
      <w:r>
        <w:t xml:space="preserve"> </w:t>
      </w:r>
      <w:r>
        <w:t xml:space="preserve">3. volumetric hardening/softening; and</w:t>
      </w:r>
      <w:r>
        <w:t xml:space="preserve"> </w:t>
      </w:r>
      <w:r>
        <w:t xml:space="preserve">4. tensile softening.</w:t>
      </w:r>
      <w:r>
        <w:t xml:space="preserve"> </w:t>
      </w:r>
      <w:r>
        <w:t xml:space="preserve">These properties are only activated after failure is initiated, as defined by the</w:t>
      </w:r>
      <w:r>
        <w:t xml:space="preserve"> </w:t>
      </w:r>
      <w:r>
        <w:t xml:space="preserve">Mohr-Coulomb relation or the tensile-failure criterion. Shear dilatancy is</w:t>
      </w:r>
      <w:r>
        <w:t xml:space="preserve"> </w:t>
      </w:r>
      <w:r>
        <w:t xml:space="preserve">simulated with the Mohr-Coulomb, ubiquitous-joint and strain-softening MohrCoulomb and ubiquitous-joint models. Shear hardening/softening is simulated</w:t>
      </w:r>
      <w:r>
        <w:t xml:space="preserve"> </w:t>
      </w:r>
      <w:r>
        <w:t xml:space="preserve">with the strain-softening Mohr-Coulomb and ubiquitous-joint models, and</w:t>
      </w:r>
      <w:r>
        <w:t xml:space="preserve"> </w:t>
      </w:r>
      <w:r>
        <w:t xml:space="preserve">volumetric hardening/softening is simulated with the modified Cam-clay model.</w:t>
      </w:r>
      <w:r>
        <w:t xml:space="preserve"> </w:t>
      </w:r>
      <w:r>
        <w:t xml:space="preserve">Tensile softening is simulated with the strain-softening Mohr-Coulomb and</w:t>
      </w:r>
      <w:r>
        <w:t xml:space="preserve"> </w:t>
      </w:r>
      <w:r>
        <w:t xml:space="preserve">ubiquitous-joint models</w:t>
      </w:r>
    </w:p>
    <w:bookmarkStart w:id="106" w:name="shear-dilatancy"/>
    <w:p>
      <w:pPr>
        <w:pStyle w:val="Heading3"/>
      </w:pPr>
      <w:r>
        <w:rPr>
          <w:rStyle w:val="SectionNumber"/>
        </w:rPr>
        <w:t xml:space="preserve">7.4.1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03"/>
                    <a:stretch>
                      <a:fillRect/>
                    </a:stretch>
                  </pic:blipFill>
                  <pic:spPr bwMode="auto">
                    <a:xfrm>
                      <a:off x="0" y="0"/>
                      <a:ext cx="5334000" cy="4002329"/>
                    </a:xfrm>
                    <a:prstGeom prst="rect">
                      <a:avLst/>
                    </a:prstGeom>
                    <a:noFill/>
                    <a:ln w="9525">
                      <a:noFill/>
                      <a:headEnd/>
                      <a:tailEnd/>
                    </a:ln>
                  </pic:spPr>
                </pic:pic>
              </a:graphicData>
            </a:graphic>
          </wp:inline>
        </w:drawing>
      </w:r>
      <w:r>
        <w:t xml:space="preserve"> </w:t>
      </w:r>
      <w:r>
        <w:t xml:space="preserve">Shear dilatancy, or dilatancy, is the change in volume that occurs with shear</w:t>
      </w:r>
      <w:r>
        <w:t xml:space="preserve"> </w:t>
      </w:r>
      <w:r>
        <w:t xml:space="preserve">distortion of a material. Dilatancy is characterized by a dilation angle, , which is</w:t>
      </w:r>
      <w:r>
        <w:t xml:space="preserve"> </w:t>
      </w:r>
      <w:r>
        <w:t xml:space="preserve">related to the ratio of plastic volume change to plastic shear strain. This angle</w:t>
      </w:r>
      <w:r>
        <w:t xml:space="preserve"> </w:t>
      </w:r>
      <w:r>
        <w:t xml:space="preserve">can be specified in the Mohr-Coulomb ubiquitous-joint and strain-hardening/</w:t>
      </w:r>
      <w:r>
        <w:t xml:space="preserve"> </w:t>
      </w:r>
      <w:r>
        <w:t xml:space="preserve">softening models in FLAC3D. Dilation angle is typically determined from triaxial</w:t>
      </w:r>
      <w:r>
        <w:t xml:space="preserve"> </w:t>
      </w:r>
      <w:r>
        <w:t xml:space="preserve">tests or shear-box tests. For example, the idealized relation for dilatancy, based</w:t>
      </w:r>
      <w:r>
        <w:t xml:space="preserve"> </w:t>
      </w:r>
      <w:r>
        <w:t xml:space="preserve">upon the Mohr-Coulomb failure surface, is depicted for a triaxial test in the</w:t>
      </w:r>
      <w:r>
        <w:t xml:space="preserve"> </w:t>
      </w:r>
      <w:r>
        <w:t xml:space="preserve">figure below. The dilation angle is found from the plot of volumetric strain</w:t>
      </w:r>
      <w:r>
        <w:t xml:space="preserve"> </w:t>
      </w:r>
      <w:r>
        <w:t xml:space="preserve">versus axial strain. Note that the initial slope for this plot corresponds to the</w:t>
      </w:r>
      <w:r>
        <w:t xml:space="preserve"> </w:t>
      </w:r>
      <w:r>
        <w:t xml:space="preserve">elastic regime, while the slope used to measure the dilation angle corresponds to</w:t>
      </w:r>
      <w:r>
        <w:t xml:space="preserve"> </w:t>
      </w:r>
      <w:r>
        <w:t xml:space="preserve">the plastic regime</w:t>
      </w:r>
      <w:r>
        <w:t xml:space="preserve"> </w:t>
      </w: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04"/>
                    <a:stretch>
                      <a:fillRect/>
                    </a:stretch>
                  </pic:blipFill>
                  <pic:spPr bwMode="auto">
                    <a:xfrm>
                      <a:off x="0" y="0"/>
                      <a:ext cx="5334000" cy="4083752"/>
                    </a:xfrm>
                    <a:prstGeom prst="rect">
                      <a:avLst/>
                    </a:prstGeom>
                    <a:noFill/>
                    <a:ln w="9525">
                      <a:noFill/>
                      <a:headEnd/>
                      <a:tailEnd/>
                    </a:ln>
                  </pic:spPr>
                </pic:pic>
              </a:graphicData>
            </a:graphic>
          </wp:inline>
        </w:drawing>
      </w:r>
      <w:r>
        <w:t xml:space="preserve"> </w:t>
      </w:r>
      <w:r>
        <w:t xml:space="preserve">Selected Strength Properties (drained, laboratory-scale) for Soils (Ortiz</w:t>
      </w:r>
      <w:r>
        <w:t xml:space="preserve"> </w:t>
      </w:r>
      <w:r>
        <w:t xml:space="preserve">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05"/>
                    <a:stretch>
                      <a:fillRect/>
                    </a:stretch>
                  </pic:blipFill>
                  <pic:spPr bwMode="auto">
                    <a:xfrm>
                      <a:off x="0" y="0"/>
                      <a:ext cx="5334000" cy="1254039"/>
                    </a:xfrm>
                    <a:prstGeom prst="rect">
                      <a:avLst/>
                    </a:prstGeom>
                    <a:noFill/>
                    <a:ln w="9525">
                      <a:noFill/>
                      <a:headEnd/>
                      <a:tailEnd/>
                    </a:ln>
                  </pic:spPr>
                </pic:pic>
              </a:graphicData>
            </a:graphic>
          </wp:inline>
        </w:drawing>
      </w:r>
    </w:p>
    <w:bookmarkEnd w:id="106"/>
    <w:bookmarkStart w:id="108" w:name="X9c1078a41f1c779b13f06d76906c4edb58c8ebf"/>
    <w:p>
      <w:pPr>
        <w:pStyle w:val="Heading3"/>
      </w:pPr>
      <w:r>
        <w:rPr>
          <w:rStyle w:val="SectionNumber"/>
        </w:rPr>
        <w:t xml:space="preserve">7.4.2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 in</w:t>
      </w:r>
      <w:r>
        <w:t xml:space="preserve"> </w:t>
      </w:r>
      <w:r>
        <w:t xml:space="preserve">the image below. This test produces distinct peak and residual failure stress</w:t>
      </w:r>
      <w:r>
        <w:t xml:space="preserve"> </w:t>
      </w:r>
      <w:r>
        <w:t xml:space="preserve">levels</w:t>
      </w:r>
      <w:r>
        <w:t xml:space="preserve"> </w:t>
      </w: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0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 reduction in</w:t>
      </w:r>
      <w:r>
        <w:t xml:space="preserve"> </w:t>
      </w:r>
      <w:r>
        <w:t xml:space="preserve">cohesion) and a gradual softening (due to a reduction in friction angle). The</w:t>
      </w:r>
      <w:r>
        <w:t xml:space="preserve"> </w:t>
      </w:r>
      <w:r>
        <w:t xml:space="preserve">selection of the properties is discussed further in Material Properties.</w:t>
      </w:r>
      <w:r>
        <w:t xml:space="preserve"> </w:t>
      </w:r>
      <w:r>
        <w:t xml:space="preserve">Comparison of the two images above illustrates the different responses of the</w:t>
      </w:r>
      <w:r>
        <w:t xml:space="preserve"> </w:t>
      </w:r>
      <w:r>
        <w:t xml:space="preserve">two models. The initial response up to the onset of failure is identical, but postfailure behavior is quite different. Clearly, more data are required to use the</w:t>
      </w:r>
      <w:r>
        <w:t xml:space="preserve"> </w:t>
      </w:r>
      <w:r>
        <w:t xml:space="preserve">strain-softening model and, typically, the softening model must be calibrated for</w:t>
      </w:r>
      <w:r>
        <w:t xml:space="preserve"> </w:t>
      </w:r>
      <w:r>
        <w:t xml:space="preserve">each specific problem.</w:t>
      </w:r>
    </w:p>
    <w:bookmarkEnd w:id="108"/>
    <w:bookmarkEnd w:id="109"/>
    <w:bookmarkEnd w:id="110"/>
    <w:bookmarkStart w:id="116" w:name="command"/>
    <w:p>
      <w:pPr>
        <w:pStyle w:val="Heading1"/>
      </w:pPr>
      <w:r>
        <w:rPr>
          <w:rStyle w:val="SectionNumber"/>
        </w:rPr>
        <w:t xml:space="preserve">8</w:t>
      </w:r>
      <w:r>
        <w:tab/>
      </w:r>
      <w:r>
        <w:t xml:space="preserve">Command</w:t>
      </w:r>
    </w:p>
    <w:bookmarkStart w:id="115" w:name="interface-2"/>
    <w:p>
      <w:pPr>
        <w:pStyle w:val="Heading2"/>
      </w:pPr>
      <w:r>
        <w:rPr>
          <w:rStyle w:val="SectionNumber"/>
        </w:rPr>
        <w:t xml:space="preserve">8.1</w:t>
      </w:r>
      <w:r>
        <w:tab/>
      </w:r>
      <w:r>
        <w:t xml:space="preserve">Interface</w:t>
      </w:r>
    </w:p>
    <w:bookmarkStart w:id="111" w:name="zone-face-group"/>
    <w:p>
      <w:pPr>
        <w:pStyle w:val="Heading3"/>
      </w:pPr>
      <w:r>
        <w:rPr>
          <w:rStyle w:val="SectionNumber"/>
        </w:rPr>
        <w:t xml:space="preserve">8.1.1</w:t>
      </w:r>
      <w:r>
        <w:tab/>
      </w:r>
      <w:r>
        <w:t xml:space="preserve">zone face group</w:t>
      </w:r>
    </w:p>
    <w:p>
      <w:pPr>
        <w:pStyle w:val="FirstParagraph"/>
      </w:pPr>
      <w:r>
        <w:t xml:space="preserve">zone face group s keyword …</w:t>
      </w:r>
      <w:r>
        <w:t xml:space="preserve"> </w:t>
      </w:r>
    </w:p>
    <w:p>
      <w:pPr>
        <w:pStyle w:val="SourceCode"/>
      </w:pPr>
      <w:r>
        <w:br/>
      </w:r>
      <w:r>
        <w:rPr>
          <w:rStyle w:val="VerbatimChar"/>
        </w:rPr>
        <w:t xml:space="preserve">Example: </w:t>
      </w:r>
      <w:r>
        <w:br/>
      </w:r>
      <w:r>
        <w:br/>
      </w:r>
      <w:r>
        <w:rPr>
          <w:rStyle w:val="VerbatimChar"/>
        </w:rPr>
        <w:t xml:space="preserve">```python</w:t>
      </w:r>
      <w:r>
        <w:br/>
      </w:r>
      <w:r>
        <w:rPr>
          <w:rStyle w:val="VerbatimChar"/>
        </w:rPr>
        <w:t xml:space="preserve">zone face group 'wall' internal range group 'wall-c' group 'pile'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 may belong to many groups, up to 128.</w:t>
      </w:r>
      <w:r>
        <w:t xml:space="preserve"> </w:t>
      </w:r>
      <w:r>
        <w:t xml:space="preserve">keywords: internal, or, remove.</w:t>
      </w:r>
      <w:r>
        <w:br/>
      </w:r>
      <w:r>
        <w:t xml:space="preserve">- internal: to select all faces.</w:t>
      </w:r>
      <w:r>
        <w:br/>
      </w:r>
      <w:r>
        <w:t xml:space="preserve">If specified, then the range looks at internal faces as well as surface faces.</w:t>
      </w:r>
    </w:p>
    <w:p>
      <w:pPr>
        <w:numPr>
          <w:ilvl w:val="0"/>
          <w:numId w:val="1007"/>
        </w:numPr>
      </w:pPr>
      <w:r>
        <w:t xml:space="preserve">or: considered inside the surface if any of those conditions has a non-null model.</w:t>
      </w:r>
    </w:p>
    <w:p>
      <w:pPr>
        <w:numPr>
          <w:ilvl w:val="0"/>
          <w:numId w:val="1007"/>
        </w:numPr>
      </w:pPr>
      <w:r>
        <w:t xml:space="preserve">remove: group is removed from the zone face.</w:t>
      </w:r>
    </w:p>
    <w:bookmarkEnd w:id="111"/>
    <w:bookmarkStart w:id="11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 follows: the program looks for contiguous faces and puts them into automatically named groups within the slot named skin. Two faces are not considered contiguous if the angle between two faces exceeds the break angle, or if the two faces belong to different groups according to the command’s slot specification.</w:t>
      </w:r>
      <w:r>
        <w:t xml:space="preserve"> </w:t>
      </w:r>
      <w:r>
        <w:t xml:space="preserve">Unless internal is specified, the operation of zone face skin is restricted to external faces. Only zone faces that have no zone on the other side, a hidden zone on the other side are considered surface faces.</w:t>
      </w:r>
      <w:r>
        <w:t xml:space="preserve"> </w:t>
      </w:r>
      <w:r>
        <w:t xml:space="preserve">When use-hidden-zones is used, within specified range will be included for consideration.</w:t>
      </w:r>
    </w:p>
    <w:p>
      <w:pPr>
        <w:pStyle w:val="BodyText"/>
      </w:pPr>
      <w:r>
        <w:t xml:space="preserve">group names are generated as follows:</w:t>
      </w:r>
      <w:r>
        <w:t xml:space="preserve"> </w:t>
      </w:r>
      <w:r>
        <w:t xml:space="preserve">sEast, sWest, sNorth, sSouth, sTop, sBottom</w:t>
      </w:r>
    </w:p>
    <w:p>
      <w:pPr>
        <w:pStyle w:val="BodyText"/>
      </w:pPr>
      <w:r>
        <w:t xml:space="preserve">Internal faces are assigned names of the group on either side that changed in order to create them.</w:t>
      </w:r>
    </w:p>
    <w:bookmarkEnd w:id="112"/>
    <w:bookmarkStart w:id="11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 face are duplicated, and new face is created. New faces and gridpoints get copies of all group and extra variable assignments belonging to the original face and gridpoint.</w:t>
      </w:r>
    </w:p>
    <w:p>
      <w:pPr>
        <w:pStyle w:val="BodyText"/>
      </w:pPr>
      <w:r>
        <w:t xml:space="preserve">Example:</w:t>
      </w:r>
      <w:r>
        <w:t xml:space="preserve"> </w:t>
      </w:r>
      <w:r>
        <w:t xml:space="preserve">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 George.</w:t>
      </w:r>
    </w:p>
    <w:p>
      <w:pPr>
        <w:pStyle w:val="BodyText"/>
      </w:pPr>
      <w:r>
        <w:t xml:space="preserve">keyword:</w:t>
      </w:r>
      <w:r>
        <w:t xml:space="preserve"> </w:t>
      </w:r>
      <w:r>
        <w:t xml:space="preserve">- by-face: attempts to separate all internal faces in the range</w:t>
      </w:r>
      <w:r>
        <w:t xml:space="preserve"> </w:t>
      </w:r>
      <w:r>
        <w:t xml:space="preserve">- new-side group: newly created faces will be assigned the group name in the specified slot.</w:t>
      </w:r>
      <w:r>
        <w:t xml:space="preserve"> </w:t>
      </w:r>
      <w:r>
        <w:t xml:space="preserve">The default slot, is named Default.</w:t>
      </w:r>
    </w:p>
    <w:bookmarkEnd w:id="113"/>
    <w:bookmarkStart w:id="11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w:t>
      </w:r>
      <w:r>
        <w:t xml:space="preserve"> </w:t>
      </w:r>
      <w:r>
        <w:t xml:space="preserve">1. To derive an interface from a range of zone faces using by-face keyword.</w:t>
      </w:r>
      <w:r>
        <w:t xml:space="preserve"> </w:t>
      </w:r>
      <w:r>
        <w:t xml:space="preserve">2. To specify a triangular interface element from 3 points.</w:t>
      </w:r>
      <w:r>
        <w:t xml:space="preserve"> </w:t>
      </w:r>
      <w:r>
        <w:t xml:space="preserve">3. Command may also be used to construct an interface node that may be used with the element keyword.</w:t>
      </w:r>
    </w:p>
    <w:p>
      <w:pPr>
        <w:pStyle w:val="BodyText"/>
      </w:pPr>
      <w:r>
        <w:t xml:space="preserve">keyword:</w:t>
      </w:r>
      <w:r>
        <w:t xml:space="preserve"> </w:t>
      </w:r>
      <w:r>
        <w:t xml:space="preserve">- by-face: interface elements are created on all surface zone faces that are within the specified range. An error will occur if interface elements from that interface already exist on the selected faces.</w:t>
      </w:r>
      <w:r>
        <w:t xml:space="preserve"> </w:t>
      </w:r>
      <w:r>
        <w:t xml:space="preserve">If the optional separate keyword is used, then internal zone faces are selected by the range. The list of selected faces is then automatically separated (as with zone separate) and interface elements placed on one side. The following are for the separate keyword: new-side-origin, clear-attach.</w:t>
      </w:r>
    </w:p>
    <w:p>
      <w:pPr>
        <w:numPr>
          <w:ilvl w:val="0"/>
          <w:numId w:val="1008"/>
        </w:numPr>
        <w:pStyle w:val="Compact"/>
      </w:pPr>
      <w:r>
        <w:t xml:space="preserve">element point i keyword … : create a triangular interface element by specifying 3 points. Three verticies must be specified by the following keyword. Each point can be created and located in space using the position keyword, or an existing interface node with ID i may be specified. The interface element that is created is not attached to a grid face even if the location corresponds to that of the face. the element is fixed in space. The active side of the element is defined by walking around the edge of the element, from point 1 to point 2 to point 3; the active side is up when walking in a clockwise direction.</w:t>
      </w:r>
    </w:p>
    <w:p>
      <w:pPr>
        <w:pStyle w:val="FirstParagraph"/>
      </w:pPr>
      <w:r>
        <w:t xml:space="preserve">For each point of the element, one of the following two keywords must be supplied: node i, position v.</w:t>
      </w:r>
    </w:p>
    <w:p>
      <w:pPr>
        <w:numPr>
          <w:ilvl w:val="0"/>
          <w:numId w:val="1009"/>
        </w:numPr>
        <w:pStyle w:val="Compact"/>
      </w:pPr>
      <w:r>
        <w:t xml:space="preserve">node v : this creates an interface node at position v. If a node already exists at the selected location, an error is reported. The created node is fixed in space.</w:t>
      </w:r>
    </w:p>
    <w:bookmarkEnd w:id="114"/>
    <w:bookmarkEnd w:id="115"/>
    <w:bookmarkEnd w:id="116"/>
    <w:bookmarkStart w:id="117" w:name="appendix-appendix"/>
    <w:p>
      <w:pPr>
        <w:pStyle w:val="Heading1"/>
      </w:pPr>
      <w:r>
        <w:t xml:space="preserve">(APPENDIX) Appendix</w:t>
      </w:r>
    </w:p>
    <w:bookmarkEnd w:id="117"/>
    <w:bookmarkStart w:id="126" w:name="template"/>
    <w:p>
      <w:pPr>
        <w:pStyle w:val="Heading1"/>
      </w:pPr>
      <w:r>
        <w:rPr>
          <w:rStyle w:val="SectionNumber"/>
        </w:rPr>
        <w:t xml:space="preserve">9</w:t>
      </w:r>
      <w:r>
        <w:tab/>
      </w:r>
      <w:r>
        <w:t xml:space="preserve">1. Template</w:t>
      </w:r>
    </w:p>
    <w:bookmarkStart w:id="118" w:name="problem-description-1"/>
    <w:p>
      <w:pPr>
        <w:pStyle w:val="Heading2"/>
      </w:pPr>
      <w:r>
        <w:rPr>
          <w:rStyle w:val="SectionNumber"/>
        </w:rPr>
        <w:t xml:space="preserve">9.1</w:t>
      </w:r>
      <w:r>
        <w:tab/>
      </w:r>
      <w:r>
        <w:t xml:space="preserve">Problem Description</w:t>
      </w:r>
    </w:p>
    <w:bookmarkEnd w:id="118"/>
    <w:bookmarkStart w:id="119" w:name="modeling-procedure-1"/>
    <w:p>
      <w:pPr>
        <w:pStyle w:val="Heading2"/>
      </w:pPr>
      <w:r>
        <w:rPr>
          <w:rStyle w:val="SectionNumber"/>
        </w:rPr>
        <w:t xml:space="preserve">9.2</w:t>
      </w:r>
      <w:r>
        <w:tab/>
      </w:r>
      <w:r>
        <w:t xml:space="preserve">Modeling Procedure</w:t>
      </w:r>
    </w:p>
    <w:bookmarkEnd w:id="119"/>
    <w:bookmarkStart w:id="120" w:name="zonesgroups"/>
    <w:p>
      <w:pPr>
        <w:pStyle w:val="Heading2"/>
      </w:pPr>
      <w:r>
        <w:rPr>
          <w:rStyle w:val="SectionNumber"/>
        </w:rPr>
        <w:t xml:space="preserve">9.3</w:t>
      </w:r>
      <w:r>
        <w:tab/>
      </w:r>
      <w:r>
        <w:t xml:space="preserve">Zones/Groups</w:t>
      </w:r>
    </w:p>
    <w:bookmarkEnd w:id="120"/>
    <w:bookmarkStart w:id="121" w:name="properties-3"/>
    <w:p>
      <w:pPr>
        <w:pStyle w:val="Heading2"/>
      </w:pPr>
      <w:r>
        <w:rPr>
          <w:rStyle w:val="SectionNumber"/>
        </w:rPr>
        <w:t xml:space="preserve">9.4</w:t>
      </w:r>
      <w:r>
        <w:tab/>
      </w:r>
      <w:r>
        <w:t xml:space="preserve">Properties</w:t>
      </w:r>
    </w:p>
    <w:bookmarkEnd w:id="121"/>
    <w:bookmarkStart w:id="122" w:name="b.c.-and-i.c.-1"/>
    <w:p>
      <w:pPr>
        <w:pStyle w:val="Heading2"/>
      </w:pPr>
      <w:r>
        <w:rPr>
          <w:rStyle w:val="SectionNumber"/>
        </w:rPr>
        <w:t xml:space="preserve">9.5</w:t>
      </w:r>
      <w:r>
        <w:tab/>
      </w:r>
      <w:r>
        <w:t xml:space="preserve">B.C. and I.C.</w:t>
      </w:r>
    </w:p>
    <w:bookmarkEnd w:id="122"/>
    <w:bookmarkStart w:id="123" w:name="initial-equilibrium-3"/>
    <w:p>
      <w:pPr>
        <w:pStyle w:val="Heading2"/>
      </w:pPr>
      <w:r>
        <w:rPr>
          <w:rStyle w:val="SectionNumber"/>
        </w:rPr>
        <w:t xml:space="preserve">9.6</w:t>
      </w:r>
      <w:r>
        <w:tab/>
      </w:r>
      <w:r>
        <w:t xml:space="preserve">Initial Equilibrium</w:t>
      </w:r>
    </w:p>
    <w:bookmarkEnd w:id="123"/>
    <w:bookmarkStart w:id="124" w:name="alterations-3"/>
    <w:p>
      <w:pPr>
        <w:pStyle w:val="Heading2"/>
      </w:pPr>
      <w:r>
        <w:rPr>
          <w:rStyle w:val="SectionNumber"/>
        </w:rPr>
        <w:t xml:space="preserve">9.7</w:t>
      </w:r>
      <w:r>
        <w:tab/>
      </w:r>
      <w:r>
        <w:t xml:space="preserve">Alterations</w:t>
      </w:r>
    </w:p>
    <w:bookmarkEnd w:id="124"/>
    <w:bookmarkStart w:id="125" w:name="results-2"/>
    <w:p>
      <w:pPr>
        <w:pStyle w:val="Heading2"/>
      </w:pPr>
      <w:r>
        <w:rPr>
          <w:rStyle w:val="SectionNumber"/>
        </w:rPr>
        <w:t xml:space="preserve">9.8</w:t>
      </w:r>
      <w:r>
        <w:tab/>
      </w:r>
      <w:r>
        <w:t xml:space="preserve">Results</w:t>
      </w:r>
    </w:p>
    <w:bookmarkEnd w:id="125"/>
    <w:bookmarkEnd w:id="126"/>
    <w:bookmarkStart w:id="135" w:name="reference-collective"/>
    <w:p>
      <w:pPr>
        <w:pStyle w:val="Heading1"/>
      </w:pPr>
      <w:r>
        <w:rPr>
          <w:rStyle w:val="SectionNumber"/>
        </w:rPr>
        <w:t xml:space="preserve">10</w:t>
      </w:r>
      <w:r>
        <w:tab/>
      </w:r>
      <w:r>
        <w:t xml:space="preserve">Reference Collective</w:t>
      </w:r>
    </w:p>
    <w:bookmarkStart w:id="129" w:name="uplift-resistance-of-anchor-plate"/>
    <w:p>
      <w:pPr>
        <w:pStyle w:val="Heading3"/>
      </w:pPr>
      <w:r>
        <w:rPr>
          <w:rStyle w:val="SectionNumber"/>
        </w:rPr>
        <w:t xml:space="preserve">10.0.1</w:t>
      </w:r>
      <w:r>
        <w:tab/>
      </w:r>
      <w:r>
        <w:t xml:space="preserve">Uplift Resistance of Anchor Plate</w:t>
      </w:r>
    </w:p>
    <w:bookmarkStart w:id="127" w:name="before-1968"/>
    <w:p>
      <w:pPr>
        <w:pStyle w:val="Heading4"/>
      </w:pPr>
      <w:r>
        <w:rPr>
          <w:rStyle w:val="SectionNumber"/>
        </w:rPr>
        <w:t xml:space="preserve">10.0.1.1</w:t>
      </w:r>
      <w:r>
        <w:tab/>
      </w:r>
      <w:r>
        <w:t xml:space="preserve">Before 1968</w:t>
      </w:r>
    </w:p>
    <w:p>
      <w:pPr>
        <w:numPr>
          <w:ilvl w:val="0"/>
          <w:numId w:val="1010"/>
        </w:numPr>
        <w:pStyle w:val="Compact"/>
      </w:pPr>
      <w:r>
        <w:t xml:space="preserve">Coulomb</w:t>
      </w:r>
    </w:p>
    <w:p>
      <w:pPr>
        <w:numPr>
          <w:ilvl w:val="0"/>
          <w:numId w:val="1010"/>
        </w:numPr>
        <w:pStyle w:val="Compact"/>
      </w:pPr>
      <w:r>
        <w:t xml:space="preserve">Mohr</w:t>
      </w:r>
    </w:p>
    <w:p>
      <w:pPr>
        <w:numPr>
          <w:ilvl w:val="0"/>
          <w:numId w:val="1010"/>
        </w:numPr>
        <w:pStyle w:val="Compact"/>
      </w:pPr>
      <w:r>
        <w:t xml:space="preserve">Kotter’s equation</w:t>
      </w:r>
    </w:p>
    <w:p>
      <w:pPr>
        <w:numPr>
          <w:ilvl w:val="0"/>
          <w:numId w:val="1010"/>
        </w:numPr>
        <w:pStyle w:val="Compact"/>
      </w:pPr>
      <w:r>
        <w:t xml:space="preserve">Balla (1961)</w:t>
      </w:r>
    </w:p>
    <w:p>
      <w:pPr>
        <w:numPr>
          <w:ilvl w:val="0"/>
          <w:numId w:val="1010"/>
        </w:numPr>
        <w:pStyle w:val="Compact"/>
      </w:pPr>
      <w:r>
        <w:t xml:space="preserve">Mors</w:t>
      </w:r>
    </w:p>
    <w:p>
      <w:pPr>
        <w:numPr>
          <w:ilvl w:val="0"/>
          <w:numId w:val="1010"/>
        </w:numPr>
        <w:pStyle w:val="Compact"/>
      </w:pPr>
      <w:r>
        <w:t xml:space="preserve">Matsuo</w:t>
      </w:r>
    </w:p>
    <w:bookmarkEnd w:id="127"/>
    <w:bookmarkStart w:id="128" w:name="post-1968"/>
    <w:p>
      <w:pPr>
        <w:pStyle w:val="Heading4"/>
      </w:pPr>
      <w:r>
        <w:rPr>
          <w:rStyle w:val="SectionNumber"/>
        </w:rPr>
        <w:t xml:space="preserve">10.0.1.2</w:t>
      </w:r>
      <w:r>
        <w:tab/>
      </w:r>
      <w:r>
        <w:t xml:space="preserve">Post-1968</w:t>
      </w:r>
    </w:p>
    <w:p>
      <w:pPr>
        <w:numPr>
          <w:ilvl w:val="0"/>
          <w:numId w:val="1011"/>
        </w:numPr>
        <w:pStyle w:val="Compact"/>
      </w:pPr>
      <w:r>
        <w:t xml:space="preserve">Meyerhof, G.G., and Adams, J.I. 1968</w:t>
      </w:r>
    </w:p>
    <w:p>
      <w:pPr>
        <w:numPr>
          <w:ilvl w:val="0"/>
          <w:numId w:val="1011"/>
        </w:numPr>
        <w:pStyle w:val="Compact"/>
      </w:pPr>
      <w:r>
        <w:t xml:space="preserve">Meyerhof, G.G. 1973</w:t>
      </w:r>
    </w:p>
    <w:p>
      <w:pPr>
        <w:numPr>
          <w:ilvl w:val="0"/>
          <w:numId w:val="1011"/>
        </w:numPr>
        <w:pStyle w:val="Compact"/>
      </w:pPr>
      <w:r>
        <w:t xml:space="preserve">Das, B.M., and Seeley, G.R. 1975</w:t>
      </w:r>
    </w:p>
    <w:p>
      <w:pPr>
        <w:numPr>
          <w:ilvl w:val="0"/>
          <w:numId w:val="1011"/>
        </w:numPr>
        <w:pStyle w:val="Compact"/>
      </w:pPr>
      <w:r>
        <w:t xml:space="preserve">Rowe, R.K., and Davis, H. 1982</w:t>
      </w:r>
    </w:p>
    <w:p>
      <w:pPr>
        <w:numPr>
          <w:ilvl w:val="0"/>
          <w:numId w:val="1011"/>
        </w:numPr>
        <w:pStyle w:val="Compact"/>
      </w:pPr>
      <w:r>
        <w:t xml:space="preserve">Dickin, E.A., and Leung, C.F. 1983</w:t>
      </w:r>
    </w:p>
    <w:p>
      <w:pPr>
        <w:numPr>
          <w:ilvl w:val="0"/>
          <w:numId w:val="1011"/>
        </w:numPr>
        <w:pStyle w:val="Compact"/>
      </w:pPr>
      <w:r>
        <w:t xml:space="preserve">Murray, E.J., and Geddes, J.D. 1987</w:t>
      </w:r>
    </w:p>
    <w:p>
      <w:pPr>
        <w:numPr>
          <w:ilvl w:val="0"/>
          <w:numId w:val="1011"/>
        </w:numPr>
        <w:pStyle w:val="Compact"/>
      </w:pPr>
      <w:r>
        <w:t xml:space="preserve">Dickin, E.A. 1988</w:t>
      </w:r>
    </w:p>
    <w:p>
      <w:pPr>
        <w:numPr>
          <w:ilvl w:val="0"/>
          <w:numId w:val="1011"/>
        </w:numPr>
        <w:pStyle w:val="Compact"/>
      </w:pPr>
      <w:r>
        <w:t xml:space="preserve">Koutsabeloulis, N.C., and Griffiths, D.V. 1989</w:t>
      </w:r>
      <w:r>
        <w:t xml:space="preserve"> </w:t>
      </w:r>
      <w:r>
        <w:t xml:space="preserve">#### Post-2000</w:t>
      </w:r>
    </w:p>
    <w:p>
      <w:pPr>
        <w:numPr>
          <w:ilvl w:val="0"/>
          <w:numId w:val="1011"/>
        </w:numPr>
        <w:pStyle w:val="Compact"/>
      </w:pPr>
      <w:r>
        <w:t xml:space="preserve">Merifield, R.S., and Sloan, S.W. 2006</w:t>
      </w:r>
    </w:p>
    <w:bookmarkEnd w:id="128"/>
    <w:bookmarkEnd w:id="129"/>
    <w:bookmarkStart w:id="130" w:name="numerical-analysis"/>
    <w:p>
      <w:pPr>
        <w:pStyle w:val="Heading3"/>
      </w:pPr>
      <w:r>
        <w:rPr>
          <w:rStyle w:val="SectionNumber"/>
        </w:rPr>
        <w:t xml:space="preserve">10.0.2</w:t>
      </w:r>
      <w:r>
        <w:tab/>
      </w:r>
      <w:r>
        <w:t xml:space="preserve">Numerical Analysis</w:t>
      </w:r>
    </w:p>
    <w:bookmarkEnd w:id="130"/>
    <w:bookmarkStart w:id="131" w:name="standards"/>
    <w:p>
      <w:pPr>
        <w:pStyle w:val="Heading3"/>
      </w:pPr>
      <w:r>
        <w:rPr>
          <w:rStyle w:val="SectionNumber"/>
        </w:rPr>
        <w:t xml:space="preserve">10.0.3</w:t>
      </w:r>
      <w:r>
        <w:tab/>
      </w:r>
      <w:r>
        <w:t xml:space="preserve">Standards</w:t>
      </w:r>
    </w:p>
    <w:p>
      <w:pPr>
        <w:numPr>
          <w:ilvl w:val="0"/>
          <w:numId w:val="1012"/>
        </w:numPr>
        <w:pStyle w:val="Compact"/>
      </w:pPr>
      <w:r>
        <w:t xml:space="preserve">IEEE 2001</w:t>
      </w:r>
    </w:p>
    <w:p>
      <w:pPr>
        <w:numPr>
          <w:ilvl w:val="0"/>
          <w:numId w:val="1012"/>
        </w:numPr>
        <w:pStyle w:val="Compact"/>
      </w:pPr>
      <w:r>
        <w:t xml:space="preserve">DS 1110, DS 1111</w:t>
      </w:r>
    </w:p>
    <w:bookmarkEnd w:id="131"/>
    <w:bookmarkStart w:id="132" w:name="textbook"/>
    <w:p>
      <w:pPr>
        <w:pStyle w:val="Heading3"/>
      </w:pPr>
      <w:r>
        <w:rPr>
          <w:rStyle w:val="SectionNumber"/>
        </w:rPr>
        <w:t xml:space="preserve">10.0.4</w:t>
      </w:r>
      <w:r>
        <w:tab/>
      </w:r>
      <w:r>
        <w:t xml:space="preserve">Textbook</w:t>
      </w:r>
    </w:p>
    <w:p>
      <w:pPr>
        <w:numPr>
          <w:ilvl w:val="0"/>
          <w:numId w:val="1013"/>
        </w:numPr>
        <w:pStyle w:val="Compact"/>
      </w:pPr>
      <w:r>
        <w:t xml:space="preserve">Das, B. M. 2013. Earth Anchors</w:t>
      </w:r>
    </w:p>
    <w:bookmarkEnd w:id="132"/>
    <w:bookmarkStart w:id="133" w:name="ph.d-thesis"/>
    <w:p>
      <w:pPr>
        <w:pStyle w:val="Heading3"/>
      </w:pPr>
      <w:r>
        <w:rPr>
          <w:rStyle w:val="SectionNumber"/>
        </w:rPr>
        <w:t xml:space="preserve">10.0.5</w:t>
      </w:r>
      <w:r>
        <w:tab/>
      </w:r>
      <w:r>
        <w:t xml:space="preserve">Ph.D Thesis</w:t>
      </w:r>
    </w:p>
    <w:bookmarkEnd w:id="133"/>
    <w:bookmarkStart w:id="134" w:name="award-lecture"/>
    <w:p>
      <w:pPr>
        <w:pStyle w:val="Heading3"/>
      </w:pPr>
      <w:r>
        <w:rPr>
          <w:rStyle w:val="SectionNumber"/>
        </w:rPr>
        <w:t xml:space="preserve">10.0.6</w:t>
      </w:r>
      <w:r>
        <w:tab/>
      </w:r>
      <w:r>
        <w:t xml:space="preserve">Award Lecture</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92" Target="media/rId9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02" Target="media/rId102.png" /><Relationship Type="http://schemas.openxmlformats.org/officeDocument/2006/relationships/image" Id="rId105" Target="media/rId10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2021-09-17T13:05:10Z</dcterms:created>
  <dcterms:modified xsi:type="dcterms:W3CDTF">2021-09-17T13:05:10Z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