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0.png" ContentType="image/png"/>
  <Override PartName="/word/media/rId118.png" ContentType="image/png"/>
  <Override PartName="/word/media/rId69.png" ContentType="image/png"/>
  <Override PartName="/word/media/rId134.png" ContentType="image/png"/>
  <Override PartName="/word/media/rId22.png" ContentType="image/png"/>
  <Override PartName="/word/media/rId45.png" ContentType="image/png"/>
  <Override PartName="/word/media/rId57.png" ContentType="image/png"/>
  <Override PartName="/word/media/rId37.png" ContentType="image/png"/>
  <Override PartName="/word/media/rId33.png" ContentType="image/png"/>
  <Override PartName="/word/media/rId34.png" ContentType="image/png"/>
  <Override PartName="/word/media/rId114.png" ContentType="image/png"/>
  <Override PartName="/word/media/rId61.png" ContentType="image/png"/>
  <Override PartName="/word/media/rId102.png" ContentType="image/png"/>
  <Override PartName="/word/media/rId23.png" ContentType="image/png"/>
  <Override PartName="/word/media/rId41.png" ContentType="image/png"/>
  <Override PartName="/word/media/rId42.png" ContentType="image/png"/>
  <Override PartName="/word/media/rId27.png" ContentType="image/png"/>
  <Override PartName="/word/media/rId119.png" ContentType="image/png"/>
  <Override PartName="/word/media/rId117.png" ContentType="image/png"/>
  <Override PartName="/word/media/rId1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44"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4179024"/>
            <wp:effectExtent b="0" l="0" r="0" t="0"/>
            <wp:docPr descr="" title="" id="1" name="Picture"/>
            <a:graphic>
              <a:graphicData uri="http://schemas.openxmlformats.org/drawingml/2006/picture">
                <pic:pic>
                  <pic:nvPicPr>
                    <pic:cNvPr descr="myfigureeeeee/boundary.png" id="0" name="Picture"/>
                    <pic:cNvPicPr>
                      <a:picLocks noChangeArrowheads="1" noChangeAspect="1"/>
                    </pic:cNvPicPr>
                  </pic:nvPicPr>
                  <pic:blipFill>
                    <a:blip r:embed="rId20"/>
                    <a:stretch>
                      <a:fillRect/>
                    </a:stretch>
                  </pic:blipFill>
                  <pic:spPr bwMode="auto">
                    <a:xfrm>
                      <a:off x="0" y="0"/>
                      <a:ext cx="5334000" cy="4179024"/>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rPr>
          <w:rStyle w:val="NormalTok"/>
        </w:rPr>
        <w:t xml:space="preserve">_friction </w:t>
      </w:r>
      <w:r>
        <w:rPr>
          <w:rStyle w:val="OperatorTok"/>
        </w:rPr>
        <w:t xml:space="preserve">=</w:t>
      </w:r>
      <w:r>
        <w:rPr>
          <w:rStyle w:val="NormalTok"/>
        </w:rPr>
        <w:t xml:space="preserve"> </w:t>
      </w:r>
      <w:r>
        <w:rPr>
          <w:rStyle w:val="DecValTok"/>
        </w:rPr>
        <w:t xml:space="preserve">35</w:t>
      </w:r>
      <w:r>
        <w:br/>
      </w:r>
      <w:r>
        <w:rPr>
          <w:rStyle w:val="NormalTok"/>
        </w:rPr>
        <w:t xml:space="preserve">_cohesion </w:t>
      </w:r>
      <w:r>
        <w:rPr>
          <w:rStyle w:val="OperatorTok"/>
        </w:rPr>
        <w:t xml:space="preserve">=</w:t>
      </w:r>
      <w:r>
        <w:rPr>
          <w:rStyle w:val="NormalTok"/>
        </w:rPr>
        <w:t xml:space="preserve"> </w:t>
      </w:r>
      <w:r>
        <w:rPr>
          <w:rStyle w:val="DecValTok"/>
        </w:rPr>
        <w:t xml:space="preserve">100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p>
    <w:bookmarkEnd w:id="21"/>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3"/>
                    <a:stretch>
                      <a:fillRect/>
                    </a:stretch>
                  </pic:blipFill>
                  <pic:spPr bwMode="auto">
                    <a:xfrm>
                      <a:off x="0" y="0"/>
                      <a:ext cx="5334000" cy="3957968"/>
                    </a:xfrm>
                    <a:prstGeom prst="rect">
                      <a:avLst/>
                    </a:prstGeom>
                    <a:noFill/>
                    <a:ln w="9525">
                      <a:noFill/>
                      <a:headEnd/>
                      <a:tailEnd/>
                    </a:ln>
                  </pic:spPr>
                </pic:pic>
              </a:graphicData>
            </a:graphic>
          </wp:inline>
        </w:drawing>
      </w:r>
    </w:p>
    <w:bookmarkEnd w:id="24"/>
    <w:bookmarkStart w:id="32"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bookmarkStart w:id="31" w:name="elastic-isotropic-model"/>
    <w:p>
      <w:pPr>
        <w:pStyle w:val="Heading3"/>
      </w:pPr>
      <w:r>
        <w:rPr>
          <w:rStyle w:val="SectionNumber"/>
        </w:rPr>
        <w:t xml:space="preserve">1.3.1</w:t>
      </w:r>
      <w:r>
        <w:tab/>
      </w:r>
      <w:r>
        <w:t xml:space="preserve">Elastic (Isotropic) model</w:t>
      </w:r>
    </w:p>
    <w:bookmarkStart w:id="28" w:name="hookes-law"/>
    <w:p>
      <w:pPr>
        <w:pStyle w:val="Heading4"/>
      </w:pPr>
      <w:r>
        <w:rPr>
          <w:rStyle w:val="SectionNumber"/>
        </w:rPr>
        <w:t xml:space="preserve">1.3.1.1</w:t>
      </w:r>
      <w:r>
        <w:tab/>
      </w:r>
      <w:r>
        <w:t xml:space="preserve">Hooke’s Law</w:t>
      </w:r>
    </w:p>
    <w:p>
      <w:pPr>
        <w:pStyle w:val="FirstParagraph"/>
      </w:pPr>
      <m:oMathPara>
        <m:oMathParaPr>
          <m:jc m:val="center"/>
        </m:oMathParaPr>
        <m:oMath>
          <m:r>
            <m:t>Δ</m:t>
          </m:r>
          <m:sSub>
            <m:e>
              <m:r>
                <m:t>σ</m:t>
              </m:r>
            </m:e>
            <m:sub>
              <m:r>
                <m:t>i</m:t>
              </m:r>
              <m:r>
                <m:t>j</m:t>
              </m:r>
            </m:sub>
          </m:sSub>
          <m:r>
            <m:rPr>
              <m:sty m:val="p"/>
            </m:rPr>
            <m:t>=</m:t>
          </m:r>
          <m:r>
            <m:t>2</m:t>
          </m:r>
          <m:r>
            <m:t>G</m:t>
          </m:r>
          <m:r>
            <m:t>Δ</m:t>
          </m:r>
          <m:sSub>
            <m:e>
              <m:r>
                <m:t>ϵ</m:t>
              </m:r>
            </m:e>
            <m:sub>
              <m:r>
                <m:t>i</m:t>
              </m:r>
              <m:r>
                <m:t>j</m:t>
              </m:r>
            </m:sub>
          </m:sSub>
          <m:r>
            <m:rPr>
              <m:sty m:val="p"/>
            </m:rPr>
            <m:t>+</m:t>
          </m:r>
          <m:sSub>
            <m:e>
              <m:r>
                <m:t>α</m:t>
              </m:r>
            </m:e>
            <m:sub>
              <m:r>
                <m:t>2</m:t>
              </m:r>
            </m:sub>
          </m:sSub>
          <m:r>
            <m:t>Δ</m:t>
          </m:r>
          <m:sSub>
            <m:e>
              <m:r>
                <m:t>ϵ</m:t>
              </m:r>
            </m:e>
            <m:sub>
              <m:r>
                <m:t>k</m:t>
              </m:r>
              <m:r>
                <m:t>k</m:t>
              </m:r>
            </m:sub>
          </m:sSub>
          <m:sSub>
            <m:e>
              <m:r>
                <m:t>δ</m:t>
              </m:r>
            </m:e>
            <m:sub>
              <m:r>
                <m:t>i</m:t>
              </m:r>
              <m:r>
                <m:t>j</m:t>
              </m:r>
            </m:sub>
          </m:sSub>
        </m:oMath>
      </m:oMathPara>
    </w:p>
    <w:p>
      <w:pPr>
        <w:pStyle w:val="FirstParagraph"/>
      </w:pPr>
      <w:r>
        <w:t xml:space="preserve">, where</w:t>
      </w:r>
      <w:r>
        <w:t xml:space="preserve"> </w:t>
      </w:r>
      <m:oMath>
        <m:sSub>
          <m:e>
            <m:r>
              <m:t>α</m:t>
            </m:r>
          </m:e>
          <m:sub>
            <m:r>
              <m:t>2</m:t>
            </m:r>
          </m:sub>
        </m:sSub>
      </m:oMath>
      <w:r>
        <w:t xml:space="preserve"> </w:t>
      </w:r>
      <w:r>
        <w:t xml:space="preserve">is material constant related to the bulk modulus</w:t>
      </w:r>
      <w:r>
        <w:t xml:space="preserve"> </w:t>
      </w:r>
      <m:oMath>
        <m:r>
          <m:t>K</m:t>
        </m:r>
      </m:oMath>
      <w:r>
        <w:t xml:space="preserve">, and shear modulus</w:t>
      </w:r>
      <w:r>
        <w:t xml:space="preserve"> </w:t>
      </w:r>
      <m:oMath>
        <m:r>
          <m:t>G</m:t>
        </m:r>
      </m:oMath>
      <w:r>
        <w:t xml:space="preserve"> </w:t>
      </w:r>
      <w:r>
        <w:t xml:space="preserve">as</w:t>
      </w:r>
    </w:p>
    <w:p>
      <w:pPr>
        <w:pStyle w:val="BodyText"/>
      </w:pPr>
      <m:oMathPara>
        <m:oMathParaPr>
          <m:jc m:val="center"/>
        </m:oMathParaPr>
        <m:oMath>
          <m:sSub>
            <m:e>
              <m:r>
                <m:t>α</m:t>
              </m:r>
            </m:e>
            <m:sub>
              <m:r>
                <m:t>2</m:t>
              </m:r>
            </m:sub>
          </m:sSub>
          <m:r>
            <m:rPr>
              <m:sty m:val="p"/>
            </m:rPr>
            <m:t>=</m:t>
          </m:r>
          <m:r>
            <m:t>K</m:t>
          </m:r>
          <m:r>
            <m:rPr>
              <m:sty m:val="p"/>
            </m:rPr>
            <m:t>−</m:t>
          </m:r>
          <m:f>
            <m:fPr>
              <m:type m:val="bar"/>
            </m:fPr>
            <m:num>
              <m:r>
                <m:t>2</m:t>
              </m:r>
            </m:num>
            <m:den>
              <m:r>
                <m:t>3</m:t>
              </m:r>
            </m:den>
          </m:f>
          <m:r>
            <m:t>G</m:t>
          </m:r>
        </m:oMath>
      </m:oMathPara>
    </w:p>
    <w:p>
      <w:pPr>
        <w:pStyle w:val="FirstParagraph"/>
      </w:pPr>
      <w:r>
        <w:t xml:space="preserve">, and new stress values are obtained from the relation</w:t>
      </w:r>
    </w:p>
    <w:p>
      <w:pPr>
        <w:pStyle w:val="BodyText"/>
      </w:pPr>
      <m:oMathPara>
        <m:oMathParaPr>
          <m:jc m:val="center"/>
        </m:oMathParaPr>
        <m:oMath>
          <m:sSubSup>
            <m:e>
              <m:r>
                <m:t>σ</m:t>
              </m:r>
            </m:e>
            <m:sub>
              <m:r>
                <m:t>i</m:t>
              </m:r>
              <m:r>
                <m:t>j</m:t>
              </m:r>
            </m:sub>
            <m:sup>
              <m:r>
                <m:t>N</m:t>
              </m:r>
            </m:sup>
          </m:sSubSup>
          <m:r>
            <m:rPr>
              <m:sty m:val="p"/>
            </m:rPr>
            <m:t>=</m:t>
          </m:r>
          <m:sSub>
            <m:e>
              <m:r>
                <m:t>σ</m:t>
              </m:r>
            </m:e>
            <m:sub>
              <m:r>
                <m:t>i</m:t>
              </m:r>
              <m:r>
                <m:t>j</m:t>
              </m:r>
            </m:sub>
          </m:sSub>
          <m:r>
            <m:rPr>
              <m:sty m:val="p"/>
            </m:rPr>
            <m:t>+</m:t>
          </m:r>
          <m:r>
            <m:t>Δ</m:t>
          </m:r>
          <m:sSub>
            <m:e>
              <m:r>
                <m:t>σ</m:t>
              </m:r>
            </m:e>
            <m:sub>
              <m:r>
                <m:t>i</m:t>
              </m:r>
              <m:r>
                <m:t>j</m:t>
              </m:r>
            </m:sub>
          </m:sSub>
        </m:oMath>
      </m:oMathPara>
    </w:p>
    <w:p>
      <w:pPr>
        <w:pStyle w:val="FirstParagraph"/>
      </w:pPr>
      <w:r>
        <w:t xml:space="preserve">- Note that bulk modulus</w:t>
      </w:r>
      <w:r>
        <w:t xml:space="preserve"> </w:t>
      </w:r>
      <m:oMath>
        <m:r>
          <m:t>K</m:t>
        </m:r>
      </m:oMath>
      <w:r>
        <w:t xml:space="preserve">, and shear modulus</w:t>
      </w:r>
      <w:r>
        <w:t xml:space="preserve"> </w:t>
      </w:r>
      <m:oMath>
        <m:r>
          <m:t>G</m:t>
        </m:r>
      </m:oMath>
      <w:r>
        <w:t xml:space="preserve">, are related to Young’s modulus</w:t>
      </w:r>
      <w:r>
        <w:t xml:space="preserve"> </w:t>
      </w:r>
      <m:oMath>
        <m:r>
          <m:t>E</m:t>
        </m:r>
      </m:oMath>
      <w:r>
        <w:t xml:space="preserve"> </w:t>
      </w:r>
      <w:r>
        <w:t xml:space="preserve">and Poisson’s ratio</w:t>
      </w:r>
      <w:r>
        <w:t xml:space="preserve"> </w:t>
      </w:r>
      <m:oMath>
        <m:r>
          <m:t>ν</m:t>
        </m:r>
      </m:oMath>
      <w:r>
        <w:t xml:space="preserve"> </w:t>
      </w:r>
      <w:r>
        <w:t xml:space="preserve">by the following equations:</w:t>
      </w:r>
    </w:p>
    <w:p>
      <w:pPr>
        <w:pStyle w:val="BodyText"/>
      </w:pPr>
      <m:oMathPara>
        <m:oMathParaPr>
          <m:jc m:val="center"/>
        </m:oMathParaPr>
        <m:oMath>
          <m:r>
            <m:t>K</m:t>
          </m:r>
          <m:r>
            <m:rPr>
              <m:sty m:val="p"/>
            </m:rPr>
            <m:t>=</m:t>
          </m:r>
          <m:f>
            <m:fPr>
              <m:type m:val="bar"/>
            </m:fPr>
            <m:num>
              <m:r>
                <m:t>E</m:t>
              </m:r>
            </m:num>
            <m:den>
              <m:r>
                <m:t>3</m:t>
              </m:r>
              <m:r>
                <m:rPr>
                  <m:sty m:val="p"/>
                </m:rPr>
                <m:t>(</m:t>
              </m:r>
              <m:r>
                <m:t>1</m:t>
              </m:r>
              <m:r>
                <m:rPr>
                  <m:sty m:val="p"/>
                </m:rPr>
                <m:t>−</m:t>
              </m:r>
              <m:r>
                <m:t>2</m:t>
              </m:r>
              <m:r>
                <m:t>ν</m:t>
              </m:r>
              <m:r>
                <m:rPr>
                  <m:sty m:val="p"/>
                </m:rPr>
                <m:t>)</m:t>
              </m:r>
            </m:den>
          </m:f>
        </m:oMath>
      </m:oMathPara>
    </w:p>
    <w:p>
      <w:pPr>
        <w:pStyle w:val="FirstParagraph"/>
      </w:pPr>
      <m:oMathPara>
        <m:oMathParaPr>
          <m:jc m:val="center"/>
        </m:oMathParaPr>
        <m:oMath>
          <m:r>
            <m:t>G</m:t>
          </m:r>
          <m:r>
            <m:rPr>
              <m:sty m:val="p"/>
            </m:rPr>
            <m:t>=</m:t>
          </m:r>
          <m:f>
            <m:fPr>
              <m:type m:val="bar"/>
            </m:fPr>
            <m:num>
              <m:r>
                <m:t>E</m:t>
              </m:r>
            </m:num>
            <m:den>
              <m:r>
                <m:t>2</m:t>
              </m:r>
              <m:r>
                <m:rPr>
                  <m:sty m:val="p"/>
                </m:rPr>
                <m:t>(</m:t>
              </m:r>
              <m:r>
                <m:t>1</m:t>
              </m:r>
              <m:r>
                <m:rPr>
                  <m:sty m:val="p"/>
                </m:rPr>
                <m:t>+</m:t>
              </m:r>
              <m:r>
                <m:t>ν</m:t>
              </m:r>
              <m:r>
                <m:rPr>
                  <m:sty m:val="p"/>
                </m:rPr>
                <m:t>)</m:t>
              </m:r>
            </m:den>
          </m:f>
        </m:oMath>
      </m:oMathPara>
    </w:p>
    <w:p>
      <w:pPr>
        <w:pStyle w:val="FirstParagraph"/>
      </w:pPr>
      <w:r>
        <w:t xml:space="preserve">or</w:t>
      </w:r>
    </w:p>
    <w:p>
      <w:pPr>
        <w:pStyle w:val="BodyText"/>
      </w:pPr>
      <m:oMathPara>
        <m:oMathParaPr>
          <m:jc m:val="center"/>
        </m:oMathParaPr>
        <m:oMath>
          <m:r>
            <m:t>E</m:t>
          </m:r>
          <m:r>
            <m:rPr>
              <m:sty m:val="p"/>
            </m:rPr>
            <m:t>=</m:t>
          </m:r>
          <m:f>
            <m:fPr>
              <m:type m:val="bar"/>
            </m:fPr>
            <m:num>
              <m:r>
                <m:t>9</m:t>
              </m:r>
              <m:r>
                <m:t>K</m:t>
              </m:r>
              <m:r>
                <m:t>G</m:t>
              </m:r>
            </m:num>
            <m:den>
              <m:r>
                <m:t>3</m:t>
              </m:r>
              <m:r>
                <m:t>K</m:t>
              </m:r>
              <m:r>
                <m:rPr>
                  <m:sty m:val="p"/>
                </m:rPr>
                <m:t>+</m:t>
              </m:r>
              <m:r>
                <m:t>G</m:t>
              </m:r>
            </m:den>
          </m:f>
        </m:oMath>
      </m:oMathPara>
    </w:p>
    <w:p>
      <w:pPr>
        <w:pStyle w:val="FirstParagraph"/>
      </w:pPr>
      <m:oMathPara>
        <m:oMathParaPr>
          <m:jc m:val="center"/>
        </m:oMathParaPr>
        <m:oMath>
          <m:r>
            <m:t>ν</m:t>
          </m:r>
          <m:r>
            <m:rPr>
              <m:sty m:val="p"/>
            </m:rPr>
            <m:t>=</m:t>
          </m:r>
          <m:f>
            <m:fPr>
              <m:type m:val="bar"/>
            </m:fPr>
            <m:num>
              <m:r>
                <m:t>3</m:t>
              </m:r>
              <m:r>
                <m:t>K</m:t>
              </m:r>
              <m:r>
                <m:rPr>
                  <m:sty m:val="p"/>
                </m:rPr>
                <m:t>−</m:t>
              </m:r>
              <m:r>
                <m:t>2</m:t>
              </m:r>
              <m:r>
                <m:t>G</m:t>
              </m:r>
            </m:num>
            <m:den>
              <m:r>
                <m:t>2</m:t>
              </m:r>
              <m:r>
                <m:rPr>
                  <m:sty m:val="p"/>
                </m:rPr>
                <m:t>(</m:t>
              </m:r>
              <m:r>
                <m:t>3</m:t>
              </m:r>
              <m:r>
                <m:t>K</m:t>
              </m:r>
              <m:r>
                <m:rPr>
                  <m:sty m:val="p"/>
                </m:rPr>
                <m:t>+</m:t>
              </m:r>
              <m:r>
                <m:t>G</m:t>
              </m:r>
              <m:r>
                <m:rPr>
                  <m:sty m:val="p"/>
                </m:rPr>
                <m:t>)</m:t>
              </m:r>
            </m:den>
          </m:f>
        </m:oMath>
      </m:oMathPara>
    </w:p>
    <w:p>
      <w:pPr>
        <w:pStyle w:val="FirstParagraph"/>
      </w:pPr>
      <w:r>
        <w:t xml:space="preserve">#### Strain-softening Model</w:t>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p>
      <w:pPr>
        <w:pStyle w:val="FirstParagraph"/>
      </w:pPr>
      <w:r>
        <w:t xml:space="preserve">The strain-softening/hardening model allows representation of nonlinear material softening and hardening behavior based on prescribed variations of the Mohr-Coulomb model properties (i.e., cohesion, friction, dilation and tensile strength) as functions of the deviatoric plastic strain.</w:t>
      </w:r>
    </w:p>
    <w:bookmarkEnd w:id="28"/>
    <w:bookmarkStart w:id="29" w:name="plastic-strain-increments"/>
    <w:p>
      <w:pPr>
        <w:pStyle w:val="Heading4"/>
      </w:pPr>
      <w:r>
        <w:rPr>
          <w:rStyle w:val="SectionNumber"/>
        </w:rPr>
        <w:t xml:space="preserve">1.3.1.2</w:t>
      </w:r>
      <w:r>
        <w:tab/>
      </w:r>
      <w:r>
        <w:t xml:space="preserve">Plastic-Strain Increments</w:t>
      </w:r>
    </w:p>
    <w:p>
      <w:pPr>
        <w:pStyle w:val="FirstParagraph"/>
      </w:pPr>
      <w:r>
        <w:t xml:space="preserve">The plastic-strain increments involved in the preceding formula may be derived from the definition</w:t>
      </w:r>
      <w:r>
        <w:t xml:space="preserve"> </w:t>
      </w:r>
      <m:oMath>
        <m:r>
          <m:t>Δ</m:t>
        </m:r>
        <m:sSubSup>
          <m:e>
            <m:r>
              <m:t>ϵ</m:t>
            </m:r>
          </m:e>
          <m:sub>
            <m:r>
              <m:t>i</m:t>
            </m:r>
          </m:sub>
          <m:sup>
            <m:r>
              <m:t>p</m:t>
            </m:r>
          </m:sup>
        </m:sSubSup>
        <m:r>
          <m:rPr>
            <m:sty m:val="p"/>
          </m:rPr>
          <m:t>=</m:t>
        </m:r>
        <m:r>
          <m:t>λ</m:t>
        </m:r>
        <m:f>
          <m:fPr>
            <m:type m:val="bar"/>
          </m:fPr>
          <m:num>
            <m:r>
              <m:rPr>
                <m:sty m:val="p"/>
              </m:rPr>
              <m:t>∂</m:t>
            </m:r>
            <m:r>
              <m:t>g</m:t>
            </m:r>
          </m:num>
          <m:den>
            <m:r>
              <m:rPr>
                <m:sty m:val="p"/>
              </m:rPr>
              <m:t>∂</m:t>
            </m:r>
            <m:sSub>
              <m:e>
                <m:r>
                  <m:t>σ</m:t>
                </m:r>
              </m:e>
              <m:sub>
                <m:r>
                  <m:t>i</m:t>
                </m:r>
              </m:sub>
            </m:sSub>
          </m:den>
        </m:f>
      </m:oMath>
      <w:r>
        <w:t xml:space="preserve"> </w:t>
      </w:r>
      <w:r>
        <w:t xml:space="preserve">of the flow rule. It has the form:</w:t>
      </w:r>
    </w:p>
    <w:p>
      <w:pPr>
        <w:pStyle w:val="BodyText"/>
      </w:pPr>
      <m:oMathPara>
        <m:oMathParaPr>
          <m:jc m:val="center"/>
        </m:oMathParaPr>
        <m:oMath>
          <m:r>
            <m:t>Δ</m:t>
          </m:r>
          <m:sSubSup>
            <m:e>
              <m:r>
                <m:t>ϵ</m:t>
              </m:r>
            </m:e>
            <m:sub>
              <m:r>
                <m:t>1</m:t>
              </m:r>
            </m:sub>
            <m:sup>
              <m:r>
                <m:t>p</m:t>
              </m:r>
              <m:r>
                <m:t>s</m:t>
              </m:r>
            </m:sup>
          </m:sSubSup>
          <m:r>
            <m:rPr>
              <m:sty m:val="p"/>
            </m:rPr>
            <m:t>=</m:t>
          </m:r>
          <m:sSup>
            <m:e>
              <m:r>
                <m:t>λ</m:t>
              </m:r>
            </m:e>
            <m:sup>
              <m:r>
                <m:t>s</m:t>
              </m:r>
            </m:sup>
          </m:sSup>
        </m:oMath>
      </m:oMathPara>
    </w:p>
    <w:p>
      <w:pPr>
        <w:pStyle w:val="FirstParagraph"/>
      </w:pPr>
      <m:oMathPara>
        <m:oMathParaPr>
          <m:jc m:val="center"/>
        </m:oMathParaPr>
        <m:oMath>
          <m:r>
            <m:t>Δ</m:t>
          </m:r>
          <m:sSubSup>
            <m:e>
              <m:r>
                <m:t>ϵ</m:t>
              </m:r>
            </m:e>
            <m:sub>
              <m:r>
                <m:t>3</m:t>
              </m:r>
            </m:sub>
            <m:sup>
              <m:r>
                <m:t>p</m:t>
              </m:r>
              <m:r>
                <m:t>s</m:t>
              </m:r>
            </m:sup>
          </m:sSubSup>
          <m:r>
            <m:rPr>
              <m:sty m:val="p"/>
            </m:rPr>
            <m:t>=</m:t>
          </m:r>
          <m:r>
            <m:rPr>
              <m:sty m:val="p"/>
            </m:rPr>
            <m:t>−</m:t>
          </m:r>
          <m:sSup>
            <m:e>
              <m:r>
                <m:t>λ</m:t>
              </m:r>
            </m:e>
            <m:sup>
              <m:r>
                <m:t>s</m:t>
              </m:r>
            </m:sup>
          </m:sSup>
          <m:sSub>
            <m:e>
              <m:r>
                <m:t>N</m:t>
              </m:r>
            </m:e>
            <m:sub>
              <m:r>
                <m:t>ψ</m:t>
              </m:r>
            </m:sub>
          </m:sSub>
        </m:oMath>
      </m:oMathPara>
    </w:p>
    <w:p>
      <w:pPr>
        <w:pStyle w:val="FirstParagraph"/>
      </w:pPr>
      <m:oMathPara>
        <m:oMathParaPr>
          <m:jc m:val="center"/>
        </m:oMathParaPr>
        <m:oMath>
          <m:r>
            <m:t>Δ</m:t>
          </m:r>
          <m:sSubSup>
            <m:e>
              <m:r>
                <m:t>ϵ</m:t>
              </m:r>
            </m:e>
            <m:sub>
              <m:r>
                <m:t>3</m:t>
              </m:r>
            </m:sub>
            <m:sup>
              <m:r>
                <m:t>p</m:t>
              </m:r>
              <m:r>
                <m:t>t</m:t>
              </m:r>
            </m:sup>
          </m:sSubSup>
          <m:r>
            <m:rPr>
              <m:sty m:val="p"/>
            </m:rPr>
            <m:t>=</m:t>
          </m:r>
          <m:sSup>
            <m:e>
              <m:r>
                <m:t>λ</m:t>
              </m:r>
            </m:e>
            <m:sup>
              <m:r>
                <m:t>t</m:t>
              </m:r>
            </m:sup>
          </m:sSup>
        </m:oMath>
      </m:oMathPara>
    </w:p>
    <w:p>
      <w:pPr>
        <w:pStyle w:val="FirstParagraph"/>
      </w:pPr>
      <w:r>
        <w:t xml:space="preserve">After determination of the new stresses for the step, the hardening parameters for the zone are updated following the procedure described above. If appropriate, these parameters are then used to determine new values for the zone cohesion, friction, dilation, and tensile strength.</w:t>
      </w:r>
    </w:p>
    <w:bookmarkEnd w:id="29"/>
    <w:bookmarkStart w:id="30" w:name="strain-softening-model-properties"/>
    <w:p>
      <w:pPr>
        <w:pStyle w:val="Heading4"/>
      </w:pPr>
      <w:r>
        <w:rPr>
          <w:rStyle w:val="SectionNumber"/>
        </w:rPr>
        <w:t xml:space="preserve">1.3.1.3</w:t>
      </w:r>
      <w:r>
        <w:tab/>
      </w:r>
      <w:r>
        <w:t xml:space="preserve">strain-softening model properties</w:t>
      </w:r>
    </w:p>
    <w:p>
      <w:pPr>
        <w:numPr>
          <w:ilvl w:val="0"/>
          <w:numId w:val="1001"/>
        </w:numPr>
        <w:pStyle w:val="Compact"/>
      </w:pPr>
      <w:r>
        <w:t xml:space="preserve">bulk modulus,</w:t>
      </w:r>
      <w:r>
        <w:t xml:space="preserve"> </w:t>
      </w:r>
      <m:oMath>
        <m:r>
          <m:t>K</m:t>
        </m:r>
      </m:oMath>
    </w:p>
    <w:p>
      <w:pPr>
        <w:numPr>
          <w:ilvl w:val="0"/>
          <w:numId w:val="1001"/>
        </w:numPr>
        <w:pStyle w:val="Compact"/>
      </w:pPr>
      <w:r>
        <w:t xml:space="preserve">cohesion,</w:t>
      </w:r>
      <w:r>
        <w:t xml:space="preserve"> </w:t>
      </w:r>
      <m:oMath>
        <m:r>
          <m:t>c</m:t>
        </m:r>
      </m:oMath>
    </w:p>
    <w:p>
      <w:pPr>
        <w:numPr>
          <w:ilvl w:val="0"/>
          <w:numId w:val="1001"/>
        </w:numPr>
        <w:pStyle w:val="Compact"/>
      </w:pPr>
      <w:r>
        <w:t xml:space="preserve">dilation,</w:t>
      </w:r>
      <w:r>
        <w:t xml:space="preserve"> </w:t>
      </w:r>
      <m:oMath>
        <m:r>
          <m:t>ψ</m:t>
        </m:r>
      </m:oMath>
    </w:p>
    <w:p>
      <w:pPr>
        <w:numPr>
          <w:ilvl w:val="0"/>
          <w:numId w:val="1001"/>
        </w:numPr>
        <w:pStyle w:val="Compact"/>
      </w:pPr>
      <w:r>
        <w:t xml:space="preserve">friction,</w:t>
      </w:r>
      <w:r>
        <w:t xml:space="preserve"> </w:t>
      </w:r>
      <m:oMath>
        <m:r>
          <m:t>ϕ</m:t>
        </m:r>
      </m:oMath>
    </w:p>
    <w:p>
      <w:pPr>
        <w:numPr>
          <w:ilvl w:val="0"/>
          <w:numId w:val="1001"/>
        </w:numPr>
        <w:pStyle w:val="Compact"/>
      </w:pPr>
      <w:r>
        <w:t xml:space="preserve">poisson,</w:t>
      </w:r>
      <w:r>
        <w:t xml:space="preserve"> </w:t>
      </w:r>
      <m:oMath>
        <m:r>
          <m:t>ν</m:t>
        </m:r>
      </m:oMath>
    </w:p>
    <w:p>
      <w:pPr>
        <w:numPr>
          <w:ilvl w:val="0"/>
          <w:numId w:val="1001"/>
        </w:numPr>
        <w:pStyle w:val="Compact"/>
      </w:pPr>
      <w:r>
        <w:t xml:space="preserve">shear,</w:t>
      </w:r>
      <w:r>
        <w:t xml:space="preserve"> </w:t>
      </w:r>
      <m:oMath>
        <m:r>
          <m:t>G</m:t>
        </m:r>
      </m:oMath>
    </w:p>
    <w:p>
      <w:pPr>
        <w:numPr>
          <w:ilvl w:val="0"/>
          <w:numId w:val="1001"/>
        </w:numPr>
        <w:pStyle w:val="Compact"/>
      </w:pPr>
      <w:r>
        <w:t xml:space="preserve">tension,</w:t>
      </w:r>
      <w:r>
        <w:t xml:space="preserve"> </w:t>
      </w:r>
      <m:oMath>
        <m:sSup>
          <m:e>
            <m:r>
              <m:t>σ</m:t>
            </m:r>
          </m:e>
          <m:sup>
            <m:r>
              <m:t>t</m:t>
            </m:r>
          </m:sup>
        </m:sSup>
      </m:oMath>
    </w:p>
    <w:p>
      <w:pPr>
        <w:numPr>
          <w:ilvl w:val="0"/>
          <w:numId w:val="1001"/>
        </w:numPr>
        <w:pStyle w:val="Compact"/>
      </w:pPr>
      <w:r>
        <w:t xml:space="preserve">young,</w:t>
      </w:r>
      <w:r>
        <w:t xml:space="preserve"> </w:t>
      </w:r>
      <m:oMath>
        <m:r>
          <m:t>E</m:t>
        </m:r>
      </m:oMath>
    </w:p>
    <w:p>
      <w:pPr>
        <w:numPr>
          <w:ilvl w:val="0"/>
          <w:numId w:val="1001"/>
        </w:numPr>
        <w:pStyle w:val="Compact"/>
      </w:pPr>
      <w:r>
        <w:t xml:space="preserve">strain-shear-plastic, accumulated plastic shear strain</w:t>
      </w:r>
    </w:p>
    <w:p>
      <w:pPr>
        <w:numPr>
          <w:ilvl w:val="0"/>
          <w:numId w:val="1001"/>
        </w:numPr>
        <w:pStyle w:val="Compact"/>
      </w:pPr>
      <w:r>
        <w:t xml:space="preserve">strain-tension-plastic, accumulated plastic tensile strain</w:t>
      </w:r>
    </w:p>
    <w:p>
      <w:pPr>
        <w:numPr>
          <w:ilvl w:val="0"/>
          <w:numId w:val="1001"/>
        </w:numPr>
        <w:pStyle w:val="Compact"/>
      </w:pPr>
      <w:r>
        <w:t xml:space="preserve">table-cohesion, dilation, friction, tension</w:t>
      </w:r>
    </w:p>
    <w:p>
      <w:pPr>
        <w:pStyle w:val="FirstParagraph"/>
      </w:pPr>
      <w:r>
        <w:t xml:space="preserve">Note tension cut-off is</w:t>
      </w:r>
      <w:r>
        <w:t xml:space="preserve"> </w:t>
      </w:r>
      <m:oMath>
        <m:sSup>
          <m:e>
            <m:r>
              <m:t>σ</m:t>
            </m:r>
          </m:e>
          <m:sup>
            <m:r>
              <m:t>t</m:t>
            </m:r>
          </m:sup>
        </m:sSup>
        <m:r>
          <m:rPr>
            <m:sty m:val="p"/>
          </m:rPr>
          <m:t>=</m:t>
        </m:r>
        <m:r>
          <m:t>m</m:t>
        </m:r>
        <m:r>
          <m:t>i</m:t>
        </m:r>
        <m:r>
          <m:t>n</m:t>
        </m:r>
        <m:r>
          <m:rPr>
            <m:sty m:val="p"/>
          </m:rPr>
          <m:t>(</m:t>
        </m:r>
        <m:sSup>
          <m:e>
            <m:r>
              <m:t>σ</m:t>
            </m:r>
          </m:e>
          <m:sup>
            <m:r>
              <m:t>t</m:t>
            </m:r>
          </m:sup>
        </m:sSup>
        <m:r>
          <m:rPr>
            <m:sty m:val="p"/>
          </m:rPr>
          <m:t>,</m:t>
        </m:r>
        <m:f>
          <m:fPr>
            <m:type m:val="bar"/>
          </m:fPr>
          <m:num>
            <m:r>
              <m:t>c</m:t>
            </m:r>
          </m:num>
          <m:den>
            <m:r>
              <m:t>t</m:t>
            </m:r>
            <m:r>
              <m:t>a</m:t>
            </m:r>
            <m:r>
              <m:t>n</m:t>
            </m:r>
            <m:r>
              <m:t>ϕ</m:t>
            </m:r>
          </m:den>
        </m:f>
        <m:r>
          <m:rPr>
            <m:sty m:val="p"/>
          </m:rPr>
          <m:t>)</m:t>
        </m:r>
      </m:oMath>
    </w:p>
    <w:bookmarkEnd w:id="30"/>
    <w:bookmarkEnd w:id="31"/>
    <w:bookmarkEnd w:id="32"/>
    <w:bookmarkStart w:id="35"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3"/>
                    <a:stretch>
                      <a:fillRect/>
                    </a:stretch>
                  </pic:blipFill>
                  <pic:spPr bwMode="auto">
                    <a:xfrm>
                      <a:off x="0" y="0"/>
                      <a:ext cx="5334000" cy="6541283"/>
                    </a:xfrm>
                    <a:prstGeom prst="rect">
                      <a:avLst/>
                    </a:prstGeom>
                    <a:noFill/>
                    <a:ln w="9525">
                      <a:noFill/>
                      <a:headEnd/>
                      <a:tailEnd/>
                    </a:ln>
                  </pic:spPr>
                </pic:pic>
              </a:graphicData>
            </a:graphic>
          </wp:inline>
        </w:drawing>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34"/>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2"/>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2"/>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3"/>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p>
    <w:bookmarkEnd w:id="35"/>
    <w:bookmarkStart w:id="36"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'West7' or 'West6' or 'Bottom7' or 'Bottom6' or 'East6' or 'Top6'</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6"/>
    <w:bookmarkStart w:id="38"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7"/>
                    <a:stretch>
                      <a:fillRect/>
                    </a:stretch>
                  </pic:blipFill>
                  <pic:spPr bwMode="auto">
                    <a:xfrm>
                      <a:off x="0" y="0"/>
                      <a:ext cx="5334000" cy="4049346"/>
                    </a:xfrm>
                    <a:prstGeom prst="rect">
                      <a:avLst/>
                    </a:prstGeom>
                    <a:noFill/>
                    <a:ln w="9525">
                      <a:noFill/>
                      <a:headEnd/>
                      <a:tailEnd/>
                    </a:ln>
                  </pic:spPr>
                </pic:pic>
              </a:graphicData>
            </a:graphic>
          </wp:inline>
        </w:drawing>
      </w:r>
    </w:p>
    <w:bookmarkEnd w:id="38"/>
    <w:bookmarkStart w:id="39"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zone face apply velocity-normal 1e-5 range group 'North1' or 'South2'</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39"/>
    <w:bookmarkStart w:id="40"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40"/>
    <w:bookmarkStart w:id="43" w:name="results"/>
    <w:p>
      <w:pPr>
        <w:pStyle w:val="Heading2"/>
      </w:pPr>
      <w:r>
        <w:rPr>
          <w:rStyle w:val="SectionNumber"/>
        </w:rPr>
        <w:t xml:space="preserve">1.9</w:t>
      </w:r>
      <w:r>
        <w:tab/>
      </w:r>
      <w:r>
        <w:t xml:space="preserve">Results</w:t>
      </w:r>
    </w:p>
    <w:p>
      <w:pPr>
        <w:pStyle w:val="FirstParagraph"/>
      </w:pPr>
      <w:r>
        <w:drawing>
          <wp:inline>
            <wp:extent cx="5334000" cy="3366781"/>
            <wp:effectExtent b="0" l="0" r="0" t="0"/>
            <wp:docPr descr="" title="" id="1" name="Picture"/>
            <a:graphic>
              <a:graphicData uri="http://schemas.openxmlformats.org/drawingml/2006/picture">
                <pic:pic>
                  <pic:nvPicPr>
                    <pic:cNvPr descr="myfigureeeeee/result.png" id="0" name="Picture"/>
                    <pic:cNvPicPr>
                      <a:picLocks noChangeArrowheads="1" noChangeAspect="1"/>
                    </pic:cNvPicPr>
                  </pic:nvPicPr>
                  <pic:blipFill>
                    <a:blip r:embed="rId41"/>
                    <a:stretch>
                      <a:fillRect/>
                    </a:stretch>
                  </pic:blipFill>
                  <pic:spPr bwMode="auto">
                    <a:xfrm>
                      <a:off x="0" y="0"/>
                      <a:ext cx="5334000" cy="3366781"/>
                    </a:xfrm>
                    <a:prstGeom prst="rect">
                      <a:avLst/>
                    </a:prstGeom>
                    <a:noFill/>
                    <a:ln w="9525">
                      <a:noFill/>
                      <a:headEnd/>
                      <a:tailEnd/>
                    </a:ln>
                  </pic:spPr>
                </pic:pic>
              </a:graphicData>
            </a:graphic>
          </wp:inline>
        </w:drawing>
      </w:r>
    </w:p>
    <w:p>
      <w:pPr>
        <w:pStyle w:val="BodyText"/>
      </w:pPr>
      <w:r>
        <w:drawing>
          <wp:inline>
            <wp:extent cx="5334000" cy="3361888"/>
            <wp:effectExtent b="0" l="0" r="0" t="0"/>
            <wp:docPr descr="" title="" id="1" name="Picture"/>
            <a:graphic>
              <a:graphicData uri="http://schemas.openxmlformats.org/drawingml/2006/picture">
                <pic:pic>
                  <pic:nvPicPr>
                    <pic:cNvPr descr="myfigureeeeee/result2.png" id="0" name="Picture"/>
                    <pic:cNvPicPr>
                      <a:picLocks noChangeArrowheads="1" noChangeAspect="1"/>
                    </pic:cNvPicPr>
                  </pic:nvPicPr>
                  <pic:blipFill>
                    <a:blip r:embed="rId42"/>
                    <a:stretch>
                      <a:fillRect/>
                    </a:stretch>
                  </pic:blipFill>
                  <pic:spPr bwMode="auto">
                    <a:xfrm>
                      <a:off x="0" y="0"/>
                      <a:ext cx="5334000" cy="3361888"/>
                    </a:xfrm>
                    <a:prstGeom prst="rect">
                      <a:avLst/>
                    </a:prstGeom>
                    <a:noFill/>
                    <a:ln w="9525">
                      <a:noFill/>
                      <a:headEnd/>
                      <a:tailEnd/>
                    </a:ln>
                  </pic:spPr>
                </pic:pic>
              </a:graphicData>
            </a:graphic>
          </wp:inline>
        </w:drawing>
      </w:r>
    </w:p>
    <w:p>
      <w:r>
        <w:br w:type="page"/>
      </w:r>
    </w:p>
    <w:bookmarkEnd w:id="43"/>
    <w:bookmarkEnd w:id="44"/>
    <w:bookmarkStart w:id="6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5"/>
                    <a:stretch>
                      <a:fillRect/>
                    </a:stretch>
                  </pic:blipFill>
                  <pic:spPr bwMode="auto">
                    <a:xfrm>
                      <a:off x="0" y="0"/>
                      <a:ext cx="5334000" cy="3988629"/>
                    </a:xfrm>
                    <a:prstGeom prst="rect">
                      <a:avLst/>
                    </a:prstGeom>
                    <a:noFill/>
                    <a:ln w="9525">
                      <a:noFill/>
                      <a:headEnd/>
                      <a:tailEnd/>
                    </a:ln>
                  </pic:spPr>
                </pic:pic>
              </a:graphicData>
            </a:graphic>
          </wp:inline>
        </w:drawing>
      </w:r>
    </w:p>
    <w:bookmarkStart w:id="48" w:name="problem-description"/>
    <w:p>
      <w:pPr>
        <w:pStyle w:val="Heading2"/>
      </w:pPr>
      <w:r>
        <w:rPr>
          <w:rStyle w:val="SectionNumber"/>
        </w:rPr>
        <w:t xml:space="preserve">2.1</w:t>
      </w:r>
      <w:r>
        <w:tab/>
      </w:r>
      <w:r>
        <w:t xml:space="preserve">Problem Description</w:t>
      </w:r>
    </w:p>
    <w:bookmarkStart w:id="4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4"/>
        </w:numPr>
        <w:pStyle w:val="Compact"/>
      </w:pPr>
      <w:r>
        <w:t xml:space="preserve">origin at the top of the pile, z upward.</w:t>
      </w:r>
    </w:p>
    <w:p>
      <w:pPr>
        <w:numPr>
          <w:ilvl w:val="0"/>
          <w:numId w:val="1004"/>
        </w:numPr>
        <w:pStyle w:val="Compact"/>
      </w:pPr>
      <w:r>
        <w:t xml:space="preserve">z=0: free surface</w:t>
      </w:r>
    </w:p>
    <w:p>
      <w:pPr>
        <w:numPr>
          <w:ilvl w:val="0"/>
          <w:numId w:val="1004"/>
        </w:numPr>
        <w:pStyle w:val="Compact"/>
      </w:pPr>
      <w:r>
        <w:t xml:space="preserve">z=-8: fixed in z-eirection</w:t>
      </w:r>
    </w:p>
    <w:p>
      <w:pPr>
        <w:numPr>
          <w:ilvl w:val="0"/>
          <w:numId w:val="1004"/>
        </w:numPr>
        <w:pStyle w:val="Compact"/>
      </w:pPr>
      <w:r>
        <w:t xml:space="preserve">x=+8, -8, y = 8: roller</w:t>
      </w:r>
    </w:p>
    <w:p>
      <w:pPr>
        <w:numPr>
          <w:ilvl w:val="0"/>
          <w:numId w:val="1004"/>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4"/>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6"/>
    <w:bookmarkStart w:id="4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7"/>
    <w:bookmarkEnd w:id="48"/>
    <w:bookmarkStart w:id="49" w:name="modeling-procedure"/>
    <w:p>
      <w:pPr>
        <w:pStyle w:val="Heading2"/>
      </w:pPr>
      <w:r>
        <w:rPr>
          <w:rStyle w:val="SectionNumber"/>
        </w:rPr>
        <w:t xml:space="preserve">2.2</w:t>
      </w:r>
      <w:r>
        <w:tab/>
      </w:r>
      <w:r>
        <w:t xml:space="preserve">Modeling Procedure</w:t>
      </w:r>
    </w:p>
    <w:p>
      <w:pPr>
        <w:numPr>
          <w:ilvl w:val="0"/>
          <w:numId w:val="1005"/>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5"/>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5"/>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9"/>
    <w:bookmarkStart w:id="5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50"/>
    <w:bookmarkStart w:id="5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51"/>
    <w:bookmarkStart w:id="5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52"/>
    <w:bookmarkStart w:id="5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53"/>
    <w:bookmarkStart w:id="5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54"/>
    <w:bookmarkStart w:id="59" w:name="alterations"/>
    <w:p>
      <w:pPr>
        <w:pStyle w:val="Heading2"/>
      </w:pPr>
      <w:r>
        <w:rPr>
          <w:rStyle w:val="SectionNumber"/>
        </w:rPr>
        <w:t xml:space="preserve">2.8</w:t>
      </w:r>
      <w:r>
        <w:tab/>
      </w:r>
      <w:r>
        <w:t xml:space="preserve">Alterations</w:t>
      </w:r>
    </w:p>
    <w:bookmarkStart w:id="5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5"/>
    <w:bookmarkStart w:id="56"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6"/>
    <w:bookmarkStart w:id="5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8"/>
    <w:bookmarkEnd w:id="59"/>
    <w:bookmarkEnd w:id="60"/>
    <w:bookmarkStart w:id="68"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61"/>
                    <a:stretch>
                      <a:fillRect/>
                    </a:stretch>
                  </pic:blipFill>
                  <pic:spPr bwMode="auto">
                    <a:xfrm>
                      <a:off x="0" y="0"/>
                      <a:ext cx="5334000" cy="3631376"/>
                    </a:xfrm>
                    <a:prstGeom prst="rect">
                      <a:avLst/>
                    </a:prstGeom>
                    <a:noFill/>
                    <a:ln w="9525">
                      <a:noFill/>
                      <a:headEnd/>
                      <a:tailEnd/>
                    </a:ln>
                  </pic:spPr>
                </pic:pic>
              </a:graphicData>
            </a:graphic>
          </wp:inline>
        </w:drawing>
      </w:r>
    </w:p>
    <w:bookmarkStart w:id="62"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62"/>
    <w:bookmarkStart w:id="63"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63"/>
    <w:bookmarkStart w:id="64"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64"/>
    <w:bookmarkStart w:id="65"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5"/>
    <w:bookmarkStart w:id="66"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6"/>
    <w:bookmarkStart w:id="67"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7"/>
    <w:bookmarkEnd w:id="68"/>
    <w:bookmarkStart w:id="75" w:name="grid"/>
    <w:p>
      <w:pPr>
        <w:pStyle w:val="Heading1"/>
      </w:pPr>
      <w:r>
        <w:rPr>
          <w:rStyle w:val="SectionNumber"/>
        </w:rPr>
        <w:t xml:space="preserve">4</w:t>
      </w:r>
      <w:r>
        <w:tab/>
      </w:r>
      <w:r>
        <w:t xml:space="preserve">Grid</w:t>
      </w:r>
    </w:p>
    <w:bookmarkStart w:id="70"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9"/>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70"/>
    <w:bookmarkStart w:id="71"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71"/>
    <w:bookmarkStart w:id="72"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72"/>
    <w:bookmarkStart w:id="74"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73"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73"/>
    <w:bookmarkEnd w:id="74"/>
    <w:bookmarkEnd w:id="75"/>
    <w:bookmarkStart w:id="99" w:name="syntax-and-grammar"/>
    <w:p>
      <w:pPr>
        <w:pStyle w:val="Heading1"/>
      </w:pPr>
      <w:r>
        <w:rPr>
          <w:rStyle w:val="SectionNumber"/>
        </w:rPr>
        <w:t xml:space="preserve">5</w:t>
      </w:r>
      <w:r>
        <w:tab/>
      </w:r>
      <w:r>
        <w:t xml:space="preserve">Syntax and Grammar</w:t>
      </w:r>
    </w:p>
    <w:bookmarkStart w:id="76"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6"/>
    <w:bookmarkStart w:id="77"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7"/>
    <w:bookmarkStart w:id="78"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8"/>
    <w:bookmarkStart w:id="79"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9"/>
    <w:bookmarkStart w:id="80"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80"/>
    <w:bookmarkStart w:id="81"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81"/>
    <w:bookmarkStart w:id="82"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82"/>
    <w:bookmarkStart w:id="83"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83"/>
    <w:bookmarkStart w:id="85"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84"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84"/>
    <w:bookmarkEnd w:id="85"/>
    <w:bookmarkStart w:id="87"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6"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6"/>
    <w:bookmarkEnd w:id="87"/>
    <w:bookmarkStart w:id="88"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8"/>
    <w:bookmarkStart w:id="98" w:name="fish-syntax"/>
    <w:p>
      <w:pPr>
        <w:pStyle w:val="Heading2"/>
      </w:pPr>
      <w:r>
        <w:rPr>
          <w:rStyle w:val="SectionNumber"/>
        </w:rPr>
        <w:t xml:space="preserve">5.12</w:t>
      </w:r>
      <w:r>
        <w:tab/>
      </w:r>
      <w:r>
        <w:t xml:space="preserve">Fish Syntax</w:t>
      </w:r>
    </w:p>
    <w:bookmarkStart w:id="89"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9"/>
    <w:bookmarkStart w:id="90"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90"/>
    <w:bookmarkStart w:id="92"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91"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91"/>
    <w:bookmarkEnd w:id="92"/>
    <w:bookmarkStart w:id="93"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93"/>
    <w:bookmarkStart w:id="96"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94"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94"/>
    <w:bookmarkStart w:id="95"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5"/>
    <w:bookmarkEnd w:id="96"/>
    <w:bookmarkStart w:id="97"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7"/>
    <w:bookmarkEnd w:id="98"/>
    <w:bookmarkEnd w:id="99"/>
    <w:bookmarkStart w:id="106" w:name="code-block"/>
    <w:p>
      <w:pPr>
        <w:pStyle w:val="Heading1"/>
      </w:pPr>
      <w:r>
        <w:rPr>
          <w:rStyle w:val="SectionNumber"/>
        </w:rPr>
        <w:t xml:space="preserve">6</w:t>
      </w:r>
      <w:r>
        <w:tab/>
      </w:r>
      <w:r>
        <w:t xml:space="preserve">Code Block</w:t>
      </w:r>
    </w:p>
    <w:bookmarkStart w:id="100"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100"/>
    <w:bookmarkStart w:id="101"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101"/>
    <w:bookmarkStart w:id="104"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10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103"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103"/>
    <w:bookmarkEnd w:id="104"/>
    <w:bookmarkStart w:id="105"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105"/>
    <w:bookmarkEnd w:id="106"/>
    <w:bookmarkStart w:id="124" w:name="theory"/>
    <w:p>
      <w:pPr>
        <w:pStyle w:val="Heading1"/>
      </w:pPr>
      <w:r>
        <w:rPr>
          <w:rStyle w:val="SectionNumber"/>
        </w:rPr>
        <w:t xml:space="preserve">7</w:t>
      </w:r>
      <w:r>
        <w:tab/>
      </w:r>
      <w:r>
        <w:t xml:space="preserve">Theory</w:t>
      </w:r>
    </w:p>
    <w:bookmarkStart w:id="110"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8" w:name="types-of-sel"/>
    <w:p>
      <w:pPr>
        <w:pStyle w:val="Heading3"/>
      </w:pPr>
      <w:r>
        <w:rPr>
          <w:rStyle w:val="SectionNumber"/>
        </w:rPr>
        <w:t xml:space="preserve">7.1.1</w:t>
      </w:r>
      <w:r>
        <w:tab/>
      </w:r>
      <w:r>
        <w:t xml:space="preserve">Types of SEL</w:t>
      </w:r>
    </w:p>
    <w:p>
      <w:pPr>
        <w:numPr>
          <w:ilvl w:val="0"/>
          <w:numId w:val="1006"/>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6"/>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6"/>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6"/>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6"/>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6"/>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7"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7"/>
    <w:bookmarkEnd w:id="108"/>
    <w:bookmarkStart w:id="109"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9"/>
    <w:bookmarkEnd w:id="110"/>
    <w:bookmarkStart w:id="113"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11">
        <w:r>
          <w:rPr>
            <w:rStyle w:val="Hyperlink"/>
          </w:rPr>
          <w:t xml:space="preserve">example:\\</w:t>
        </w:r>
      </w:hyperlink>
      <w:r>
        <w:t xml:space="preserve">](</w:t>
      </w:r>
      <w:hyperlink r:id="rId112">
        <w:r>
          <w:rPr>
            <w:rStyle w:val="Hyperlink"/>
          </w:rPr>
          <w:t xml:space="preserve">example:\</w:t>
        </w:r>
      </w:hyperlink>
      <w:r>
        <w:t xml:space="preserve">){.uri}</w:t>
      </w:r>
    </w:p>
    <w:p>
      <w:pPr>
        <w:numPr>
          <w:ilvl w:val="0"/>
          <w:numId w:val="1007"/>
        </w:numPr>
        <w:pStyle w:val="Compact"/>
      </w:pPr>
      <w:r>
        <w:t xml:space="preserve">joint, fault, or bedding planes in a geologic medium;</w:t>
      </w:r>
    </w:p>
    <w:p>
      <w:pPr>
        <w:numPr>
          <w:ilvl w:val="0"/>
          <w:numId w:val="1007"/>
        </w:numPr>
        <w:pStyle w:val="Compact"/>
      </w:pPr>
      <w:r>
        <w:t xml:space="preserve">an interface between a foundation and the soil;</w:t>
      </w:r>
    </w:p>
    <w:p>
      <w:pPr>
        <w:numPr>
          <w:ilvl w:val="0"/>
          <w:numId w:val="1007"/>
        </w:numPr>
        <w:pStyle w:val="Compact"/>
      </w:pPr>
      <w:r>
        <w:t xml:space="preserve">a contact plane between a bin or chute and the material that it</w:t>
      </w:r>
      <w:r>
        <w:t xml:space="preserve"> </w:t>
      </w:r>
      <w:r>
        <w:t xml:space="preserve">contains;</w:t>
      </w:r>
    </w:p>
    <w:p>
      <w:pPr>
        <w:numPr>
          <w:ilvl w:val="0"/>
          <w:numId w:val="1007"/>
        </w:numPr>
        <w:pStyle w:val="Compact"/>
      </w:pPr>
      <w:r>
        <w:t xml:space="preserve">a contact between two colliding objects; and</w:t>
      </w:r>
    </w:p>
    <w:p>
      <w:pPr>
        <w:numPr>
          <w:ilvl w:val="0"/>
          <w:numId w:val="1007"/>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13"/>
    <w:bookmarkStart w:id="115"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14"/>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34"/>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8"/>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8"/>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9"/>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5"/>
    <w:bookmarkStart w:id="116"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10"/>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10"/>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10"/>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10"/>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6"/>
    <w:bookmarkStart w:id="123"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7"/>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21"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8"/>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9"/>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20"/>
                    <a:stretch>
                      <a:fillRect/>
                    </a:stretch>
                  </pic:blipFill>
                  <pic:spPr bwMode="auto">
                    <a:xfrm>
                      <a:off x="0" y="0"/>
                      <a:ext cx="5334000" cy="1254039"/>
                    </a:xfrm>
                    <a:prstGeom prst="rect">
                      <a:avLst/>
                    </a:prstGeom>
                    <a:noFill/>
                    <a:ln w="9525">
                      <a:noFill/>
                      <a:headEnd/>
                      <a:tailEnd/>
                    </a:ln>
                  </pic:spPr>
                </pic:pic>
              </a:graphicData>
            </a:graphic>
          </wp:inline>
        </w:drawing>
      </w:r>
    </w:p>
    <w:bookmarkEnd w:id="121"/>
    <w:bookmarkStart w:id="122"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22"/>
    <w:bookmarkEnd w:id="123"/>
    <w:bookmarkEnd w:id="124"/>
    <w:bookmarkStart w:id="132" w:name="command"/>
    <w:p>
      <w:pPr>
        <w:pStyle w:val="Heading1"/>
      </w:pPr>
      <w:r>
        <w:rPr>
          <w:rStyle w:val="SectionNumber"/>
        </w:rPr>
        <w:t xml:space="preserve">8</w:t>
      </w:r>
      <w:r>
        <w:tab/>
      </w:r>
      <w:r>
        <w:t xml:space="preserve">Command</w:t>
      </w:r>
    </w:p>
    <w:bookmarkStart w:id="131" w:name="interface-3"/>
    <w:p>
      <w:pPr>
        <w:pStyle w:val="Heading2"/>
      </w:pPr>
      <w:r>
        <w:rPr>
          <w:rStyle w:val="SectionNumber"/>
        </w:rPr>
        <w:t xml:space="preserve">8.1</w:t>
      </w:r>
      <w:r>
        <w:tab/>
      </w:r>
      <w:r>
        <w:t xml:space="preserve">Interface</w:t>
      </w:r>
    </w:p>
    <w:bookmarkStart w:id="125"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11"/>
        </w:numPr>
      </w:pPr>
      <w:r>
        <w:t xml:space="preserve">or: considered inside the surface if any of those conditions has a</w:t>
      </w:r>
      <w:r>
        <w:t xml:space="preserve"> </w:t>
      </w:r>
      <w:r>
        <w:t xml:space="preserve">non-null model.</w:t>
      </w:r>
    </w:p>
    <w:p>
      <w:pPr>
        <w:numPr>
          <w:ilvl w:val="0"/>
          <w:numId w:val="1011"/>
        </w:numPr>
      </w:pPr>
      <w:r>
        <w:t xml:space="preserve">remove: group is removed from the zone face.</w:t>
      </w:r>
    </w:p>
    <w:bookmarkEnd w:id="125"/>
    <w:bookmarkStart w:id="126"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6"/>
    <w:bookmarkStart w:id="127"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7"/>
    <w:bookmarkStart w:id="128"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12"/>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3"/>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8"/>
    <w:bookmarkStart w:id="130"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9"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9"/>
    <w:bookmarkEnd w:id="130"/>
    <w:bookmarkEnd w:id="131"/>
    <w:bookmarkEnd w:id="132"/>
    <w:bookmarkStart w:id="133" w:name="pull-test"/>
    <w:p>
      <w:pPr>
        <w:pStyle w:val="Heading1"/>
      </w:pPr>
      <w:r>
        <w:rPr>
          <w:rStyle w:val="SectionNumber"/>
        </w:rPr>
        <w:t xml:space="preserve">9</w:t>
      </w:r>
      <w:r>
        <w:tab/>
      </w:r>
      <w:r>
        <w:t xml:space="preserve">Pull-Test</w:t>
      </w:r>
    </w:p>
    <w:bookmarkEnd w:id="133"/>
    <w:bookmarkStart w:id="142"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4"/>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4"/>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4"/>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5">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6">
        <w:r>
          <w:rPr>
            <w:rStyle w:val="Hyperlink"/>
            <w:u w:val="single"/>
          </w:rPr>
          <w:t xml:space="preserve">force</w:t>
        </w:r>
      </w:hyperlink>
      <w:r>
        <w:t xml:space="preserve"> </w:t>
      </w:r>
      <w:r>
        <w:t xml:space="preserve">and</w:t>
      </w:r>
      <w:r>
        <w:t xml:space="preserve"> </w:t>
      </w:r>
      <w:hyperlink r:id="rId136">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7">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8">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6">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9">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40">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41">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7">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42"/>
    <w:bookmarkStart w:id="143" w:name="appendix-appendix"/>
    <w:p>
      <w:pPr>
        <w:pStyle w:val="Heading1"/>
      </w:pPr>
      <w:r>
        <w:t xml:space="preserve">(APPENDIX) Appendix</w:t>
      </w:r>
    </w:p>
    <w:bookmarkEnd w:id="143"/>
    <w:bookmarkStart w:id="153" w:name="reference-collective"/>
    <w:p>
      <w:pPr>
        <w:pStyle w:val="Heading1"/>
      </w:pPr>
      <w:r>
        <w:rPr>
          <w:rStyle w:val="SectionNumber"/>
        </w:rPr>
        <w:t xml:space="preserve">11</w:t>
      </w:r>
      <w:r>
        <w:tab/>
      </w:r>
      <w:r>
        <w:t xml:space="preserve">Reference Collective</w:t>
      </w:r>
    </w:p>
    <w:bookmarkStart w:id="147" w:name="uplift-resistance-of-anchor"/>
    <w:p>
      <w:pPr>
        <w:pStyle w:val="Heading3"/>
      </w:pPr>
      <w:r>
        <w:rPr>
          <w:rStyle w:val="SectionNumber"/>
        </w:rPr>
        <w:t xml:space="preserve">11.0.1</w:t>
      </w:r>
      <w:r>
        <w:tab/>
      </w:r>
      <w:r>
        <w:t xml:space="preserve">Uplift Resistance of Anchor</w:t>
      </w:r>
    </w:p>
    <w:bookmarkStart w:id="144" w:name="before-1968"/>
    <w:p>
      <w:pPr>
        <w:pStyle w:val="Heading4"/>
      </w:pPr>
      <w:r>
        <w:rPr>
          <w:rStyle w:val="SectionNumber"/>
        </w:rPr>
        <w:t xml:space="preserve">11.0.1.1</w:t>
      </w:r>
      <w:r>
        <w:tab/>
      </w:r>
      <w:r>
        <w:t xml:space="preserve">Before 1968</w:t>
      </w:r>
    </w:p>
    <w:p>
      <w:pPr>
        <w:numPr>
          <w:ilvl w:val="0"/>
          <w:numId w:val="1015"/>
        </w:numPr>
        <w:pStyle w:val="Compact"/>
      </w:pPr>
      <w:r>
        <w:t xml:space="preserve">Coulomb</w:t>
      </w:r>
    </w:p>
    <w:p>
      <w:pPr>
        <w:numPr>
          <w:ilvl w:val="0"/>
          <w:numId w:val="1015"/>
        </w:numPr>
        <w:pStyle w:val="Compact"/>
      </w:pPr>
      <w:r>
        <w:t xml:space="preserve">Mohr</w:t>
      </w:r>
    </w:p>
    <w:p>
      <w:pPr>
        <w:numPr>
          <w:ilvl w:val="0"/>
          <w:numId w:val="1015"/>
        </w:numPr>
        <w:pStyle w:val="Compact"/>
      </w:pPr>
      <w:r>
        <w:t xml:space="preserve">Kotter’s equation</w:t>
      </w:r>
    </w:p>
    <w:p>
      <w:pPr>
        <w:numPr>
          <w:ilvl w:val="0"/>
          <w:numId w:val="1015"/>
        </w:numPr>
        <w:pStyle w:val="Compact"/>
      </w:pPr>
      <w:r>
        <w:t xml:space="preserve">D.C. Drucker and W. Prager 1951</w:t>
      </w:r>
    </w:p>
    <w:p>
      <w:pPr>
        <w:numPr>
          <w:ilvl w:val="0"/>
          <w:numId w:val="1015"/>
        </w:numPr>
        <w:pStyle w:val="Compact"/>
      </w:pPr>
      <w:r>
        <w:t xml:space="preserve">Balla 1961</w:t>
      </w:r>
    </w:p>
    <w:p>
      <w:pPr>
        <w:numPr>
          <w:ilvl w:val="0"/>
          <w:numId w:val="1015"/>
        </w:numPr>
        <w:pStyle w:val="Compact"/>
      </w:pPr>
      <w:r>
        <w:t xml:space="preserve">Mors</w:t>
      </w:r>
    </w:p>
    <w:p>
      <w:pPr>
        <w:numPr>
          <w:ilvl w:val="0"/>
          <w:numId w:val="1015"/>
        </w:numPr>
        <w:pStyle w:val="Compact"/>
      </w:pPr>
      <w:r>
        <w:t xml:space="preserve">Matsuo 1968</w:t>
      </w:r>
    </w:p>
    <w:p>
      <w:pPr>
        <w:numPr>
          <w:ilvl w:val="0"/>
          <w:numId w:val="1015"/>
        </w:numPr>
        <w:pStyle w:val="Compact"/>
      </w:pPr>
      <w:r>
        <w:t xml:space="preserve">Vesic</w:t>
      </w:r>
    </w:p>
    <w:bookmarkEnd w:id="144"/>
    <w:bookmarkStart w:id="145" w:name="post-1968"/>
    <w:p>
      <w:pPr>
        <w:pStyle w:val="Heading4"/>
      </w:pPr>
      <w:r>
        <w:rPr>
          <w:rStyle w:val="SectionNumber"/>
        </w:rPr>
        <w:t xml:space="preserve">11.0.1.2</w:t>
      </w:r>
      <w:r>
        <w:tab/>
      </w:r>
      <w:r>
        <w:t xml:space="preserve">Post-1968</w:t>
      </w:r>
    </w:p>
    <w:p>
      <w:pPr>
        <w:numPr>
          <w:ilvl w:val="0"/>
          <w:numId w:val="1016"/>
        </w:numPr>
        <w:pStyle w:val="Compact"/>
      </w:pPr>
      <w:r>
        <w:t xml:space="preserve">Meyerhof, G.G., and Adams, J.I. 1968</w:t>
      </w:r>
    </w:p>
    <w:p>
      <w:pPr>
        <w:numPr>
          <w:ilvl w:val="0"/>
          <w:numId w:val="1016"/>
        </w:numPr>
        <w:pStyle w:val="Compact"/>
      </w:pPr>
      <w:r>
        <w:t xml:space="preserve">Meyerhof, G.G. 1973</w:t>
      </w:r>
    </w:p>
    <w:p>
      <w:pPr>
        <w:numPr>
          <w:ilvl w:val="0"/>
          <w:numId w:val="1016"/>
        </w:numPr>
        <w:pStyle w:val="Compact"/>
      </w:pPr>
      <w:r>
        <w:t xml:space="preserve">Das, B.M., and Seeley, G.R. 1975</w:t>
      </w:r>
    </w:p>
    <w:p>
      <w:pPr>
        <w:numPr>
          <w:ilvl w:val="0"/>
          <w:numId w:val="1016"/>
        </w:numPr>
        <w:pStyle w:val="Compact"/>
      </w:pPr>
      <w:r>
        <w:t xml:space="preserve">Ovesen 1981</w:t>
      </w:r>
    </w:p>
    <w:p>
      <w:pPr>
        <w:numPr>
          <w:ilvl w:val="0"/>
          <w:numId w:val="1016"/>
        </w:numPr>
        <w:pStyle w:val="Compact"/>
      </w:pPr>
      <w:r>
        <w:t xml:space="preserve">Walters 1982</w:t>
      </w:r>
    </w:p>
    <w:p>
      <w:pPr>
        <w:numPr>
          <w:ilvl w:val="0"/>
          <w:numId w:val="1016"/>
        </w:numPr>
        <w:pStyle w:val="Compact"/>
      </w:pPr>
      <w:r>
        <w:t xml:space="preserve">Rowe, R.K., and Davis, H. 1982</w:t>
      </w:r>
    </w:p>
    <w:p>
      <w:pPr>
        <w:numPr>
          <w:ilvl w:val="0"/>
          <w:numId w:val="1016"/>
        </w:numPr>
        <w:pStyle w:val="Compact"/>
      </w:pPr>
      <w:r>
        <w:t xml:space="preserve">Dickin, E.A., and Leung, C.F. 1983</w:t>
      </w:r>
    </w:p>
    <w:p>
      <w:pPr>
        <w:numPr>
          <w:ilvl w:val="0"/>
          <w:numId w:val="1016"/>
        </w:numPr>
        <w:pStyle w:val="Compact"/>
      </w:pPr>
      <w:r>
        <w:t xml:space="preserve">Vermeer 1985</w:t>
      </w:r>
    </w:p>
    <w:p>
      <w:pPr>
        <w:numPr>
          <w:ilvl w:val="0"/>
          <w:numId w:val="1016"/>
        </w:numPr>
        <w:pStyle w:val="Compact"/>
      </w:pPr>
      <w:r>
        <w:t xml:space="preserve">Murray, E.J., and Geddes, J.D. 1987</w:t>
      </w:r>
    </w:p>
    <w:p>
      <w:pPr>
        <w:numPr>
          <w:ilvl w:val="0"/>
          <w:numId w:val="1016"/>
        </w:numPr>
        <w:pStyle w:val="Compact"/>
      </w:pPr>
      <w:r>
        <w:t xml:space="preserve">Dickin, E.A. 1988</w:t>
      </w:r>
    </w:p>
    <w:p>
      <w:pPr>
        <w:numPr>
          <w:ilvl w:val="0"/>
          <w:numId w:val="1016"/>
        </w:numPr>
        <w:pStyle w:val="Compact"/>
      </w:pPr>
      <w:r>
        <w:t xml:space="preserve">Sutherland 1988</w:t>
      </w:r>
    </w:p>
    <w:p>
      <w:pPr>
        <w:numPr>
          <w:ilvl w:val="0"/>
          <w:numId w:val="1016"/>
        </w:numPr>
        <w:pStyle w:val="Compact"/>
      </w:pPr>
      <w:r>
        <w:t xml:space="preserve">Kulhawy 1988</w:t>
      </w:r>
    </w:p>
    <w:p>
      <w:pPr>
        <w:numPr>
          <w:ilvl w:val="0"/>
          <w:numId w:val="1016"/>
        </w:numPr>
        <w:pStyle w:val="Compact"/>
      </w:pPr>
      <w:r>
        <w:t xml:space="preserve">Koutsabeloulis, N.C., and Griffiths, D.V. 1989</w:t>
      </w:r>
    </w:p>
    <w:p>
      <w:pPr>
        <w:numPr>
          <w:ilvl w:val="0"/>
          <w:numId w:val="1016"/>
        </w:numPr>
        <w:pStyle w:val="Compact"/>
      </w:pPr>
      <w:r>
        <w:t xml:space="preserve">Bouazza 1990</w:t>
      </w:r>
    </w:p>
    <w:p>
      <w:pPr>
        <w:numPr>
          <w:ilvl w:val="0"/>
          <w:numId w:val="1016"/>
        </w:numPr>
        <w:pStyle w:val="Compact"/>
      </w:pPr>
      <w:r>
        <w:t xml:space="preserve">Tadatsugu Tanaka, and Toshinori Sakai 1993</w:t>
      </w:r>
    </w:p>
    <w:bookmarkEnd w:id="145"/>
    <w:bookmarkStart w:id="146" w:name="post-2000"/>
    <w:p>
      <w:pPr>
        <w:pStyle w:val="Heading4"/>
      </w:pPr>
      <w:r>
        <w:rPr>
          <w:rStyle w:val="SectionNumber"/>
        </w:rPr>
        <w:t xml:space="preserve">11.0.1.3</w:t>
      </w:r>
      <w:r>
        <w:tab/>
      </w:r>
      <w:r>
        <w:t xml:space="preserve">Post-2000</w:t>
      </w:r>
    </w:p>
    <w:p>
      <w:pPr>
        <w:numPr>
          <w:ilvl w:val="0"/>
          <w:numId w:val="1017"/>
        </w:numPr>
        <w:pStyle w:val="Compact"/>
      </w:pPr>
      <w:r>
        <w:t xml:space="preserve">Merifield, R.S., and Sloan, S.W. 2006</w:t>
      </w:r>
    </w:p>
    <w:p>
      <w:pPr>
        <w:numPr>
          <w:ilvl w:val="0"/>
          <w:numId w:val="1017"/>
        </w:numPr>
        <w:pStyle w:val="Compact"/>
      </w:pPr>
      <w:r>
        <w:t xml:space="preserve">Cheuk, White, and Bolton 2008</w:t>
      </w:r>
    </w:p>
    <w:p>
      <w:pPr>
        <w:numPr>
          <w:ilvl w:val="0"/>
          <w:numId w:val="1017"/>
        </w:numPr>
        <w:pStyle w:val="Compact"/>
      </w:pPr>
      <w:r>
        <w:t xml:space="preserve">Kumar 2008</w:t>
      </w:r>
    </w:p>
    <w:p>
      <w:pPr>
        <w:numPr>
          <w:ilvl w:val="0"/>
          <w:numId w:val="1017"/>
        </w:numPr>
        <w:pStyle w:val="Compact"/>
      </w:pPr>
      <w:r>
        <w:t xml:space="preserve">V.B. Deshmukh 2011</w:t>
      </w:r>
    </w:p>
    <w:p>
      <w:pPr>
        <w:numPr>
          <w:ilvl w:val="0"/>
          <w:numId w:val="1017"/>
        </w:numPr>
        <w:pStyle w:val="Compact"/>
      </w:pPr>
      <w:r>
        <w:t xml:space="preserve">Wu, Kouretzis, Suwal, Sloan 2019</w:t>
      </w:r>
    </w:p>
    <w:p>
      <w:pPr>
        <w:numPr>
          <w:ilvl w:val="0"/>
          <w:numId w:val="1017"/>
        </w:numPr>
        <w:pStyle w:val="Compact"/>
      </w:pPr>
      <w:r>
        <w:t xml:space="preserve">Mary Schafer, Santana Phani Gopal Madabhushi 2019</w:t>
      </w:r>
    </w:p>
    <w:bookmarkEnd w:id="146"/>
    <w:bookmarkEnd w:id="147"/>
    <w:bookmarkStart w:id="148" w:name="numerical-analysis"/>
    <w:p>
      <w:pPr>
        <w:pStyle w:val="Heading3"/>
      </w:pPr>
      <w:r>
        <w:rPr>
          <w:rStyle w:val="SectionNumber"/>
        </w:rPr>
        <w:t xml:space="preserve">11.0.2</w:t>
      </w:r>
      <w:r>
        <w:tab/>
      </w:r>
      <w:r>
        <w:t xml:space="preserve">Numerical Analysis</w:t>
      </w:r>
    </w:p>
    <w:p>
      <w:pPr>
        <w:numPr>
          <w:ilvl w:val="0"/>
          <w:numId w:val="1018"/>
        </w:numPr>
        <w:pStyle w:val="Compact"/>
      </w:pPr>
      <w:r>
        <w:t xml:space="preserve">D.V. Griffiths 1993</w:t>
      </w:r>
    </w:p>
    <w:p>
      <w:pPr>
        <w:numPr>
          <w:ilvl w:val="0"/>
          <w:numId w:val="1018"/>
        </w:numPr>
        <w:pStyle w:val="Compact"/>
      </w:pPr>
      <w:r>
        <w:t xml:space="preserve">Lyamin 2002</w:t>
      </w:r>
    </w:p>
    <w:p>
      <w:pPr>
        <w:numPr>
          <w:ilvl w:val="0"/>
          <w:numId w:val="1018"/>
        </w:numPr>
        <w:pStyle w:val="Compact"/>
      </w:pPr>
      <w:r>
        <w:t xml:space="preserve">Krabbenhoft, Lyamin, Sloan 2006</w:t>
      </w:r>
    </w:p>
    <w:p>
      <w:pPr>
        <w:numPr>
          <w:ilvl w:val="0"/>
          <w:numId w:val="1018"/>
        </w:numPr>
        <w:pStyle w:val="Compact"/>
      </w:pPr>
      <w:r>
        <w:t xml:space="preserve">J Kumar 2008</w:t>
      </w:r>
    </w:p>
    <w:p>
      <w:pPr>
        <w:numPr>
          <w:ilvl w:val="0"/>
          <w:numId w:val="1018"/>
        </w:numPr>
        <w:pStyle w:val="Compact"/>
      </w:pPr>
      <w:r>
        <w:t xml:space="preserve">Bobet 2010</w:t>
      </w:r>
    </w:p>
    <w:p>
      <w:pPr>
        <w:numPr>
          <w:ilvl w:val="0"/>
          <w:numId w:val="1018"/>
        </w:numPr>
        <w:pStyle w:val="Compact"/>
      </w:pPr>
      <w:r>
        <w:t xml:space="preserve">Ahmed M. Fahmy, John R. de Bruyn 2013</w:t>
      </w:r>
    </w:p>
    <w:p>
      <w:pPr>
        <w:numPr>
          <w:ilvl w:val="0"/>
          <w:numId w:val="1018"/>
        </w:numPr>
        <w:pStyle w:val="Compact"/>
      </w:pPr>
      <w:r>
        <w:t xml:space="preserve">Chong Tang, Kim-Chuan Toh, Kok-Kwang Phoon, 2014</w:t>
      </w:r>
    </w:p>
    <w:p>
      <w:pPr>
        <w:numPr>
          <w:ilvl w:val="0"/>
          <w:numId w:val="1018"/>
        </w:numPr>
        <w:pStyle w:val="Compact"/>
      </w:pPr>
      <w:r>
        <w:t xml:space="preserve">Arya Das, and Ashis Kumar Bera 2019</w:t>
      </w:r>
    </w:p>
    <w:bookmarkEnd w:id="148"/>
    <w:bookmarkStart w:id="149" w:name="standards"/>
    <w:p>
      <w:pPr>
        <w:pStyle w:val="Heading3"/>
      </w:pPr>
      <w:r>
        <w:rPr>
          <w:rStyle w:val="SectionNumber"/>
        </w:rPr>
        <w:t xml:space="preserve">11.0.3</w:t>
      </w:r>
      <w:r>
        <w:tab/>
      </w:r>
      <w:r>
        <w:t xml:space="preserve">Standards</w:t>
      </w:r>
    </w:p>
    <w:p>
      <w:pPr>
        <w:numPr>
          <w:ilvl w:val="0"/>
          <w:numId w:val="1019"/>
        </w:numPr>
        <w:pStyle w:val="Compact"/>
      </w:pPr>
      <w:r>
        <w:t xml:space="preserve">IEEE 2001</w:t>
      </w:r>
    </w:p>
    <w:p>
      <w:pPr>
        <w:numPr>
          <w:ilvl w:val="0"/>
          <w:numId w:val="1019"/>
        </w:numPr>
        <w:pStyle w:val="Compact"/>
      </w:pPr>
      <w:r>
        <w:t xml:space="preserve">EPRI TR-105206 1995</w:t>
      </w:r>
    </w:p>
    <w:p>
      <w:pPr>
        <w:numPr>
          <w:ilvl w:val="0"/>
          <w:numId w:val="1019"/>
        </w:numPr>
        <w:pStyle w:val="Compact"/>
      </w:pPr>
      <w:r>
        <w:t xml:space="preserve">DS 1110, DS 1111 2013</w:t>
      </w:r>
    </w:p>
    <w:bookmarkEnd w:id="149"/>
    <w:bookmarkStart w:id="150" w:name="textbook"/>
    <w:p>
      <w:pPr>
        <w:pStyle w:val="Heading3"/>
      </w:pPr>
      <w:r>
        <w:rPr>
          <w:rStyle w:val="SectionNumber"/>
        </w:rPr>
        <w:t xml:space="preserve">11.0.4</w:t>
      </w:r>
      <w:r>
        <w:tab/>
      </w:r>
      <w:r>
        <w:t xml:space="preserve">Textbook</w:t>
      </w:r>
    </w:p>
    <w:p>
      <w:pPr>
        <w:numPr>
          <w:ilvl w:val="0"/>
          <w:numId w:val="1020"/>
        </w:numPr>
        <w:pStyle w:val="Compact"/>
      </w:pPr>
      <w:r>
        <w:t xml:space="preserve">R. Hill The Mathematical Theory of Plasticity 1950</w:t>
      </w:r>
    </w:p>
    <w:p>
      <w:pPr>
        <w:numPr>
          <w:ilvl w:val="0"/>
          <w:numId w:val="1020"/>
        </w:numPr>
        <w:pStyle w:val="Compact"/>
      </w:pPr>
      <w:r>
        <w:t xml:space="preserve">W.F. Chen Limit Analysis and Soil Plasticity 1975</w:t>
      </w:r>
    </w:p>
    <w:p>
      <w:pPr>
        <w:numPr>
          <w:ilvl w:val="0"/>
          <w:numId w:val="1020"/>
        </w:numPr>
        <w:pStyle w:val="Compact"/>
      </w:pPr>
      <w:r>
        <w:t xml:space="preserve">W.F. Chen Limit Analysis in Soil Mechanics 1990</w:t>
      </w:r>
    </w:p>
    <w:p>
      <w:pPr>
        <w:numPr>
          <w:ilvl w:val="0"/>
          <w:numId w:val="1020"/>
        </w:numPr>
        <w:pStyle w:val="Compact"/>
      </w:pPr>
      <w:r>
        <w:t xml:space="preserve">David M. Potts, and Lidija Zdravkovic FSAFEM book 1, FEA in Geotechnical Engineering 1999</w:t>
      </w:r>
    </w:p>
    <w:p>
      <w:pPr>
        <w:numPr>
          <w:ilvl w:val="0"/>
          <w:numId w:val="1020"/>
        </w:numPr>
        <w:pStyle w:val="Compact"/>
      </w:pPr>
      <w:r>
        <w:t xml:space="preserve">Das, B. M. Earth Anchors 2013</w:t>
      </w:r>
    </w:p>
    <w:bookmarkEnd w:id="150"/>
    <w:bookmarkStart w:id="151" w:name="ph.d-thesis"/>
    <w:p>
      <w:pPr>
        <w:pStyle w:val="Heading3"/>
      </w:pPr>
      <w:r>
        <w:rPr>
          <w:rStyle w:val="SectionNumber"/>
        </w:rPr>
        <w:t xml:space="preserve">11.0.5</w:t>
      </w:r>
      <w:r>
        <w:tab/>
      </w:r>
      <w:r>
        <w:t xml:space="preserve">Ph.D Thesis</w:t>
      </w:r>
    </w:p>
    <w:p>
      <w:pPr>
        <w:numPr>
          <w:ilvl w:val="0"/>
          <w:numId w:val="1021"/>
        </w:numPr>
        <w:pStyle w:val="Compact"/>
      </w:pPr>
      <w:r>
        <w:t xml:space="preserve">Charles Hughey Evans 1983</w:t>
      </w:r>
    </w:p>
    <w:p>
      <w:pPr>
        <w:numPr>
          <w:ilvl w:val="0"/>
          <w:numId w:val="1021"/>
        </w:numPr>
        <w:pStyle w:val="Compact"/>
      </w:pPr>
      <w:r>
        <w:t xml:space="preserve">M.O. Fadl 1981</w:t>
      </w:r>
    </w:p>
    <w:p>
      <w:pPr>
        <w:numPr>
          <w:ilvl w:val="0"/>
          <w:numId w:val="1021"/>
        </w:numPr>
        <w:pStyle w:val="Compact"/>
      </w:pPr>
      <w:r>
        <w:t xml:space="preserve">Peter Jay Bosscher 1981</w:t>
      </w:r>
    </w:p>
    <w:p>
      <w:pPr>
        <w:numPr>
          <w:ilvl w:val="0"/>
          <w:numId w:val="1021"/>
        </w:numPr>
        <w:pStyle w:val="Compact"/>
      </w:pPr>
      <w:r>
        <w:t xml:space="preserve">Abdelmalek Bouazza 1990</w:t>
      </w:r>
    </w:p>
    <w:p>
      <w:pPr>
        <w:numPr>
          <w:ilvl w:val="0"/>
          <w:numId w:val="1021"/>
        </w:numPr>
        <w:pStyle w:val="Compact"/>
      </w:pPr>
      <w:r>
        <w:t xml:space="preserve">D.V. Griffiths 1993</w:t>
      </w:r>
    </w:p>
    <w:p>
      <w:pPr>
        <w:numPr>
          <w:ilvl w:val="0"/>
          <w:numId w:val="1021"/>
        </w:numPr>
        <w:pStyle w:val="Compact"/>
      </w:pPr>
      <w:r>
        <w:t xml:space="preserve">Ahmed Mohmed Ebid 2004</w:t>
      </w:r>
    </w:p>
    <w:p>
      <w:pPr>
        <w:numPr>
          <w:ilvl w:val="0"/>
          <w:numId w:val="1021"/>
        </w:numPr>
        <w:pStyle w:val="Compact"/>
      </w:pPr>
      <w:r>
        <w:t xml:space="preserve">Shentang Wang 2006</w:t>
      </w:r>
    </w:p>
    <w:p>
      <w:pPr>
        <w:numPr>
          <w:ilvl w:val="0"/>
          <w:numId w:val="1021"/>
        </w:numPr>
        <w:pStyle w:val="Compact"/>
      </w:pPr>
      <w:r>
        <w:t xml:space="preserve">Vivek Balwantrao Deshmukh 2010</w:t>
      </w:r>
    </w:p>
    <w:p>
      <w:pPr>
        <w:numPr>
          <w:ilvl w:val="0"/>
          <w:numId w:val="1021"/>
        </w:numPr>
        <w:pStyle w:val="Compact"/>
      </w:pPr>
      <w:r>
        <w:t xml:space="preserve">Frederick Levy 2014</w:t>
      </w:r>
    </w:p>
    <w:p>
      <w:pPr>
        <w:numPr>
          <w:ilvl w:val="0"/>
          <w:numId w:val="1021"/>
        </w:numPr>
        <w:pStyle w:val="Compact"/>
      </w:pPr>
      <w:r>
        <w:t xml:space="preserve">Jeremy Bleyer 2016</w:t>
      </w:r>
    </w:p>
    <w:bookmarkEnd w:id="151"/>
    <w:bookmarkStart w:id="152" w:name="awarded-lectures"/>
    <w:p>
      <w:pPr>
        <w:pStyle w:val="Heading3"/>
      </w:pPr>
      <w:r>
        <w:rPr>
          <w:rStyle w:val="SectionNumber"/>
        </w:rPr>
        <w:t xml:space="preserve">11.0.6</w:t>
      </w:r>
      <w:r>
        <w:tab/>
      </w:r>
      <w:r>
        <w:t xml:space="preserve">Awarded Lectures</w:t>
      </w:r>
    </w:p>
    <w:p>
      <w:pPr>
        <w:numPr>
          <w:ilvl w:val="0"/>
          <w:numId w:val="1022"/>
        </w:numPr>
        <w:pStyle w:val="Compact"/>
      </w:pPr>
      <w:r>
        <w:t xml:space="preserve">Sloan</w:t>
      </w:r>
    </w:p>
    <w:p>
      <w:pPr>
        <w:numPr>
          <w:ilvl w:val="0"/>
          <w:numId w:val="1022"/>
        </w:numPr>
        <w:pStyle w:val="Compact"/>
      </w:pPr>
      <w:r>
        <w:t xml:space="preserve">Houlsby</w:t>
      </w:r>
    </w:p>
    <w:p>
      <w:pPr>
        <w:numPr>
          <w:ilvl w:val="0"/>
          <w:numId w:val="1022"/>
        </w:numPr>
        <w:pStyle w:val="Compact"/>
      </w:pPr>
      <w:r>
        <w:t xml:space="preserve">Sutherland</w:t>
      </w:r>
    </w:p>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1">
    <w:nsid w:val="b3cbbdee"/>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134" Target="media/rId134.png" /><Relationship Type="http://schemas.openxmlformats.org/officeDocument/2006/relationships/image" Id="rId22" Target="media/rId22.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114" Target="media/rId114.png" /><Relationship Type="http://schemas.openxmlformats.org/officeDocument/2006/relationships/image" Id="rId61" Target="media/rId61.png" /><Relationship Type="http://schemas.openxmlformats.org/officeDocument/2006/relationships/image" Id="rId102" Target="media/rId102.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119" Target="media/rId119.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hyperlink" Id="rId136" Target="../../../../../common/docproject/utilities/types.html#type:str" TargetMode="External" /><Relationship Type="http://schemas.openxmlformats.org/officeDocument/2006/relationships/hyperlink" Id="rId139" Target="../../../../../common/docproject/utilities/types.html#type:sym" TargetMode="External" /><Relationship Type="http://schemas.openxmlformats.org/officeDocument/2006/relationships/hyperlink" Id="rId135" Target="../../../../sel/doc/manual/sel_manual/cables/commands/cable_commands.html#sel-cable-commands" TargetMode="External" /><Relationship Type="http://schemas.openxmlformats.org/officeDocument/2006/relationships/hyperlink" Id="rId138" Target="../../../../sel/doc/manual/sel_manual/piles/commands/cmd_structure.pile.property.html#kwd:structure.pile.property.rockbolt-flag" TargetMode="External" /><Relationship Type="http://schemas.openxmlformats.org/officeDocument/2006/relationships/hyperlink" Id="rId137" Target="../../../../sel/doc/manual/sel_manual/piles/commands/pile_commands.html#sel-pile-commands" TargetMode="External" /><Relationship Type="http://schemas.openxmlformats.org/officeDocument/2006/relationships/hyperlink" Id="rId140" Target="../../../../sel/doc/manual/sel_manual/piles/piles.html#pile-shear-coupling-springs" TargetMode="External" /><Relationship Type="http://schemas.openxmlformats.org/officeDocument/2006/relationships/hyperlink" Id="rId141" Target=".html#pulltest-pile5" TargetMode="External" /><Relationship Type="http://schemas.openxmlformats.org/officeDocument/2006/relationships/hyperlink" Id="rId112" Target="example:\" TargetMode="External" /><Relationship Type="http://schemas.openxmlformats.org/officeDocument/2006/relationships/hyperlink" Id="rId111" Target="example:\\" TargetMode="External" /></Relationships>
</file>

<file path=word/_rels/footnotes.xml.rels><?xml version="1.0" encoding="UTF-8"?>
<Relationships xmlns="http://schemas.openxmlformats.org/package/2006/relationships"><Relationship Type="http://schemas.openxmlformats.org/officeDocument/2006/relationships/hyperlink" Id="rId136" Target="../../../../../common/docproject/utilities/types.html#type:str" TargetMode="External" /><Relationship Type="http://schemas.openxmlformats.org/officeDocument/2006/relationships/hyperlink" Id="rId139" Target="../../../../../common/docproject/utilities/types.html#type:sym" TargetMode="External" /><Relationship Type="http://schemas.openxmlformats.org/officeDocument/2006/relationships/hyperlink" Id="rId135" Target="../../../../sel/doc/manual/sel_manual/cables/commands/cable_commands.html#sel-cable-commands" TargetMode="External" /><Relationship Type="http://schemas.openxmlformats.org/officeDocument/2006/relationships/hyperlink" Id="rId138" Target="../../../../sel/doc/manual/sel_manual/piles/commands/cmd_structure.pile.property.html#kwd:structure.pile.property.rockbolt-flag" TargetMode="External" /><Relationship Type="http://schemas.openxmlformats.org/officeDocument/2006/relationships/hyperlink" Id="rId137" Target="../../../../sel/doc/manual/sel_manual/piles/commands/pile_commands.html#sel-pile-commands" TargetMode="External" /><Relationship Type="http://schemas.openxmlformats.org/officeDocument/2006/relationships/hyperlink" Id="rId140" Target="../../../../sel/doc/manual/sel_manual/piles/piles.html#pile-shear-coupling-springs" TargetMode="External" /><Relationship Type="http://schemas.openxmlformats.org/officeDocument/2006/relationships/hyperlink" Id="rId141" Target=".html#pulltest-pile5" TargetMode="External" /><Relationship Type="http://schemas.openxmlformats.org/officeDocument/2006/relationships/hyperlink" Id="rId112" Target="example:\" TargetMode="External" /><Relationship Type="http://schemas.openxmlformats.org/officeDocument/2006/relationships/hyperlink" Id="rId111"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2021-09-24T04:33:27Z</dcterms:created>
  <dcterms:modified xsi:type="dcterms:W3CDTF">2021-09-24T04:33:27Z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