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ped5lzfl6oy" w:id="0"/>
      <w:bookmarkEnd w:id="0"/>
      <w:r w:rsidDel="00000000" w:rsidR="00000000" w:rsidRPr="00000000">
        <w:rPr>
          <w:rtl w:val="0"/>
        </w:rPr>
        <w:t xml:space="preserve">Adding a New Service</w:t>
      </w:r>
    </w:p>
    <w:p w:rsidR="00000000" w:rsidDel="00000000" w:rsidP="00000000" w:rsidRDefault="00000000" w:rsidRPr="00000000" w14:paraId="00000002">
      <w:pPr>
        <w:rPr/>
      </w:pPr>
      <w:r w:rsidDel="00000000" w:rsidR="00000000" w:rsidRPr="00000000">
        <w:rPr>
          <w:rtl w:val="0"/>
        </w:rPr>
        <w:t xml:space="preserve">Adding a new service to the application is quite straight forward.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First begin by opening the services controller file. This file contains all of the service methods that the application handles.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Write the code for the new service, ensuring that the routes are configured correctly and any inputs are parameterized within curly braces “{param}”.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If input parameters are not configured like this, the client application will not be able to send parameters to the service when making a request.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Make note of the variable names for the input parameters. This will be important when publishing the new service to the registry.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Once the new service has been written and configured, run the ServicePublisher console application. This will open an interface that will allow you to publish the new service.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Ensure that the authenticator application is also running. The authenticator is needed to publish new services.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registry web api must also be running in order for services to be published.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If required, register as a new user, or login directly with username: “admin”, password: “admin”. Registering as a new user does not log you in automatically, so you will be required to select the login option following a successful registration in order to publish services.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Once login is successful, select the publish option from the interface. Selecting this option will guide you through the information required to publish a new endpoint.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name and description of the endpoint can be entered as anything relevant to the new service, however the endpoint address must match the route of the new service exactly, including the wrapped parameters “{param}“</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number of parameters must also match the exact number of parameters sent to the endpoint.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parameter type is not as important, however may become crucial with further development.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Once all of the required information is entered, the application will automatically publish the new service to the registry. You will be notified if publish has been successful.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client will automatically be able to access the new service and no further programming is required.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Congratulations, you have just published a new service!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ggxcp1m4olvf" w:id="1"/>
      <w:bookmarkEnd w:id="1"/>
      <w:r w:rsidDel="00000000" w:rsidR="00000000" w:rsidRPr="00000000">
        <w:rPr>
          <w:rtl w:val="0"/>
        </w:rPr>
        <w:t xml:space="preserve">Division of Workload</w:t>
      </w:r>
    </w:p>
    <w:p w:rsidR="00000000" w:rsidDel="00000000" w:rsidP="00000000" w:rsidRDefault="00000000" w:rsidRPr="00000000" w14:paraId="00000015">
      <w:pPr>
        <w:rPr/>
      </w:pPr>
      <w:r w:rsidDel="00000000" w:rsidR="00000000" w:rsidRPr="00000000">
        <w:rPr>
          <w:rtl w:val="0"/>
        </w:rPr>
        <w:t xml:space="preserve">This assignment was to be originally completed as a part of a group, however the other person I was in a group with dropped the unit just before the assignment was due. They had done some work on the assignment already, however it was unsatisfactory and deviated from the tasks that the assignment brief requested. As such, I have written and completed this entire assignment by myself.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