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d66730c54baa40fe8b76246a1502d77e8e27926"/>
    <w:p>
      <w:pPr>
        <w:pStyle w:val="Heading1"/>
      </w:pPr>
      <w:r>
        <w:t xml:space="preserve">Entiat Wild Steelhead Overshoot Analysis — Results Summary</w:t>
      </w:r>
    </w:p>
    <w:p>
      <w:pPr>
        <w:pStyle w:val="FirstParagraph"/>
      </w:pPr>
      <w:r>
        <w:rPr>
          <w:bCs/>
          <w:b/>
        </w:rPr>
        <w:t xml:space="preserve">Date:</w:t>
      </w:r>
      <w:r>
        <w:t xml:space="preserve"> </w:t>
      </w:r>
      <w:r>
        <w:t xml:space="preserve">April 2026</w:t>
      </w:r>
      <w:r>
        <w:br/>
      </w:r>
      <w:r>
        <w:rPr>
          <w:bCs/>
          <w:b/>
        </w:rPr>
        <w:t xml:space="preserve">Analyst:</w:t>
      </w:r>
      <w:r>
        <w:t xml:space="preserve"> </w:t>
      </w:r>
      <w:r>
        <w:t xml:space="preserve">Chas Kyger</w:t>
      </w:r>
    </w:p>
    <w:p>
      <w:r>
        <w:pict>
          <v:rect style="width:0;height:1.5pt" o:hralign="center" o:hrstd="t" o:hr="t"/>
        </w:pict>
      </w:r>
    </w:p>
    <w:bookmarkStart w:id="20" w:name="overview"/>
    <w:p>
      <w:pPr>
        <w:pStyle w:val="Heading2"/>
      </w:pPr>
      <w:r>
        <w:t xml:space="preserve">Overview</w:t>
      </w:r>
    </w:p>
    <w:p>
      <w:pPr>
        <w:pStyle w:val="FirstParagraph"/>
      </w:pPr>
      <w:r>
        <w:t xml:space="preserve">This analysis tests whether wild Entiat steelhead that interact with Wells Dam (overshoot past Rocky Reach Dam and are subsequently detected at Wells Dam) have a reduced probability of returning to the Entiat River subbasin to spawn. Data span return years 2006–2025 using PIT tag detections from PTAGIS.</w:t>
      </w:r>
    </w:p>
    <w:p>
      <w:r>
        <w:pict>
          <v:rect style="width:0;height:1.5pt" o:hralign="center" o:hrstd="t" o:hr="t"/>
        </w:pict>
      </w:r>
    </w:p>
    <w:bookmarkEnd w:id="20"/>
    <w:bookmarkStart w:id="21" w:name="study-design"/>
    <w:p>
      <w:pPr>
        <w:pStyle w:val="Heading2"/>
      </w:pPr>
      <w:r>
        <w:t xml:space="preserve">Study Design</w:t>
      </w:r>
    </w:p>
    <w:p>
      <w:pPr>
        <w:pStyle w:val="FirstParagraph"/>
      </w:pPr>
      <w:r>
        <w:rPr>
          <w:bCs/>
          <w:b/>
        </w:rPr>
        <w:t xml:space="preserve">Anchor event:</w:t>
      </w:r>
      <w:r>
        <w:t xml:space="preserve"> </w:t>
      </w:r>
      <w:r>
        <w:t xml:space="preserve">First Rocky Reach adult fishway (RRF) detection per fish in July–December (fall) or January–May (spring). Two fish with confirmed adult returns that were missed by RRF detection (detected at Priest Rapids and Rock Island adult ladders) were anchored to their Priest Rapids detection date.</w:t>
      </w:r>
    </w:p>
    <w:p>
      <w:pPr>
        <w:pStyle w:val="BodyText"/>
      </w:pPr>
      <w:r>
        <w:rPr>
          <w:bCs/>
          <w:b/>
        </w:rPr>
        <w:t xml:space="preserve">Group assignment:</w:t>
      </w:r>
    </w:p>
    <w:p>
      <w:pPr>
        <w:numPr>
          <w:ilvl w:val="0"/>
          <w:numId w:val="1001"/>
        </w:numPr>
        <w:pStyle w:val="Compact"/>
      </w:pPr>
      <w:r>
        <w:rPr>
          <w:bCs/>
          <w:b/>
        </w:rPr>
        <w:t xml:space="preserve">Group A</w:t>
      </w:r>
      <w:r>
        <w:t xml:space="preserve"> </w:t>
      </w:r>
      <w:r>
        <w:t xml:space="preserve">(n = 223): No Wells Dam detection following RRF anchor</w:t>
      </w:r>
    </w:p>
    <w:p>
      <w:pPr>
        <w:numPr>
          <w:ilvl w:val="0"/>
          <w:numId w:val="1001"/>
        </w:numPr>
        <w:pStyle w:val="Compact"/>
      </w:pPr>
      <w:r>
        <w:rPr>
          <w:bCs/>
          <w:b/>
        </w:rPr>
        <w:t xml:space="preserve">Group B</w:t>
      </w:r>
      <w:r>
        <w:t xml:space="preserve"> </w:t>
      </w:r>
      <w:r>
        <w:t xml:space="preserve">(n = 181): Wells Dam detection following RRF anchor; last detection not in Methow or Okanogan subbasin</w:t>
      </w:r>
    </w:p>
    <w:p>
      <w:pPr>
        <w:pStyle w:val="FirstParagraph"/>
      </w:pPr>
      <w:r>
        <w:t xml:space="preserve">Fish whose last post-anchor detection was in the Methow or Okanogan subbasin were excluded as strays.</w:t>
      </w:r>
    </w:p>
    <w:p>
      <w:pPr>
        <w:pStyle w:val="BodyText"/>
      </w:pPr>
      <w:r>
        <w:rPr>
          <w:bCs/>
          <w:b/>
        </w:rPr>
        <w:t xml:space="preserve">Return seasons:</w:t>
      </w:r>
      <w:r>
        <w:t xml:space="preserve"> </w:t>
      </w:r>
      <w:r>
        <w:t xml:space="preserve">395 fall (July–December RRF), 9 spring (January–May RRF). All Group B fish are fall returners; all 9 spring fish are Group A.</w:t>
      </w:r>
    </w:p>
    <w:p>
      <w:pPr>
        <w:pStyle w:val="BodyText"/>
      </w:pPr>
      <w:r>
        <w:rPr>
          <w:bCs/>
          <w:b/>
        </w:rPr>
        <w:t xml:space="preserve">Return years:</w:t>
      </w:r>
      <w:r>
        <w:t xml:space="preserve"> </w:t>
      </w:r>
      <w:r>
        <w:t xml:space="preserve">2006–2025 (20 years)</w:t>
      </w:r>
    </w:p>
    <w:p>
      <w:pPr>
        <w:pStyle w:val="BodyText"/>
      </w:pPr>
      <w:r>
        <w:rPr>
          <w:bCs/>
          <w:b/>
        </w:rPr>
        <w:t xml:space="preserve">Harvest status:</w:t>
      </w:r>
      <w:r>
        <w:t xml:space="preserve"> </w:t>
      </w:r>
      <w:r>
        <w:t xml:space="preserve">Tributary harvest was open 2006–2015 and 2024–2025; closed 2016–2023.</w:t>
      </w:r>
    </w:p>
    <w:p>
      <w:r>
        <w:pict>
          <v:rect style="width:0;height:1.5pt" o:hralign="center" o:hrstd="t" o:hr="t"/>
        </w:pict>
      </w:r>
    </w:p>
    <w:bookmarkEnd w:id="21"/>
    <w:bookmarkStart w:id="24" w:name="outcome-definitions"/>
    <w:p>
      <w:pPr>
        <w:pStyle w:val="Heading2"/>
      </w:pPr>
      <w:r>
        <w:t xml:space="preserve">Outcome Definitions</w:t>
      </w:r>
    </w:p>
    <w:bookmarkStart w:id="22" w:name="original-outcome-entiatdetected"/>
    <w:p>
      <w:pPr>
        <w:pStyle w:val="Heading3"/>
      </w:pPr>
      <w:r>
        <w:t xml:space="preserve">Original outcome: EntiatDetected</w:t>
      </w:r>
    </w:p>
    <w:p>
      <w:pPr>
        <w:pStyle w:val="FirstParagraph"/>
      </w:pPr>
      <w:r>
        <w:t xml:space="preserve">Any detection at any Entiat River subbasin antenna following the RRF anchor, with no time restriction.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n</w:t>
            </w:r>
          </w:p>
        </w:tc>
        <w:tc>
          <w:tcPr/>
          <w:p>
            <w:pPr>
              <w:pStyle w:val="Compact"/>
              <w:jc w:val="left"/>
            </w:pPr>
            <w:r>
              <w:t xml:space="preserve">Detected</w:t>
            </w:r>
          </w:p>
        </w:tc>
        <w:tc>
          <w:tcPr/>
          <w:p>
            <w:pPr>
              <w:pStyle w:val="Compact"/>
              <w:jc w:val="left"/>
            </w:pPr>
            <w:r>
              <w:t xml:space="preserve">Rate</w:t>
            </w:r>
          </w:p>
        </w:tc>
      </w:tr>
      <w:tr>
        <w:tc>
          <w:tcPr/>
          <w:p>
            <w:pPr>
              <w:pStyle w:val="Compact"/>
              <w:jc w:val="left"/>
            </w:pPr>
            <w:r>
              <w:t xml:space="preserve">A (no Wells)</w:t>
            </w:r>
          </w:p>
        </w:tc>
        <w:tc>
          <w:tcPr/>
          <w:p>
            <w:pPr>
              <w:pStyle w:val="Compact"/>
              <w:jc w:val="left"/>
            </w:pPr>
            <w:r>
              <w:t xml:space="preserve">223</w:t>
            </w:r>
          </w:p>
        </w:tc>
        <w:tc>
          <w:tcPr/>
          <w:p>
            <w:pPr>
              <w:pStyle w:val="Compact"/>
              <w:jc w:val="left"/>
            </w:pPr>
            <w:r>
              <w:t xml:space="preserve">200</w:t>
            </w:r>
          </w:p>
        </w:tc>
        <w:tc>
          <w:tcPr/>
          <w:p>
            <w:pPr>
              <w:pStyle w:val="Compact"/>
              <w:jc w:val="left"/>
            </w:pPr>
            <w:r>
              <w:t xml:space="preserve">89.7%</w:t>
            </w:r>
          </w:p>
        </w:tc>
      </w:tr>
      <w:tr>
        <w:tc>
          <w:tcPr/>
          <w:p>
            <w:pPr>
              <w:pStyle w:val="Compact"/>
              <w:jc w:val="left"/>
            </w:pPr>
            <w:r>
              <w:t xml:space="preserve">B (Wells)</w:t>
            </w:r>
          </w:p>
        </w:tc>
        <w:tc>
          <w:tcPr/>
          <w:p>
            <w:pPr>
              <w:pStyle w:val="Compact"/>
              <w:jc w:val="left"/>
            </w:pPr>
            <w:r>
              <w:t xml:space="preserve">181</w:t>
            </w:r>
          </w:p>
        </w:tc>
        <w:tc>
          <w:tcPr/>
          <w:p>
            <w:pPr>
              <w:pStyle w:val="Compact"/>
              <w:jc w:val="left"/>
            </w:pPr>
            <w:r>
              <w:t xml:space="preserve">123</w:t>
            </w:r>
          </w:p>
        </w:tc>
        <w:tc>
          <w:tcPr/>
          <w:p>
            <w:pPr>
              <w:pStyle w:val="Compact"/>
              <w:jc w:val="left"/>
            </w:pPr>
            <w:r>
              <w:t xml:space="preserve">68.0%</w:t>
            </w:r>
          </w:p>
        </w:tc>
      </w:tr>
    </w:tbl>
    <w:bookmarkEnd w:id="22"/>
    <w:bookmarkStart w:id="23" w:name="strict-outcome-entiatspawned"/>
    <w:p>
      <w:pPr>
        <w:pStyle w:val="Heading3"/>
      </w:pPr>
      <w:r>
        <w:t xml:space="preserve">Strict outcome: EntiatSpawned</w:t>
      </w:r>
    </w:p>
    <w:p>
      <w:pPr>
        <w:pStyle w:val="FirstParagraph"/>
      </w:pPr>
      <w:r>
        <w:t xml:space="preserve">A more conservative definition requiring evidence of reaching spawning habitat within 18 months of the RRF anchor:</w:t>
      </w:r>
    </w:p>
    <w:p>
      <w:pPr>
        <w:numPr>
          <w:ilvl w:val="0"/>
          <w:numId w:val="1002"/>
        </w:numPr>
        <w:pStyle w:val="Compact"/>
      </w:pPr>
      <w:r>
        <w:rPr>
          <w:bCs/>
          <w:b/>
        </w:rPr>
        <w:t xml:space="preserve">Fall returners:</w:t>
      </w:r>
      <w:r>
        <w:t xml:space="preserve"> </w:t>
      </w:r>
      <w:r>
        <w:t xml:space="preserve">Detection at ENL (Lower Entiat River, rkm 1–2) AND at least one upstream Entiat site, both within 18 months of anchor</w:t>
      </w:r>
    </w:p>
    <w:p>
      <w:pPr>
        <w:numPr>
          <w:ilvl w:val="0"/>
          <w:numId w:val="1002"/>
        </w:numPr>
        <w:pStyle w:val="Compact"/>
      </w:pPr>
      <w:r>
        <w:rPr>
          <w:bCs/>
          <w:b/>
        </w:rPr>
        <w:t xml:space="preserve">Spring returners:</w:t>
      </w:r>
      <w:r>
        <w:t xml:space="preserve"> </w:t>
      </w:r>
      <w:r>
        <w:t xml:space="preserve">Detection at ENL alone within 18 months of anchor</w:t>
      </w:r>
    </w:p>
    <w:p>
      <w:pPr>
        <w:pStyle w:val="FirstParagraph"/>
      </w:pPr>
      <w:r>
        <w:t xml:space="preserve">ENL-only fall fish are excluded because ENL is at the mouth of the Entiat with no spawning habitat below; brief or incomplete ENL detections in fall fish likely represent fish that entered but did not reach spawning grounds.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n</w:t>
            </w:r>
          </w:p>
        </w:tc>
        <w:tc>
          <w:tcPr/>
          <w:p>
            <w:pPr>
              <w:pStyle w:val="Compact"/>
              <w:jc w:val="left"/>
            </w:pPr>
            <w:r>
              <w:t xml:space="preserve">Spawned</w:t>
            </w:r>
          </w:p>
        </w:tc>
        <w:tc>
          <w:tcPr/>
          <w:p>
            <w:pPr>
              <w:pStyle w:val="Compact"/>
              <w:jc w:val="left"/>
            </w:pPr>
            <w:r>
              <w:t xml:space="preserve">Rate</w:t>
            </w:r>
          </w:p>
        </w:tc>
      </w:tr>
      <w:tr>
        <w:tc>
          <w:tcPr/>
          <w:p>
            <w:pPr>
              <w:pStyle w:val="Compact"/>
              <w:jc w:val="left"/>
            </w:pPr>
            <w:r>
              <w:t xml:space="preserve">A (no Wells)</w:t>
            </w:r>
          </w:p>
        </w:tc>
        <w:tc>
          <w:tcPr/>
          <w:p>
            <w:pPr>
              <w:pStyle w:val="Compact"/>
              <w:jc w:val="left"/>
            </w:pPr>
            <w:r>
              <w:t xml:space="preserve">223</w:t>
            </w:r>
          </w:p>
        </w:tc>
        <w:tc>
          <w:tcPr/>
          <w:p>
            <w:pPr>
              <w:pStyle w:val="Compact"/>
              <w:jc w:val="left"/>
            </w:pPr>
            <w:r>
              <w:t xml:space="preserve">134</w:t>
            </w:r>
          </w:p>
        </w:tc>
        <w:tc>
          <w:tcPr/>
          <w:p>
            <w:pPr>
              <w:pStyle w:val="Compact"/>
              <w:jc w:val="left"/>
            </w:pPr>
            <w:r>
              <w:t xml:space="preserve">60.1%</w:t>
            </w:r>
          </w:p>
        </w:tc>
      </w:tr>
      <w:tr>
        <w:tc>
          <w:tcPr/>
          <w:p>
            <w:pPr>
              <w:pStyle w:val="Compact"/>
              <w:jc w:val="left"/>
            </w:pPr>
            <w:r>
              <w:t xml:space="preserve">B (Wells)</w:t>
            </w:r>
          </w:p>
        </w:tc>
        <w:tc>
          <w:tcPr/>
          <w:p>
            <w:pPr>
              <w:pStyle w:val="Compact"/>
              <w:jc w:val="left"/>
            </w:pPr>
            <w:r>
              <w:t xml:space="preserve">181</w:t>
            </w:r>
          </w:p>
        </w:tc>
        <w:tc>
          <w:tcPr/>
          <w:p>
            <w:pPr>
              <w:pStyle w:val="Compact"/>
              <w:jc w:val="left"/>
            </w:pPr>
            <w:r>
              <w:t xml:space="preserve">86</w:t>
            </w:r>
          </w:p>
        </w:tc>
        <w:tc>
          <w:tcPr/>
          <w:p>
            <w:pPr>
              <w:pStyle w:val="Compact"/>
              <w:jc w:val="left"/>
            </w:pPr>
            <w:r>
              <w:t xml:space="preserve">47.5%</w:t>
            </w:r>
          </w:p>
        </w:tc>
      </w:tr>
    </w:tbl>
    <w:p>
      <w:r>
        <w:pict>
          <v:rect style="width:0;height:1.5pt" o:hralign="center" o:hrstd="t" o:hr="t"/>
        </w:pict>
      </w:r>
    </w:p>
    <w:bookmarkEnd w:id="23"/>
    <w:bookmarkEnd w:id="24"/>
    <w:bookmarkStart w:id="26" w:name="data-quality"/>
    <w:p>
      <w:pPr>
        <w:pStyle w:val="Heading2"/>
      </w:pPr>
      <w:r>
        <w:t xml:space="preserve">Data Quality</w:t>
      </w:r>
    </w:p>
    <w:bookmarkStart w:id="25" w:name="tag-reuse"/>
    <w:p>
      <w:pPr>
        <w:pStyle w:val="Heading3"/>
      </w:pPr>
      <w:r>
        <w:t xml:space="preserve">Tag reuse</w:t>
      </w:r>
    </w:p>
    <w:p>
      <w:pPr>
        <w:pStyle w:val="FirstParagraph"/>
      </w:pPr>
      <w:r>
        <w:t xml:space="preserve">Release-date checks (age at anchor = days from release to RRF / 365.25) identified three fish with anomalous detection histories. All three were reviewed against their complete PTAGIS detection records and retained with corrections:</w:t>
      </w:r>
    </w:p>
    <w:p>
      <w:pPr>
        <w:numPr>
          <w:ilvl w:val="0"/>
          <w:numId w:val="1003"/>
        </w:numPr>
        <w:pStyle w:val="Compact"/>
      </w:pPr>
      <w:r>
        <w:rPr>
          <w:bCs/>
          <w:b/>
        </w:rPr>
        <w:t xml:space="preserve">3D9.1C2C451B01</w:t>
      </w:r>
      <w:r>
        <w:t xml:space="preserve"> </w:t>
      </w:r>
      <w:r>
        <w:t xml:space="preserve">— Valid 2009 fall return (age at anchor 1.35 yr). A single 2017 ENS detection was confirmed as a data error and excluded from outcome scoring; EntiatDetected = 0.</w:t>
      </w:r>
    </w:p>
    <w:p>
      <w:pPr>
        <w:numPr>
          <w:ilvl w:val="0"/>
          <w:numId w:val="1003"/>
        </w:numPr>
        <w:pStyle w:val="Compact"/>
      </w:pPr>
      <w:r>
        <w:rPr>
          <w:bCs/>
          <w:b/>
        </w:rPr>
        <w:t xml:space="preserve">3D9.1C2CDD70AD</w:t>
      </w:r>
      <w:r>
        <w:t xml:space="preserve"> </w:t>
      </w:r>
      <w:r>
        <w:t xml:space="preserve">— Tagged as a juvenile smolt (age at anchor 0.27 yr from tagging to first RRF detection). Confirmed 2011 adult return via BON → MCN → PRA → RIA → ENL 2011-09-26; upstream Entiat detections spring 2012. Re-anchored to PRA 2011-09-17; EntiatSpawned = 1.</w:t>
      </w:r>
    </w:p>
    <w:p>
      <w:pPr>
        <w:numPr>
          <w:ilvl w:val="0"/>
          <w:numId w:val="1003"/>
        </w:numPr>
        <w:pStyle w:val="Compact"/>
      </w:pPr>
      <w:r>
        <w:rPr>
          <w:bCs/>
          <w:b/>
        </w:rPr>
        <w:t xml:space="preserve">3D9.1C2D45A06D</w:t>
      </w:r>
      <w:r>
        <w:t xml:space="preserve"> </w:t>
      </w:r>
      <w:r>
        <w:t xml:space="preserve">— Tagged at ENL as juvenile; RRF detection in 2010 was juvenile upstream passage. Confirmed 2012 adult return via BON → MCN → PRA → RIA; MAD/TLT/ENA detections spring 2013; kelt detected at RRJ April 2013. Re-anchored to PRA 2012-08-29; EntiatSpawned = 1.</w:t>
      </w:r>
    </w:p>
    <w:p>
      <w:r>
        <w:pict>
          <v:rect style="width:0;height:1.5pt" o:hralign="center" o:hrstd="t" o:hr="t"/>
        </w:pict>
      </w:r>
    </w:p>
    <w:bookmarkEnd w:id="25"/>
    <w:bookmarkEnd w:id="26"/>
    <w:bookmarkStart w:id="27" w:name="statistical-models"/>
    <w:p>
      <w:pPr>
        <w:pStyle w:val="Heading2"/>
      </w:pPr>
      <w:r>
        <w:t xml:space="preserve">Statistical Models</w:t>
      </w:r>
    </w:p>
    <w:p>
      <w:pPr>
        <w:pStyle w:val="FirstParagraph"/>
      </w:pPr>
      <w:r>
        <w:t xml:space="preserve">All models are Bayesian hierarchical logistic regressions fit with brms. All include a random intercept for return year (20 levels). MCMC: 4 chains × 3,000 post-warmup iterations (iter = 4,500, warmup = 1,500), adapt_delta = 0.95. Priors: Normal(0, 1.5) on all fixed effects; Exponential(1) on year SD.</w:t>
      </w:r>
    </w:p>
    <w:p>
      <w:pPr>
        <w:pStyle w:val="BodyText"/>
      </w:pPr>
      <w:r>
        <w:t xml:space="preserve">The detection-corrected models use a custom compound Bernoulli likelihood that accounts for imperfect ENL detection efficiency. For each fish, the probability of observing a spawning detection is modeled as π_obs = π_true × p_ENL, where p_ENL is the posterior mean predicted ENL detection efficiency from a separate Bayesian flow model (quadratic log-discharge + year random effect). Detection efficiency values were unavailable for 9 fish in the strict outcome models; those fish are excluded from detection-corrected model fits (n = 395).</w:t>
      </w:r>
    </w:p>
    <w:p>
      <w:r>
        <w:pict>
          <v:rect style="width:0;height:1.5pt" o:hralign="center" o:hrstd="t" o:hr="t"/>
        </w:pict>
      </w:r>
    </w:p>
    <w:bookmarkEnd w:id="27"/>
    <w:bookmarkStart w:id="38" w:name="results"/>
    <w:p>
      <w:pPr>
        <w:pStyle w:val="Heading2"/>
      </w:pPr>
      <w:r>
        <w:t xml:space="preserve">Results</w:t>
      </w:r>
    </w:p>
    <w:bookmarkStart w:id="32" w:name="original-outcome-entiatdetected-n-404"/>
    <w:p>
      <w:pPr>
        <w:pStyle w:val="Heading3"/>
      </w:pPr>
      <w:r>
        <w:t xml:space="preserve">Original Outcome (EntiatDetected, n = 404)</w:t>
      </w:r>
    </w:p>
    <w:bookmarkStart w:id="28" w:name="X04169c9c726589e9ca56bcd0eadfb1355ff466e"/>
    <w:p>
      <w:pPr>
        <w:pStyle w:val="Heading4"/>
      </w:pPr>
      <w:r>
        <w:t xml:space="preserve">Model 1: Wells interaction + harvest + year 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Wells (Group B)</w:t>
            </w:r>
          </w:p>
        </w:tc>
        <w:tc>
          <w:tcPr/>
          <w:p>
            <w:pPr>
              <w:pStyle w:val="Compact"/>
              <w:jc w:val="left"/>
            </w:pPr>
            <w:r>
              <w:t xml:space="preserve">−1.348</w:t>
            </w:r>
          </w:p>
        </w:tc>
        <w:tc>
          <w:tcPr/>
          <w:p>
            <w:pPr>
              <w:pStyle w:val="Compact"/>
              <w:jc w:val="left"/>
            </w:pPr>
            <w:r>
              <w:t xml:space="preserve">0.260</w:t>
            </w:r>
          </w:p>
        </w:tc>
        <w:tc>
          <w:tcPr/>
          <w:p>
            <w:pPr>
              <w:pStyle w:val="Compact"/>
              <w:jc w:val="left"/>
            </w:pPr>
            <w:r>
              <w:t xml:space="preserve">[−1.881, −0.834]</w:t>
            </w:r>
          </w:p>
        </w:tc>
        <w:tc>
          <w:tcPr/>
          <w:p>
            <w:pPr>
              <w:pStyle w:val="Compact"/>
              <w:jc w:val="left"/>
            </w:pPr>
            <w:r>
              <w:t xml:space="preserve">1.000</w:t>
            </w:r>
          </w:p>
        </w:tc>
      </w:tr>
    </w:tbl>
    <w:p>
      <w:pPr>
        <w:pStyle w:val="BodyText"/>
      </w:pPr>
      <w:r>
        <w:rPr>
          <w:bCs/>
          <w:b/>
        </w:rPr>
        <w:t xml:space="preserve">Model 1b</w:t>
      </w:r>
      <w:r>
        <w:t xml:space="preserve"> </w:t>
      </w:r>
      <w:r>
        <w:t xml:space="preserve">(wells + year RE, no harvest covariate): β = −1.354, OR = 0.258, CI [−1.886, −0.829], P(β &lt; 0) = 1.000. Results are nearly identical, confirming the Wells effect is not confounded by harvest timing.</w:t>
      </w:r>
    </w:p>
    <w:bookmarkEnd w:id="28"/>
    <w:bookmarkStart w:id="29" w:name="model-1c-detection-corrected"/>
    <w:p>
      <w:pPr>
        <w:pStyle w:val="Heading4"/>
      </w:pPr>
      <w:r>
        <w:t xml:space="preserve">Model 1c: Detection-corrected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Wells (Group B)</w:t>
            </w:r>
          </w:p>
        </w:tc>
        <w:tc>
          <w:tcPr/>
          <w:p>
            <w:pPr>
              <w:pStyle w:val="Compact"/>
              <w:jc w:val="left"/>
            </w:pPr>
            <w:r>
              <w:t xml:space="preserve">−1.836</w:t>
            </w:r>
          </w:p>
        </w:tc>
        <w:tc>
          <w:tcPr/>
          <w:p>
            <w:pPr>
              <w:pStyle w:val="Compact"/>
              <w:jc w:val="left"/>
            </w:pPr>
            <w:r>
              <w:t xml:space="preserve">0.160</w:t>
            </w:r>
          </w:p>
        </w:tc>
        <w:tc>
          <w:tcPr/>
          <w:p>
            <w:pPr>
              <w:pStyle w:val="Compact"/>
              <w:jc w:val="left"/>
            </w:pPr>
            <w:r>
              <w:t xml:space="preserve">[−2.737, −1.067]</w:t>
            </w:r>
          </w:p>
        </w:tc>
        <w:tc>
          <w:tcPr/>
          <w:p>
            <w:pPr>
              <w:pStyle w:val="Compact"/>
              <w:jc w:val="left"/>
            </w:pPr>
            <w:r>
              <w:t xml:space="preserve">1.000</w:t>
            </w:r>
          </w:p>
        </w:tc>
      </w:tr>
    </w:tbl>
    <w:p>
      <w:pPr>
        <w:pStyle w:val="BodyText"/>
      </w:pPr>
      <w:r>
        <w:t xml:space="preserve">Correcting for imperfect ENL detection efficiency strengthens the estimated effect, as expected.</w:t>
      </w:r>
    </w:p>
    <w:bookmarkEnd w:id="29"/>
    <w:bookmarkStart w:id="30" w:name="X83039f743236c6d3ce43f53ffb48cdef31fa384"/>
    <w:p>
      <w:pPr>
        <w:pStyle w:val="Heading4"/>
      </w:pPr>
      <w:r>
        <w:t xml:space="preserve">Model 1e: Season × Wells interaction (standard)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Season</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Fall</w:t>
            </w:r>
          </w:p>
        </w:tc>
        <w:tc>
          <w:tcPr/>
          <w:p>
            <w:pPr>
              <w:pStyle w:val="Compact"/>
              <w:jc w:val="left"/>
            </w:pPr>
            <w:r>
              <w:t xml:space="preserve">−1.402</w:t>
            </w:r>
          </w:p>
        </w:tc>
        <w:tc>
          <w:tcPr/>
          <w:p>
            <w:pPr>
              <w:pStyle w:val="Compact"/>
              <w:jc w:val="left"/>
            </w:pPr>
            <w:r>
              <w:t xml:space="preserve">0.246</w:t>
            </w:r>
          </w:p>
        </w:tc>
        <w:tc>
          <w:tcPr/>
          <w:p>
            <w:pPr>
              <w:pStyle w:val="Compact"/>
              <w:jc w:val="left"/>
            </w:pPr>
            <w:r>
              <w:t xml:space="preserve">[−1.952, −0.885]</w:t>
            </w:r>
          </w:p>
        </w:tc>
        <w:tc>
          <w:tcPr/>
          <w:p>
            <w:pPr>
              <w:pStyle w:val="Compact"/>
              <w:jc w:val="left"/>
            </w:pPr>
            <w:r>
              <w:t xml:space="preserve">1.000</w:t>
            </w:r>
          </w:p>
        </w:tc>
      </w:tr>
      <w:tr>
        <w:tc>
          <w:tcPr/>
          <w:p>
            <w:pPr>
              <w:pStyle w:val="Compact"/>
              <w:jc w:val="left"/>
            </w:pPr>
            <w:r>
              <w:t xml:space="preserve">Spring</w:t>
            </w:r>
          </w:p>
        </w:tc>
        <w:tc>
          <w:tcPr/>
          <w:p>
            <w:pPr>
              <w:pStyle w:val="Compact"/>
              <w:jc w:val="left"/>
            </w:pPr>
            <w:r>
              <w:t xml:space="preserve">−1.407</w:t>
            </w:r>
          </w:p>
        </w:tc>
        <w:tc>
          <w:tcPr/>
          <w:p>
            <w:pPr>
              <w:pStyle w:val="Compact"/>
              <w:jc w:val="left"/>
            </w:pPr>
            <w:r>
              <w:t xml:space="preserve">0.245</w:t>
            </w:r>
          </w:p>
        </w:tc>
        <w:tc>
          <w:tcPr/>
          <w:p>
            <w:pPr>
              <w:pStyle w:val="Compact"/>
              <w:jc w:val="left"/>
            </w:pPr>
            <w:r>
              <w:t xml:space="preserve">[−3.448, +0.651]</w:t>
            </w:r>
          </w:p>
        </w:tc>
        <w:tc>
          <w:tcPr/>
          <w:p>
            <w:pPr>
              <w:pStyle w:val="Compact"/>
              <w:jc w:val="left"/>
            </w:pPr>
            <w:r>
              <w:t xml:space="preserve">0.907</w:t>
            </w:r>
          </w:p>
        </w:tc>
      </w:tr>
      <w:tr>
        <w:tc>
          <w:tcPr/>
          <w:p>
            <w:pPr>
              <w:pStyle w:val="Compact"/>
              <w:jc w:val="left"/>
            </w:pPr>
            <w:r>
              <w:t xml:space="preserve">Interaction (spring − fall)</w:t>
            </w:r>
          </w:p>
        </w:tc>
        <w:tc>
          <w:tcPr/>
          <w:p>
            <w:pPr>
              <w:pStyle w:val="Compact"/>
              <w:jc w:val="left"/>
            </w:pPr>
            <w:r>
              <w:t xml:space="preserve">−0.006</w:t>
            </w:r>
          </w:p>
        </w:tc>
        <w:tc>
          <w:tcPr/>
          <w:p>
            <w:pPr>
              <w:pStyle w:val="Compact"/>
              <w:jc w:val="left"/>
            </w:pPr>
            <w:r>
              <w:t xml:space="preserve">—</w:t>
            </w:r>
          </w:p>
        </w:tc>
        <w:tc>
          <w:tcPr/>
          <w:p>
            <w:pPr>
              <w:pStyle w:val="Compact"/>
              <w:jc w:val="left"/>
            </w:pPr>
            <w:r>
              <w:t xml:space="preserve">[−1.979, +1.975]</w:t>
            </w:r>
          </w:p>
        </w:tc>
        <w:tc>
          <w:tcPr/>
          <w:p>
            <w:pPr>
              <w:pStyle w:val="Compact"/>
              <w:jc w:val="left"/>
            </w:pPr>
            <w:r>
              <w:t xml:space="preserve">—</w:t>
            </w:r>
          </w:p>
        </w:tc>
      </w:tr>
    </w:tbl>
    <w:p>
      <w:pPr>
        <w:pStyle w:val="BodyText"/>
      </w:pPr>
      <w:r>
        <w:t xml:space="preserve">The season interaction is negligible and the CI spans zero completely, though the spring estimate is imprecise (n = 9 spring fish, all Group A; spring Wells effect is unidentifiable from data).</w:t>
      </w:r>
    </w:p>
    <w:bookmarkEnd w:id="30"/>
    <w:bookmarkStart w:id="31" w:name="X64453373198215c8c836470b39dd894906a65ee"/>
    <w:p>
      <w:pPr>
        <w:pStyle w:val="Heading4"/>
      </w:pPr>
      <w:r>
        <w:t xml:space="preserve">Model 1f: Season × Wells interaction (detection-corrected)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Season</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Fall</w:t>
            </w:r>
          </w:p>
        </w:tc>
        <w:tc>
          <w:tcPr/>
          <w:p>
            <w:pPr>
              <w:pStyle w:val="Compact"/>
              <w:jc w:val="left"/>
            </w:pPr>
            <w:r>
              <w:t xml:space="preserve">−1.831</w:t>
            </w:r>
          </w:p>
        </w:tc>
        <w:tc>
          <w:tcPr/>
          <w:p>
            <w:pPr>
              <w:pStyle w:val="Compact"/>
              <w:jc w:val="left"/>
            </w:pPr>
            <w:r>
              <w:t xml:space="preserve">0.160</w:t>
            </w:r>
          </w:p>
        </w:tc>
        <w:tc>
          <w:tcPr/>
          <w:p>
            <w:pPr>
              <w:pStyle w:val="Compact"/>
              <w:jc w:val="left"/>
            </w:pPr>
            <w:r>
              <w:t xml:space="preserve">[−2.708, −1.076]</w:t>
            </w:r>
          </w:p>
        </w:tc>
        <w:tc>
          <w:tcPr/>
          <w:p>
            <w:pPr>
              <w:pStyle w:val="Compact"/>
              <w:jc w:val="left"/>
            </w:pPr>
            <w:r>
              <w:t xml:space="preserve">1.000</w:t>
            </w:r>
          </w:p>
        </w:tc>
      </w:tr>
      <w:tr>
        <w:tc>
          <w:tcPr/>
          <w:p>
            <w:pPr>
              <w:pStyle w:val="Compact"/>
              <w:jc w:val="left"/>
            </w:pPr>
            <w:r>
              <w:t xml:space="preserve">Spring</w:t>
            </w:r>
          </w:p>
        </w:tc>
        <w:tc>
          <w:tcPr/>
          <w:p>
            <w:pPr>
              <w:pStyle w:val="Compact"/>
              <w:jc w:val="left"/>
            </w:pPr>
            <w:r>
              <w:t xml:space="preserve">−1.835</w:t>
            </w:r>
          </w:p>
        </w:tc>
        <w:tc>
          <w:tcPr/>
          <w:p>
            <w:pPr>
              <w:pStyle w:val="Compact"/>
              <w:jc w:val="left"/>
            </w:pPr>
            <w:r>
              <w:t xml:space="preserve">0.160</w:t>
            </w:r>
          </w:p>
        </w:tc>
        <w:tc>
          <w:tcPr/>
          <w:p>
            <w:pPr>
              <w:pStyle w:val="Compact"/>
              <w:jc w:val="left"/>
            </w:pPr>
            <w:r>
              <w:t xml:space="preserve">[−3.990, +0.278]</w:t>
            </w:r>
          </w:p>
        </w:tc>
        <w:tc>
          <w:tcPr/>
          <w:p>
            <w:pPr>
              <w:pStyle w:val="Compact"/>
              <w:jc w:val="left"/>
            </w:pPr>
            <w:r>
              <w:t xml:space="preserve">0.956</w:t>
            </w:r>
          </w:p>
        </w:tc>
      </w:tr>
    </w:tbl>
    <w:p>
      <w:r>
        <w:pict>
          <v:rect style="width:0;height:1.5pt" o:hralign="center" o:hrstd="t" o:hr="t"/>
        </w:pict>
      </w:r>
    </w:p>
    <w:bookmarkEnd w:id="31"/>
    <w:bookmarkEnd w:id="32"/>
    <w:bookmarkStart w:id="33" w:name="Xb521b1b738d2ff40ba7609e28fb716049e5a415"/>
    <w:p>
      <w:pPr>
        <w:pStyle w:val="Heading3"/>
      </w:pPr>
      <w:r>
        <w:t xml:space="preserve">Model 2: Spill and Harvest Effects on Group B (n = 160)</w:t>
      </w:r>
    </w:p>
    <w:p>
      <w:pPr>
        <w:pStyle w:val="FirstParagraph"/>
      </w:pPr>
      <w:r>
        <w:t xml:space="preserve">Tests whether Wells Dam spill conditions during the overshoot period predict subsequent Entiat return probability among Group B fish. Spring spill = January–March spill hours at Wells; fall spill = August–November spill hours at Wells (prior year, assigned to the following return year).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&gt; 0)</w:t>
            </w:r>
          </w:p>
        </w:tc>
      </w:tr>
      <w:tr>
        <w:tc>
          <w:tcPr/>
          <w:p>
            <w:pPr>
              <w:pStyle w:val="Compact"/>
              <w:jc w:val="left"/>
            </w:pPr>
            <w:r>
              <w:t xml:space="preserve">Spring spill hours (std)</w:t>
            </w:r>
          </w:p>
        </w:tc>
        <w:tc>
          <w:tcPr/>
          <w:p>
            <w:pPr>
              <w:pStyle w:val="Compact"/>
              <w:jc w:val="left"/>
            </w:pPr>
            <w:r>
              <w:t xml:space="preserve">+0.063</w:t>
            </w:r>
          </w:p>
        </w:tc>
        <w:tc>
          <w:tcPr/>
          <w:p>
            <w:pPr>
              <w:pStyle w:val="Compact"/>
              <w:jc w:val="left"/>
            </w:pPr>
            <w:r>
              <w:t xml:space="preserve">1.066</w:t>
            </w:r>
          </w:p>
        </w:tc>
        <w:tc>
          <w:tcPr/>
          <w:p>
            <w:pPr>
              <w:pStyle w:val="Compact"/>
              <w:jc w:val="left"/>
            </w:pPr>
            <w:r>
              <w:t xml:space="preserve">[−0.401, +0.554]</w:t>
            </w:r>
          </w:p>
        </w:tc>
        <w:tc>
          <w:tcPr/>
          <w:p>
            <w:pPr>
              <w:pStyle w:val="Compact"/>
              <w:jc w:val="left"/>
            </w:pPr>
            <w:r>
              <w:t xml:space="preserve">0.601</w:t>
            </w:r>
          </w:p>
        </w:tc>
      </w:tr>
      <w:tr>
        <w:tc>
          <w:tcPr/>
          <w:p>
            <w:pPr>
              <w:pStyle w:val="Compact"/>
              <w:jc w:val="left"/>
            </w:pPr>
            <w:r>
              <w:t xml:space="preserve">Fall spill hours (std)</w:t>
            </w:r>
          </w:p>
        </w:tc>
        <w:tc>
          <w:tcPr/>
          <w:p>
            <w:pPr>
              <w:pStyle w:val="Compact"/>
              <w:jc w:val="left"/>
            </w:pPr>
            <w:r>
              <w:t xml:space="preserve">−0.045</w:t>
            </w:r>
          </w:p>
        </w:tc>
        <w:tc>
          <w:tcPr/>
          <w:p>
            <w:pPr>
              <w:pStyle w:val="Compact"/>
              <w:jc w:val="left"/>
            </w:pPr>
            <w:r>
              <w:t xml:space="preserve">0.956</w:t>
            </w:r>
          </w:p>
        </w:tc>
        <w:tc>
          <w:tcPr/>
          <w:p>
            <w:pPr>
              <w:pStyle w:val="Compact"/>
              <w:jc w:val="left"/>
            </w:pPr>
            <w:r>
              <w:t xml:space="preserve">[−0.505, +0.421]</w:t>
            </w:r>
          </w:p>
        </w:tc>
        <w:tc>
          <w:tcPr/>
          <w:p>
            <w:pPr>
              <w:pStyle w:val="Compact"/>
              <w:jc w:val="left"/>
            </w:pPr>
            <w:r>
              <w:t xml:space="preserve">0.413</w:t>
            </w:r>
          </w:p>
        </w:tc>
      </w:tr>
      <w:tr>
        <w:tc>
          <w:tcPr/>
          <w:p>
            <w:pPr>
              <w:pStyle w:val="Compact"/>
              <w:jc w:val="left"/>
            </w:pPr>
            <w:r>
              <w:t xml:space="preserve">Harvest open</w:t>
            </w:r>
          </w:p>
        </w:tc>
        <w:tc>
          <w:tcPr/>
          <w:p>
            <w:pPr>
              <w:pStyle w:val="Compact"/>
              <w:jc w:val="left"/>
            </w:pPr>
            <w:r>
              <w:t xml:space="preserve">+0.122</w:t>
            </w:r>
          </w:p>
        </w:tc>
        <w:tc>
          <w:tcPr/>
          <w:p>
            <w:pPr>
              <w:pStyle w:val="Compact"/>
              <w:jc w:val="left"/>
            </w:pPr>
            <w:r>
              <w:t xml:space="preserve">1.130</w:t>
            </w:r>
          </w:p>
        </w:tc>
        <w:tc>
          <w:tcPr/>
          <w:p>
            <w:pPr>
              <w:pStyle w:val="Compact"/>
              <w:jc w:val="left"/>
            </w:pPr>
            <w:r>
              <w:t xml:space="preserve">[−0.817, +1.053]</w:t>
            </w:r>
          </w:p>
        </w:tc>
        <w:tc>
          <w:tcPr/>
          <w:p>
            <w:pPr>
              <w:pStyle w:val="Compact"/>
              <w:jc w:val="left"/>
            </w:pPr>
            <w:r>
              <w:t xml:space="preserve">—</w:t>
            </w:r>
          </w:p>
        </w:tc>
      </w:tr>
    </w:tbl>
    <w:p>
      <w:pPr>
        <w:pStyle w:val="BodyText"/>
      </w:pPr>
      <w:r>
        <w:t xml:space="preserve">No credible effect of spring or fall spill hours on Entiat return probability among Group B fish. Posteriors span zero broadly for both spill predictors.</w:t>
      </w:r>
    </w:p>
    <w:p>
      <w:r>
        <w:pict>
          <v:rect style="width:0;height:1.5pt" o:hralign="center" o:hrstd="t" o:hr="t"/>
        </w:pict>
      </w:r>
    </w:p>
    <w:bookmarkEnd w:id="33"/>
    <w:bookmarkStart w:id="37" w:name="strict-outcome-entiatspawned-n-404"/>
    <w:p>
      <w:pPr>
        <w:pStyle w:val="Heading3"/>
      </w:pPr>
      <w:r>
        <w:t xml:space="preserve">Strict Outcome (EntiatSpawned, n = 404)</w:t>
      </w:r>
    </w:p>
    <w:bookmarkStart w:id="34" w:name="model-s1-standard-wells-harvest-year-re"/>
    <w:p>
      <w:pPr>
        <w:pStyle w:val="Heading4"/>
      </w:pPr>
      <w:r>
        <w:t xml:space="preserve">Model S1: Standard (wells + harvest + year 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Wells (Group B)</w:t>
            </w:r>
          </w:p>
        </w:tc>
        <w:tc>
          <w:tcPr/>
          <w:p>
            <w:pPr>
              <w:pStyle w:val="Compact"/>
              <w:jc w:val="left"/>
            </w:pPr>
            <w:r>
              <w:t xml:space="preserve">−0.593</w:t>
            </w:r>
          </w:p>
        </w:tc>
        <w:tc>
          <w:tcPr/>
          <w:p>
            <w:pPr>
              <w:pStyle w:val="Compact"/>
              <w:jc w:val="left"/>
            </w:pPr>
            <w:r>
              <w:t xml:space="preserve">0.553</w:t>
            </w:r>
          </w:p>
        </w:tc>
        <w:tc>
          <w:tcPr/>
          <w:p>
            <w:pPr>
              <w:pStyle w:val="Compact"/>
              <w:jc w:val="left"/>
            </w:pPr>
            <w:r>
              <w:t xml:space="preserve">[−1.016, −0.182]</w:t>
            </w:r>
          </w:p>
        </w:tc>
        <w:tc>
          <w:tcPr/>
          <w:p>
            <w:pPr>
              <w:pStyle w:val="Compact"/>
              <w:jc w:val="left"/>
            </w:pPr>
            <w:r>
              <w:t xml:space="preserve">0.998</w:t>
            </w:r>
          </w:p>
        </w:tc>
      </w:tr>
    </w:tbl>
    <w:bookmarkEnd w:id="34"/>
    <w:bookmarkStart w:id="35" w:name="model-s2-detection-corrected-n-395"/>
    <w:p>
      <w:pPr>
        <w:pStyle w:val="Heading4"/>
      </w:pPr>
      <w:r>
        <w:t xml:space="preserve">Model S2: Detection-corrected (n = 395)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Wells (Group B)</w:t>
            </w:r>
          </w:p>
        </w:tc>
        <w:tc>
          <w:tcPr/>
          <w:p>
            <w:pPr>
              <w:pStyle w:val="Compact"/>
              <w:jc w:val="left"/>
            </w:pPr>
            <w:r>
              <w:t xml:space="preserve">−0.723</w:t>
            </w:r>
          </w:p>
        </w:tc>
        <w:tc>
          <w:tcPr/>
          <w:p>
            <w:pPr>
              <w:pStyle w:val="Compact"/>
              <w:jc w:val="left"/>
            </w:pPr>
            <w:r>
              <w:t xml:space="preserve">0.485</w:t>
            </w:r>
          </w:p>
        </w:tc>
        <w:tc>
          <w:tcPr/>
          <w:p>
            <w:pPr>
              <w:pStyle w:val="Compact"/>
              <w:jc w:val="left"/>
            </w:pPr>
            <w:r>
              <w:t xml:space="preserve">[−1.251, −0.212]</w:t>
            </w:r>
          </w:p>
        </w:tc>
        <w:tc>
          <w:tcPr/>
          <w:p>
            <w:pPr>
              <w:pStyle w:val="Compact"/>
              <w:jc w:val="left"/>
            </w:pPr>
            <w:r>
              <w:t xml:space="preserve">0.997</w:t>
            </w:r>
          </w:p>
        </w:tc>
      </w:tr>
    </w:tbl>
    <w:bookmarkEnd w:id="35"/>
    <w:bookmarkStart w:id="36" w:name="model-s3-season-wells-interaction"/>
    <w:p>
      <w:pPr>
        <w:pStyle w:val="Heading4"/>
      </w:pPr>
      <w:r>
        <w:t xml:space="preserve">Model S3: Season × Wells interaction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Season</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Fall</w:t>
            </w:r>
          </w:p>
        </w:tc>
        <w:tc>
          <w:tcPr/>
          <w:p>
            <w:pPr>
              <w:pStyle w:val="Compact"/>
              <w:jc w:val="left"/>
            </w:pPr>
            <w:r>
              <w:t xml:space="preserve">−0.599</w:t>
            </w:r>
          </w:p>
        </w:tc>
        <w:tc>
          <w:tcPr/>
          <w:p>
            <w:pPr>
              <w:pStyle w:val="Compact"/>
              <w:jc w:val="left"/>
            </w:pPr>
            <w:r>
              <w:t xml:space="preserve">0.550</w:t>
            </w:r>
          </w:p>
        </w:tc>
        <w:tc>
          <w:tcPr/>
          <w:p>
            <w:pPr>
              <w:pStyle w:val="Compact"/>
              <w:jc w:val="left"/>
            </w:pPr>
            <w:r>
              <w:t xml:space="preserve">[−1.015, −0.187]</w:t>
            </w:r>
          </w:p>
        </w:tc>
        <w:tc>
          <w:tcPr/>
          <w:p>
            <w:pPr>
              <w:pStyle w:val="Compact"/>
              <w:jc w:val="left"/>
            </w:pPr>
            <w:r>
              <w:t xml:space="preserve">0.997</w:t>
            </w:r>
          </w:p>
        </w:tc>
      </w:tr>
      <w:tr>
        <w:tc>
          <w:tcPr/>
          <w:p>
            <w:pPr>
              <w:pStyle w:val="Compact"/>
              <w:jc w:val="left"/>
            </w:pPr>
            <w:r>
              <w:t xml:space="preserve">Spring</w:t>
            </w:r>
          </w:p>
        </w:tc>
        <w:tc>
          <w:tcPr/>
          <w:p>
            <w:pPr>
              <w:pStyle w:val="Compact"/>
              <w:jc w:val="left"/>
            </w:pPr>
            <w:r>
              <w:t xml:space="preserve">−0.601</w:t>
            </w:r>
          </w:p>
        </w:tc>
        <w:tc>
          <w:tcPr/>
          <w:p>
            <w:pPr>
              <w:pStyle w:val="Compact"/>
              <w:jc w:val="left"/>
            </w:pPr>
            <w:r>
              <w:t xml:space="preserve">0.548</w:t>
            </w:r>
          </w:p>
        </w:tc>
        <w:tc>
          <w:tcPr/>
          <w:p>
            <w:pPr>
              <w:pStyle w:val="Compact"/>
              <w:jc w:val="left"/>
            </w:pPr>
            <w:r>
              <w:t xml:space="preserve">[−3.518, +2.316]</w:t>
            </w:r>
          </w:p>
        </w:tc>
        <w:tc>
          <w:tcPr/>
          <w:p>
            <w:pPr>
              <w:pStyle w:val="Compact"/>
              <w:jc w:val="left"/>
            </w:pPr>
            <w:r>
              <w:t xml:space="preserve">0.661</w:t>
            </w:r>
          </w:p>
        </w:tc>
      </w:tr>
      <w:tr>
        <w:tc>
          <w:tcPr/>
          <w:p>
            <w:pPr>
              <w:pStyle w:val="Compact"/>
              <w:jc w:val="left"/>
            </w:pPr>
            <w:r>
              <w:t xml:space="preserve">Interaction</w:t>
            </w:r>
          </w:p>
        </w:tc>
        <w:tc>
          <w:tcPr/>
          <w:p>
            <w:pPr>
              <w:pStyle w:val="Compact"/>
              <w:jc w:val="left"/>
            </w:pPr>
            <w:r>
              <w:t xml:space="preserve">−0.002</w:t>
            </w:r>
          </w:p>
        </w:tc>
        <w:tc>
          <w:tcPr/>
          <w:p>
            <w:pPr>
              <w:pStyle w:val="Compact"/>
              <w:jc w:val="left"/>
            </w:pPr>
            <w:r>
              <w:t xml:space="preserve">—</w:t>
            </w:r>
          </w:p>
        </w:tc>
        <w:tc>
          <w:tcPr/>
          <w:p>
            <w:pPr>
              <w:pStyle w:val="Compact"/>
              <w:jc w:val="left"/>
            </w:pPr>
            <w:r>
              <w:t xml:space="preserve">[−2.885, +2.852]</w:t>
            </w:r>
          </w:p>
        </w:tc>
        <w:tc>
          <w:tcPr/>
          <w:p>
            <w:pPr>
              <w:pStyle w:val="Compact"/>
              <w:jc w:val="left"/>
            </w:pPr>
            <w:r>
              <w:t xml:space="preserve">—</w:t>
            </w:r>
          </w:p>
        </w:tc>
      </w:tr>
    </w:tbl>
    <w:p>
      <w:pPr>
        <w:pStyle w:val="BodyText"/>
      </w:pPr>
      <w:r>
        <w:t xml:space="preserve">No season interaction on the strict outcome. The spring estimate is unidentifiable (no Group B spring fish).</w:t>
      </w:r>
    </w:p>
    <w:p>
      <w:r>
        <w:pict>
          <v:rect style="width:0;height:1.5pt" o:hralign="center" o:hrstd="t" o:hr="t"/>
        </w:pict>
      </w:r>
    </w:p>
    <w:bookmarkEnd w:id="36"/>
    <w:bookmarkEnd w:id="37"/>
    <w:bookmarkEnd w:id="38"/>
    <w:bookmarkStart w:id="39" w:name="summary-across-outcomes"/>
    <w:p>
      <w:pPr>
        <w:pStyle w:val="Heading2"/>
      </w:pPr>
      <w:r>
        <w:t xml:space="preserve">Summary Across Outcomes</w:t>
      </w:r>
    </w:p>
    <w:tbl>
      <w:tblPr>
        <w:tblStyle w:val="Table"/>
        <w:tblW w:type="pct" w:w="5000"/>
        <w:tblLook w:firstRow="1" w:lastRow="0" w:firstColumn="0" w:lastColumn="0" w:noHBand="0" w:noVBand="0" w:val="0020"/>
        <w:jc w:val="start"/>
      </w:tblPr>
      <w:tblGrid>
        <w:gridCol w:w="1108"/>
        <w:gridCol w:w="1425"/>
        <w:gridCol w:w="1742"/>
        <w:gridCol w:w="792"/>
        <w:gridCol w:w="1267"/>
        <w:gridCol w:w="1584"/>
      </w:tblGrid>
      <w:tr>
        <w:trPr>
          <w:tblHeader w:val="true"/>
        </w:trPr>
        <w:tc>
          <w:tcPr/>
          <w:p>
            <w:pPr>
              <w:pStyle w:val="Compact"/>
              <w:jc w:val="left"/>
            </w:pPr>
            <w:r>
              <w:t xml:space="preserve">Model</w:t>
            </w:r>
          </w:p>
        </w:tc>
        <w:tc>
          <w:tcPr/>
          <w:p>
            <w:pPr>
              <w:pStyle w:val="Compact"/>
              <w:jc w:val="left"/>
            </w:pPr>
            <w:r>
              <w:t xml:space="preserve">Outcome</w:t>
            </w:r>
          </w:p>
        </w:tc>
        <w:tc>
          <w:tcPr/>
          <w:p>
            <w:pPr>
              <w:pStyle w:val="Compact"/>
              <w:jc w:val="left"/>
            </w:pPr>
            <w:r>
              <w:t xml:space="preserve">β (Wells)</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M1 standard</w:t>
            </w:r>
          </w:p>
        </w:tc>
        <w:tc>
          <w:tcPr/>
          <w:p>
            <w:pPr>
              <w:pStyle w:val="Compact"/>
              <w:jc w:val="left"/>
            </w:pPr>
            <w:r>
              <w:t xml:space="preserve">ENL detected</w:t>
            </w:r>
          </w:p>
        </w:tc>
        <w:tc>
          <w:tcPr/>
          <w:p>
            <w:pPr>
              <w:pStyle w:val="Compact"/>
              <w:jc w:val="left"/>
            </w:pPr>
            <w:r>
              <w:t xml:space="preserve">−1.348</w:t>
            </w:r>
          </w:p>
        </w:tc>
        <w:tc>
          <w:tcPr/>
          <w:p>
            <w:pPr>
              <w:pStyle w:val="Compact"/>
              <w:jc w:val="left"/>
            </w:pPr>
            <w:r>
              <w:t xml:space="preserve">0.260</w:t>
            </w:r>
          </w:p>
        </w:tc>
        <w:tc>
          <w:tcPr/>
          <w:p>
            <w:pPr>
              <w:pStyle w:val="Compact"/>
              <w:jc w:val="left"/>
            </w:pPr>
            <w:r>
              <w:t xml:space="preserve">[−1.881, −0.834]</w:t>
            </w:r>
          </w:p>
        </w:tc>
        <w:tc>
          <w:tcPr/>
          <w:p>
            <w:pPr>
              <w:pStyle w:val="Compact"/>
              <w:jc w:val="left"/>
            </w:pPr>
            <w:r>
              <w:t xml:space="preserve">1.000</w:t>
            </w:r>
          </w:p>
        </w:tc>
      </w:tr>
      <w:tr>
        <w:tc>
          <w:tcPr/>
          <w:p>
            <w:pPr>
              <w:pStyle w:val="Compact"/>
              <w:jc w:val="left"/>
            </w:pPr>
            <w:r>
              <w:t xml:space="preserve">M1c det-corrected</w:t>
            </w:r>
          </w:p>
        </w:tc>
        <w:tc>
          <w:tcPr/>
          <w:p>
            <w:pPr>
              <w:pStyle w:val="Compact"/>
              <w:jc w:val="left"/>
            </w:pPr>
            <w:r>
              <w:t xml:space="preserve">ENL detected</w:t>
            </w:r>
          </w:p>
        </w:tc>
        <w:tc>
          <w:tcPr/>
          <w:p>
            <w:pPr>
              <w:pStyle w:val="Compact"/>
              <w:jc w:val="left"/>
            </w:pPr>
            <w:r>
              <w:t xml:space="preserve">−1.836</w:t>
            </w:r>
          </w:p>
        </w:tc>
        <w:tc>
          <w:tcPr/>
          <w:p>
            <w:pPr>
              <w:pStyle w:val="Compact"/>
              <w:jc w:val="left"/>
            </w:pPr>
            <w:r>
              <w:t xml:space="preserve">0.160</w:t>
            </w:r>
          </w:p>
        </w:tc>
        <w:tc>
          <w:tcPr/>
          <w:p>
            <w:pPr>
              <w:pStyle w:val="Compact"/>
              <w:jc w:val="left"/>
            </w:pPr>
            <w:r>
              <w:t xml:space="preserve">[−2.737, −1.067]</w:t>
            </w:r>
          </w:p>
        </w:tc>
        <w:tc>
          <w:tcPr/>
          <w:p>
            <w:pPr>
              <w:pStyle w:val="Compact"/>
              <w:jc w:val="left"/>
            </w:pPr>
            <w:r>
              <w:t xml:space="preserve">1.000</w:t>
            </w:r>
          </w:p>
        </w:tc>
      </w:tr>
      <w:tr>
        <w:tc>
          <w:tcPr/>
          <w:p>
            <w:pPr>
              <w:pStyle w:val="Compact"/>
              <w:jc w:val="left"/>
            </w:pPr>
            <w:r>
              <w:t xml:space="preserve">S1 standard</w:t>
            </w:r>
          </w:p>
        </w:tc>
        <w:tc>
          <w:tcPr/>
          <w:p>
            <w:pPr>
              <w:pStyle w:val="Compact"/>
              <w:jc w:val="left"/>
            </w:pPr>
            <w:r>
              <w:t xml:space="preserve">Strict spawned</w:t>
            </w:r>
          </w:p>
        </w:tc>
        <w:tc>
          <w:tcPr/>
          <w:p>
            <w:pPr>
              <w:pStyle w:val="Compact"/>
              <w:jc w:val="left"/>
            </w:pPr>
            <w:r>
              <w:t xml:space="preserve">−0.593</w:t>
            </w:r>
          </w:p>
        </w:tc>
        <w:tc>
          <w:tcPr/>
          <w:p>
            <w:pPr>
              <w:pStyle w:val="Compact"/>
              <w:jc w:val="left"/>
            </w:pPr>
            <w:r>
              <w:t xml:space="preserve">0.553</w:t>
            </w:r>
          </w:p>
        </w:tc>
        <w:tc>
          <w:tcPr/>
          <w:p>
            <w:pPr>
              <w:pStyle w:val="Compact"/>
              <w:jc w:val="left"/>
            </w:pPr>
            <w:r>
              <w:t xml:space="preserve">[−1.016, −0.182]</w:t>
            </w:r>
          </w:p>
        </w:tc>
        <w:tc>
          <w:tcPr/>
          <w:p>
            <w:pPr>
              <w:pStyle w:val="Compact"/>
              <w:jc w:val="left"/>
            </w:pPr>
            <w:r>
              <w:t xml:space="preserve">0.998</w:t>
            </w:r>
          </w:p>
        </w:tc>
      </w:tr>
      <w:tr>
        <w:tc>
          <w:tcPr/>
          <w:p>
            <w:pPr>
              <w:pStyle w:val="Compact"/>
              <w:jc w:val="left"/>
            </w:pPr>
            <w:r>
              <w:t xml:space="preserve">S2 det-corrected</w:t>
            </w:r>
          </w:p>
        </w:tc>
        <w:tc>
          <w:tcPr/>
          <w:p>
            <w:pPr>
              <w:pStyle w:val="Compact"/>
              <w:jc w:val="left"/>
            </w:pPr>
            <w:r>
              <w:t xml:space="preserve">Strict spawned</w:t>
            </w:r>
          </w:p>
        </w:tc>
        <w:tc>
          <w:tcPr/>
          <w:p>
            <w:pPr>
              <w:pStyle w:val="Compact"/>
              <w:jc w:val="left"/>
            </w:pPr>
            <w:r>
              <w:t xml:space="preserve">−0.723</w:t>
            </w:r>
          </w:p>
        </w:tc>
        <w:tc>
          <w:tcPr/>
          <w:p>
            <w:pPr>
              <w:pStyle w:val="Compact"/>
              <w:jc w:val="left"/>
            </w:pPr>
            <w:r>
              <w:t xml:space="preserve">0.485</w:t>
            </w:r>
          </w:p>
        </w:tc>
        <w:tc>
          <w:tcPr/>
          <w:p>
            <w:pPr>
              <w:pStyle w:val="Compact"/>
              <w:jc w:val="left"/>
            </w:pPr>
            <w:r>
              <w:t xml:space="preserve">[−1.251, −0.212]</w:t>
            </w:r>
          </w:p>
        </w:tc>
        <w:tc>
          <w:tcPr/>
          <w:p>
            <w:pPr>
              <w:pStyle w:val="Compact"/>
              <w:jc w:val="left"/>
            </w:pPr>
            <w:r>
              <w:t xml:space="preserve">0.997</w:t>
            </w:r>
          </w:p>
        </w:tc>
      </w:tr>
    </w:tbl>
    <w:p>
      <w:pPr>
        <w:pStyle w:val="BodyText"/>
      </w:pPr>
      <w:r>
        <w:t xml:space="preserve">The Wells Dam interaction effect is highly credible under all model specifications. The effect is stronger on the original ENL-detection outcome (OR ≈ 0.16–0.26) than on the strict spawning outcome (OR ≈ 0.49–0.55). The true effect on spawning success likely falls between these bounds, depending on what fraction of ENL-only fall fish (detected at the river mouth but not upstream) successfully spawned in the unmonitored lower Entiat reach (rkm 1–~10, below the ENM antenna).</w:t>
      </w:r>
    </w:p>
    <w:p>
      <w:r>
        <w:pict>
          <v:rect style="width:0;height:1.5pt" o:hralign="center" o:hrstd="t" o:hr="t"/>
        </w:pict>
      </w:r>
    </w:p>
    <w:bookmarkEnd w:id="39"/>
    <w:bookmarkStart w:id="40" w:name="post-spawn-kelt-detection"/>
    <w:p>
      <w:pPr>
        <w:pStyle w:val="Heading2"/>
      </w:pPr>
      <w:r>
        <w:t xml:space="preserve">Post-Spawn Kelt Detection</w:t>
      </w:r>
    </w:p>
    <w:p>
      <w:pPr>
        <w:pStyle w:val="FirstParagraph"/>
      </w:pPr>
      <w:r>
        <w:t xml:space="preserve">Among the 220 fish scored EntiatSpawned = 1 in the strict outcome (groups A and B combined), a substantial fraction were subsequently detected at Rocky Reach Dam juvenile bypass (RRJ/BCC) within weeks of their last Entiat detection. This is consistent with normal post-spawn kelt outmigration and provides independent confirmation of spawning.</w:t>
      </w:r>
    </w:p>
    <w:p>
      <w:r>
        <w:pict>
          <v:rect style="width:0;height:1.5pt" o:hralign="center" o:hrstd="t" o:hr="t"/>
        </w:pict>
      </w:r>
    </w:p>
    <w:bookmarkEnd w:id="40"/>
    <w:bookmarkStart w:id="41" w:name="notes-on-detection-efficiency"/>
    <w:p>
      <w:pPr>
        <w:pStyle w:val="Heading2"/>
      </w:pPr>
      <w:r>
        <w:t xml:space="preserve">Notes on Detection Efficiency</w:t>
      </w:r>
    </w:p>
    <w:p>
      <w:pPr>
        <w:pStyle w:val="FirstParagraph"/>
      </w:pPr>
      <w:r>
        <w:t xml:space="preserve">ENL detection efficiency varies substantially with river discharge. The Bayesian flow model (quadratic log-discharge + year random effect) predicts mean efficiency across return years and typical fall flows of approximately 60–80%. Years with high discharge show lower efficiency, which is the primary motivation for the detection-corrected models. The detection-corrected results (M1c, S2) are considered the primary analysis.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2026-04-20T20:34:26Z</dcterms:created>
  <dcterms:modified xsi:type="dcterms:W3CDTF">2026-04-20T20:34:26Z</dcterms:modified>
</cp:coreProperties>
</file>

<file path=docProps/custom.xml><?xml version="1.0" encoding="utf-8"?>
<Properties xmlns="http://schemas.openxmlformats.org/officeDocument/2006/custom-properties" xmlns:vt="http://schemas.openxmlformats.org/officeDocument/2006/docPropsVTypes"/>
</file>