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4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Detection</w:t>
      </w:r>
      <w:r>
        <w:t xml:space="preserve"> </w:t>
      </w:r>
      <w:r>
        <w:t xml:space="preserve">Efficiency</w:t>
      </w:r>
      <w:r>
        <w:t xml:space="preserve"> </w:t>
      </w:r>
      <w:r>
        <w:t xml:space="preserve">at</w:t>
      </w:r>
      <w:r>
        <w:t xml:space="preserve"> </w:t>
      </w:r>
      <w:r>
        <w:t xml:space="preserve">Methow,</w:t>
      </w:r>
      <w:r>
        <w:t xml:space="preserve"> </w:t>
      </w:r>
      <w:r>
        <w:t xml:space="preserve">Okanogan,</w:t>
      </w:r>
      <w:r>
        <w:t xml:space="preserve"> </w:t>
      </w:r>
      <w:r>
        <w:t xml:space="preserve">and</w:t>
      </w:r>
      <w:r>
        <w:t xml:space="preserve"> </w:t>
      </w:r>
      <w:r>
        <w:t xml:space="preserve">Entiat</w:t>
      </w:r>
      <w:r>
        <w:t xml:space="preserve"> </w:t>
      </w:r>
      <w:r>
        <w:t xml:space="preserve">River</w:t>
      </w:r>
      <w:r>
        <w:t xml:space="preserve"> </w:t>
      </w:r>
      <w:r>
        <w:t xml:space="preserve">Gateway</w:t>
      </w:r>
      <w:r>
        <w:t xml:space="preserve"> </w:t>
      </w:r>
      <w:r>
        <w:t xml:space="preserve">PIT</w:t>
      </w:r>
      <w:r>
        <w:t xml:space="preserve"> </w:t>
      </w:r>
      <w:r>
        <w:t xml:space="preserve">Arrays</w:t>
      </w:r>
    </w:p>
    <w:p>
      <w:pPr>
        <w:pStyle w:val="Subtitle"/>
      </w:pPr>
      <w:r>
        <w:t xml:space="preserve">Wells</w:t>
      </w:r>
      <w:r>
        <w:t xml:space="preserve"> </w:t>
      </w:r>
      <w:r>
        <w:t xml:space="preserve">Dam</w:t>
      </w:r>
      <w:r>
        <w:t xml:space="preserve"> </w:t>
      </w:r>
      <w:r>
        <w:t xml:space="preserve">and</w:t>
      </w:r>
      <w:r>
        <w:t xml:space="preserve"> </w:t>
      </w:r>
      <w:r>
        <w:t xml:space="preserve">Rocky</w:t>
      </w:r>
      <w:r>
        <w:t xml:space="preserve"> </w:t>
      </w:r>
      <w:r>
        <w:t xml:space="preserve">Reach</w:t>
      </w:r>
      <w:r>
        <w:t xml:space="preserve"> </w:t>
      </w:r>
      <w:r>
        <w:t xml:space="preserve">Dam</w:t>
      </w:r>
      <w:r>
        <w:t xml:space="preserve"> </w:t>
      </w:r>
      <w:r>
        <w:t xml:space="preserve">Adult</w:t>
      </w:r>
      <w:r>
        <w:t xml:space="preserve"> </w:t>
      </w:r>
      <w:r>
        <w:t xml:space="preserve">Steelhead</w:t>
      </w:r>
      <w:r>
        <w:t xml:space="preserve"> </w:t>
      </w:r>
      <w:r>
        <w:t xml:space="preserve">—</w:t>
      </w:r>
      <w:r>
        <w:t xml:space="preserve"> </w:t>
      </w:r>
      <w:r>
        <w:t xml:space="preserve">2005</w:t>
      </w:r>
      <w:r>
        <w:t xml:space="preserve"> </w:t>
      </w:r>
      <w:r>
        <w:t xml:space="preserve">to</w:t>
      </w:r>
      <w:r>
        <w:t xml:space="preserve"> </w:t>
      </w:r>
      <w:r>
        <w:t xml:space="preserve">2025</w:t>
      </w:r>
    </w:p>
    <w:p>
      <w:pPr>
        <w:pStyle w:val="Date"/>
      </w:pPr>
      <w:r>
        <w:t xml:space="preserve">April</w:t>
      </w:r>
      <w:r>
        <w:t xml:space="preserve"> </w:t>
      </w:r>
      <w:r>
        <w:t xml:space="preserve">16,</w:t>
      </w:r>
      <w:r>
        <w:t xml:space="preserve"> </w:t>
      </w:r>
      <w:r>
        <w:t xml:space="preserve">2026</w:t>
      </w:r>
    </w:p>
    <w:bookmarkStart w:id="20" w:name="background"/>
    <w:p>
      <w:pPr>
        <w:pStyle w:val="Heading2"/>
      </w:pPr>
      <w:r>
        <w:t xml:space="preserve">Background</w:t>
      </w:r>
    </w:p>
    <w:p>
      <w:pPr>
        <w:pStyle w:val="FirstParagraph"/>
      </w:pPr>
      <w:r>
        <w:t xml:space="preserve">PIT (Passive Integrated Transponder) tag arrays at the mouths of the Methow, Okanogan, and Entiat rivers provide important tools for monitoring adult steelhead returning to these subbasins. The Lower Methow River array at Pateros (LMR) and the Lower Okanogan Instream Array (OKL) detect fish that have passed Wells Dam on the Columbia River, while the Lower Entiat River array (ENL) detects fish that have passed Rocky Reach Dam. These gateway sites serve as the primary confirmation that a fish has entered its respective subbasin. However, detection at these arrays is not perfect, and fish observed at upstream locations without a corresponding gateway detection represent individuals that were missed at the array.</w:t>
      </w:r>
    </w:p>
    <w:p>
      <w:pPr>
        <w:pStyle w:val="BodyText"/>
      </w:pPr>
      <w:r>
        <w:t xml:space="preserve">Understanding detection efficiency — and how it varies by season and year — is important for accurately interpreting subbasin return data and for correcting escapement estimates. This analysis quantifies detection efficiency at LMR, OKL, and ENL using long-term PIT tag detection records and develops predictive models that can estimate efficiency for any given date.</w:t>
      </w:r>
    </w:p>
    <w:bookmarkEnd w:id="20"/>
    <w:bookmarkStart w:id="21" w:name="data"/>
    <w:p>
      <w:pPr>
        <w:pStyle w:val="Heading2"/>
      </w:pPr>
      <w:r>
        <w:t xml:space="preserve">Data</w:t>
      </w:r>
    </w:p>
    <w:p>
      <w:pPr>
        <w:pStyle w:val="FirstParagraph"/>
      </w:pPr>
      <w:r>
        <w:rPr>
          <w:bCs/>
          <w:b/>
        </w:rPr>
        <w:t xml:space="preserve">Methow and Okanogan:</w:t>
      </w:r>
      <w:r>
        <w:t xml:space="preserve"> </w:t>
      </w:r>
      <w:r>
        <w:t xml:space="preserve">Detection data were obtained from PTAGIS for adult steelhead (summer run, wild and hatchery) detected at Wells Dam (site WEA) and subsequently detected at any location within the Methow or Okanogan subbasins. Three PTAGIS query exports were combined to span the full available record:</w:t>
      </w:r>
    </w:p>
    <w:p>
      <w:pPr>
        <w:numPr>
          <w:ilvl w:val="0"/>
          <w:numId w:val="1001"/>
        </w:numPr>
        <w:pStyle w:val="Compact"/>
      </w:pPr>
      <w:r>
        <w:t xml:space="preserve">2005–2010 (</w:t>
      </w:r>
      <w:r>
        <w:rPr>
          <w:iCs/>
          <w:i/>
        </w:rPr>
        <w:t xml:space="preserve">WEAMetOkaSteel05-10.csv</w:t>
      </w:r>
      <w:r>
        <w:t xml:space="preserve">)</w:t>
      </w:r>
    </w:p>
    <w:p>
      <w:pPr>
        <w:numPr>
          <w:ilvl w:val="0"/>
          <w:numId w:val="1001"/>
        </w:numPr>
        <w:pStyle w:val="Compact"/>
      </w:pPr>
      <w:r>
        <w:t xml:space="preserve">2010–2015 (</w:t>
      </w:r>
      <w:r>
        <w:rPr>
          <w:iCs/>
          <w:i/>
        </w:rPr>
        <w:t xml:space="preserve">WEAMetOkaSteel10-15.csv</w:t>
      </w:r>
      <w:r>
        <w:t xml:space="preserve">)</w:t>
      </w:r>
    </w:p>
    <w:p>
      <w:pPr>
        <w:numPr>
          <w:ilvl w:val="0"/>
          <w:numId w:val="1001"/>
        </w:numPr>
        <w:pStyle w:val="Compact"/>
      </w:pPr>
      <w:r>
        <w:t xml:space="preserve">2015–present (</w:t>
      </w:r>
      <w:r>
        <w:rPr>
          <w:iCs/>
          <w:i/>
        </w:rPr>
        <w:t xml:space="preserve">WEAtoMetOkaSteel.csv</w:t>
      </w:r>
      <w:r>
        <w:t xml:space="preserve">)</w:t>
      </w:r>
    </w:p>
    <w:p>
      <w:pPr>
        <w:pStyle w:val="FirstParagraph"/>
      </w:pPr>
      <w:r>
        <w:t xml:space="preserve">The combined dataset contains detection records at 67 unique instream and acclimation pond sites across both subbasins.</w:t>
      </w:r>
    </w:p>
    <w:p>
      <w:pPr>
        <w:pStyle w:val="BodyText"/>
      </w:pPr>
      <w:r>
        <w:rPr>
          <w:bCs/>
          <w:b/>
        </w:rPr>
        <w:t xml:space="preserve">Entiat:</w:t>
      </w:r>
      <w:r>
        <w:t xml:space="preserve"> </w:t>
      </w:r>
      <w:r>
        <w:t xml:space="preserve">Detection data were obtained from PTAGIS for adult steelhead detected at Rocky Reach Dam (sites RRF, RIA) and subsequently detected at any location within the Entiat River subbasin. Three PTAGIS query exports were combined:</w:t>
      </w:r>
    </w:p>
    <w:p>
      <w:pPr>
        <w:numPr>
          <w:ilvl w:val="0"/>
          <w:numId w:val="1002"/>
        </w:numPr>
        <w:pStyle w:val="Compact"/>
      </w:pPr>
      <w:r>
        <w:t xml:space="preserve">2007–2012 (</w:t>
      </w:r>
      <w:r>
        <w:rPr>
          <w:iCs/>
          <w:i/>
        </w:rPr>
        <w:t xml:space="preserve">ENTSteel07-12.csv</w:t>
      </w:r>
      <w:r>
        <w:t xml:space="preserve">)</w:t>
      </w:r>
    </w:p>
    <w:p>
      <w:pPr>
        <w:numPr>
          <w:ilvl w:val="0"/>
          <w:numId w:val="1002"/>
        </w:numPr>
        <w:pStyle w:val="Compact"/>
      </w:pPr>
      <w:r>
        <w:t xml:space="preserve">2012–2018 (</w:t>
      </w:r>
      <w:r>
        <w:rPr>
          <w:iCs/>
          <w:i/>
        </w:rPr>
        <w:t xml:space="preserve">ENTSteel12-18.csv</w:t>
      </w:r>
      <w:r>
        <w:t xml:space="preserve">)</w:t>
      </w:r>
    </w:p>
    <w:p>
      <w:pPr>
        <w:numPr>
          <w:ilvl w:val="0"/>
          <w:numId w:val="1002"/>
        </w:numPr>
        <w:pStyle w:val="Compact"/>
      </w:pPr>
      <w:r>
        <w:t xml:space="preserve">2018–present (</w:t>
      </w:r>
      <w:r>
        <w:rPr>
          <w:iCs/>
          <w:i/>
        </w:rPr>
        <w:t xml:space="preserve">ENTSteel18-26.csv</w:t>
      </w:r>
      <w:r>
        <w:t xml:space="preserve">)</w:t>
      </w:r>
    </w:p>
    <w:p>
      <w:pPr>
        <w:pStyle w:val="FirstParagraph"/>
      </w:pPr>
      <w:r>
        <w:t xml:space="preserve">The combined dataset contains detection records at 31 unique Entiat subbasin sites. Detections at Rocky Reach Dam itself (RRF, RRJ, RIA) were excluded from the subbasin detection analysis.</w:t>
      </w:r>
    </w:p>
    <w:p>
      <w:pPr>
        <w:pStyle w:val="BodyText"/>
      </w:pPr>
      <w:r>
        <w:t xml:space="preserve">For all three systems, each fish was represented by its unique PIT tag code, and only its first detection within the subbasin was retained for analysis.</w:t>
      </w:r>
    </w:p>
    <w:bookmarkEnd w:id="21"/>
    <w:bookmarkStart w:id="22" w:name="methods"/>
    <w:p>
      <w:pPr>
        <w:pStyle w:val="Heading2"/>
      </w:pPr>
      <w:r>
        <w:t xml:space="preserve">Methods</w:t>
      </w:r>
    </w:p>
    <w:p>
      <w:pPr>
        <w:pStyle w:val="FirstParagraph"/>
      </w:pPr>
      <w:r>
        <w:rPr>
          <w:bCs/>
          <w:b/>
        </w:rPr>
        <w:t xml:space="preserve">Gateway site detection:</w:t>
      </w:r>
      <w:r>
        <w:t xml:space="preserve"> </w:t>
      </w:r>
      <w:r>
        <w:t xml:space="preserve">A fish was considered</w:t>
      </w:r>
      <w:r>
        <w:t xml:space="preserve"> </w:t>
      </w:r>
      <w:r>
        <w:t xml:space="preserve">“</w:t>
      </w:r>
      <w:r>
        <w:t xml:space="preserve">detected</w:t>
      </w:r>
      <w:r>
        <w:t xml:space="preserve">”</w:t>
      </w:r>
      <w:r>
        <w:t xml:space="preserve"> </w:t>
      </w:r>
      <w:r>
        <w:t xml:space="preserve">at the gateway if its PIT tag appeared in any detection record at LMR (Methow), OKL (Okanogan), or ENL (Entiat). Fish with detections at upstream subbasin sites but no corresponding gateway detection were considered</w:t>
      </w:r>
      <w:r>
        <w:t xml:space="preserve"> </w:t>
      </w:r>
      <w:r>
        <w:t xml:space="preserve">“</w:t>
      </w:r>
      <w:r>
        <w:t xml:space="preserve">missed</w:t>
      </w:r>
      <w:r>
        <w:t xml:space="preserve">”</w:t>
      </w:r>
      <w:r>
        <w:t xml:space="preserve"> </w:t>
      </w:r>
      <w:r>
        <w:t xml:space="preserve">by the array — they entered the subbasin but were not recorded at the mouth.</w:t>
      </w:r>
    </w:p>
    <w:p>
      <w:pPr>
        <w:pStyle w:val="BodyText"/>
      </w:pPr>
      <w:r>
        <w:rPr>
          <w:bCs/>
          <w:b/>
        </w:rPr>
        <w:t xml:space="preserve">Operational start dates:</w:t>
      </w:r>
      <w:r>
        <w:t xml:space="preserve"> </w:t>
      </w:r>
      <w:r>
        <w:t xml:space="preserve">LMR began operation on March 4, 2009; OKL began operation on October 8, 2013; ENL began operation on October 25, 2007. Fish whose first subbasin detection predated these start times were excluded from detection efficiency calculations, as the absence of a gateway detection in those cases reflects non-operation rather than a detection failure. This resulted in the exclusion of 174 Methow fish and 810 Okanogan fish; no Entiat fish required exclusion on this basis. The incomplete year 2026 was excluded from model fitting for all three sites.</w:t>
      </w:r>
    </w:p>
    <w:p>
      <w:pPr>
        <w:pStyle w:val="BodyText"/>
      </w:pPr>
      <w:r>
        <w:rPr>
          <w:bCs/>
          <w:b/>
        </w:rPr>
        <w:t xml:space="preserve">Predictive model:</w:t>
      </w:r>
      <w:r>
        <w:t xml:space="preserve"> </w:t>
      </w:r>
      <w:r>
        <w:t xml:space="preserve">Detection efficiency (probability of detecting a fish at the gateway array) was modeled as a function of day of year and calendar year using a binomial Generalized Additive Model (GAM):</w:t>
      </w:r>
    </w:p>
    <w:p>
      <w:pPr>
        <w:pStyle w:val="BlockText"/>
      </w:pPr>
      <w:r>
        <w:t xml:space="preserve">logit(P[detected]) = s(day-of-year) + s(year)</w:t>
      </w:r>
    </w:p>
    <w:p>
      <w:pPr>
        <w:pStyle w:val="FirstParagraph"/>
      </w:pPr>
      <w:r>
        <w:t xml:space="preserve">The day-of-year term used a cyclic cubic regression spline (k = 10) to capture the seasonal pattern while enforcing continuity across the December–January boundary. The year term used a standard penalized cubic regression spline (k = 5 for LMR and OKL; k = 8 for ENL to accommodate a more complex inter-annual trend). Models were fit separately for each site using REML smoothness selection. Model predictions were validated against observed monthly detection rates.</w:t>
      </w:r>
    </w:p>
    <w:bookmarkEnd w:id="22"/>
    <w:bookmarkStart w:id="32" w:name="results"/>
    <w:p>
      <w:pPr>
        <w:pStyle w:val="Heading2"/>
      </w:pPr>
      <w:r>
        <w:t xml:space="preserve">Results</w:t>
      </w:r>
    </w:p>
    <w:p>
      <w:pPr>
        <w:pStyle w:val="FirstParagraph"/>
      </w:pPr>
      <w:r>
        <w:rPr>
          <w:bCs/>
          <w:b/>
        </w:rPr>
        <w:t xml:space="preserve">Overall detection rates</w:t>
      </w:r>
      <w:r>
        <w:t xml:space="preserve"> </w:t>
      </w:r>
      <w:r>
        <w:t xml:space="preserve">(gateway site operational period only):</w:t>
      </w:r>
    </w:p>
    <w:tbl>
      <w:tblPr>
        <w:tblStyle w:val="Table"/>
        <w:tblW w:type="pct" w:w="5000"/>
        <w:tblLook w:firstRow="1" w:lastRow="0" w:firstColumn="0" w:lastColumn="0" w:noHBand="0" w:noVBand="0" w:val="0020"/>
        <w:jc w:val="start"/>
      </w:tblPr>
      <w:tblGrid>
        <w:gridCol w:w="1350"/>
        <w:gridCol w:w="1440"/>
        <w:gridCol w:w="900"/>
        <w:gridCol w:w="1260"/>
        <w:gridCol w:w="1800"/>
        <w:gridCol w:w="1170"/>
      </w:tblGrid>
      <w:tr>
        <w:trPr>
          <w:tblHeader w:val="true"/>
        </w:trPr>
        <w:tc>
          <w:tcPr/>
          <w:p>
            <w:pPr>
              <w:pStyle w:val="Compact"/>
              <w:jc w:val="left"/>
            </w:pPr>
            <w:r>
              <w:t xml:space="preserve">Site</w:t>
            </w:r>
          </w:p>
        </w:tc>
        <w:tc>
          <w:tcPr/>
          <w:p>
            <w:pPr>
              <w:pStyle w:val="Compact"/>
              <w:jc w:val="left"/>
            </w:pPr>
            <w:r>
              <w:t xml:space="preserve">Dam</w:t>
            </w:r>
          </w:p>
        </w:tc>
        <w:tc>
          <w:tcPr/>
          <w:p>
            <w:pPr>
              <w:pStyle w:val="Compact"/>
              <w:jc w:val="right"/>
            </w:pPr>
            <w:r>
              <w:t xml:space="preserve">Period</w:t>
            </w:r>
          </w:p>
        </w:tc>
        <w:tc>
          <w:tcPr/>
          <w:p>
            <w:pPr>
              <w:pStyle w:val="Compact"/>
              <w:jc w:val="right"/>
            </w:pPr>
            <w:r>
              <w:t xml:space="preserve">Eligible fish</w:t>
            </w:r>
          </w:p>
        </w:tc>
        <w:tc>
          <w:tcPr/>
          <w:p>
            <w:pPr>
              <w:pStyle w:val="Compact"/>
              <w:jc w:val="right"/>
            </w:pPr>
            <w:r>
              <w:t xml:space="preserve">Detected at gateway</w:t>
            </w:r>
          </w:p>
        </w:tc>
        <w:tc>
          <w:tcPr/>
          <w:p>
            <w:pPr>
              <w:pStyle w:val="Compact"/>
              <w:jc w:val="left"/>
            </w:pPr>
            <w:r>
              <w:t xml:space="preserve">Missed (%)</w:t>
            </w:r>
          </w:p>
        </w:tc>
      </w:tr>
      <w:tr>
        <w:tc>
          <w:tcPr/>
          <w:p>
            <w:pPr>
              <w:pStyle w:val="Compact"/>
              <w:jc w:val="left"/>
            </w:pPr>
            <w:r>
              <w:t xml:space="preserve">LMR (Methow)</w:t>
            </w:r>
          </w:p>
        </w:tc>
        <w:tc>
          <w:tcPr/>
          <w:p>
            <w:pPr>
              <w:pStyle w:val="Compact"/>
              <w:jc w:val="left"/>
            </w:pPr>
            <w:r>
              <w:t xml:space="preserve">Wells Dam</w:t>
            </w:r>
          </w:p>
        </w:tc>
        <w:tc>
          <w:tcPr/>
          <w:p>
            <w:pPr>
              <w:pStyle w:val="Compact"/>
              <w:jc w:val="right"/>
            </w:pPr>
            <w:r>
              <w:t xml:space="preserve">2009–2025</w:t>
            </w:r>
          </w:p>
        </w:tc>
        <w:tc>
          <w:tcPr/>
          <w:p>
            <w:pPr>
              <w:pStyle w:val="Compact"/>
              <w:jc w:val="right"/>
            </w:pPr>
            <w:r>
              <w:t xml:space="preserve">9633</w:t>
            </w:r>
          </w:p>
        </w:tc>
        <w:tc>
          <w:tcPr/>
          <w:p>
            <w:pPr>
              <w:pStyle w:val="Compact"/>
              <w:jc w:val="right"/>
            </w:pPr>
            <w:r>
              <w:t xml:space="preserve">7847</w:t>
            </w:r>
          </w:p>
        </w:tc>
        <w:tc>
          <w:tcPr/>
          <w:p>
            <w:pPr>
              <w:pStyle w:val="Compact"/>
              <w:jc w:val="left"/>
            </w:pPr>
            <w:r>
              <w:t xml:space="preserve">1786 (18.5%)</w:t>
            </w:r>
          </w:p>
        </w:tc>
      </w:tr>
      <w:tr>
        <w:tc>
          <w:tcPr/>
          <w:p>
            <w:pPr>
              <w:pStyle w:val="Compact"/>
              <w:jc w:val="left"/>
            </w:pPr>
            <w:r>
              <w:t xml:space="preserve">OKL (Okanogan)</w:t>
            </w:r>
          </w:p>
        </w:tc>
        <w:tc>
          <w:tcPr/>
          <w:p>
            <w:pPr>
              <w:pStyle w:val="Compact"/>
              <w:jc w:val="left"/>
            </w:pPr>
            <w:r>
              <w:t xml:space="preserve">Wells Dam</w:t>
            </w:r>
          </w:p>
        </w:tc>
        <w:tc>
          <w:tcPr/>
          <w:p>
            <w:pPr>
              <w:pStyle w:val="Compact"/>
              <w:jc w:val="right"/>
            </w:pPr>
            <w:r>
              <w:t xml:space="preserve">2013–2025</w:t>
            </w:r>
          </w:p>
        </w:tc>
        <w:tc>
          <w:tcPr/>
          <w:p>
            <w:pPr>
              <w:pStyle w:val="Compact"/>
              <w:jc w:val="right"/>
            </w:pPr>
            <w:r>
              <w:t xml:space="preserve">2750</w:t>
            </w:r>
          </w:p>
        </w:tc>
        <w:tc>
          <w:tcPr/>
          <w:p>
            <w:pPr>
              <w:pStyle w:val="Compact"/>
              <w:jc w:val="right"/>
            </w:pPr>
            <w:r>
              <w:t xml:space="preserve">1937</w:t>
            </w:r>
          </w:p>
        </w:tc>
        <w:tc>
          <w:tcPr/>
          <w:p>
            <w:pPr>
              <w:pStyle w:val="Compact"/>
              <w:jc w:val="left"/>
            </w:pPr>
            <w:r>
              <w:t xml:space="preserve">813 (29.6%)</w:t>
            </w:r>
          </w:p>
        </w:tc>
      </w:tr>
      <w:tr>
        <w:tc>
          <w:tcPr/>
          <w:p>
            <w:pPr>
              <w:pStyle w:val="Compact"/>
              <w:jc w:val="left"/>
            </w:pPr>
            <w:r>
              <w:t xml:space="preserve">ENL (Entiat)</w:t>
            </w:r>
          </w:p>
        </w:tc>
        <w:tc>
          <w:tcPr/>
          <w:p>
            <w:pPr>
              <w:pStyle w:val="Compact"/>
              <w:jc w:val="left"/>
            </w:pPr>
            <w:r>
              <w:t xml:space="preserve">Rocky Reach Dam</w:t>
            </w:r>
          </w:p>
        </w:tc>
        <w:tc>
          <w:tcPr/>
          <w:p>
            <w:pPr>
              <w:pStyle w:val="Compact"/>
              <w:jc w:val="right"/>
            </w:pPr>
            <w:r>
              <w:t xml:space="preserve">2007–2025</w:t>
            </w:r>
          </w:p>
        </w:tc>
        <w:tc>
          <w:tcPr/>
          <w:p>
            <w:pPr>
              <w:pStyle w:val="Compact"/>
              <w:jc w:val="right"/>
            </w:pPr>
            <w:r>
              <w:t xml:space="preserve">2078</w:t>
            </w:r>
          </w:p>
        </w:tc>
        <w:tc>
          <w:tcPr/>
          <w:p>
            <w:pPr>
              <w:pStyle w:val="Compact"/>
              <w:jc w:val="right"/>
            </w:pPr>
            <w:r>
              <w:t xml:space="preserve">1617</w:t>
            </w:r>
          </w:p>
        </w:tc>
        <w:tc>
          <w:tcPr/>
          <w:p>
            <w:pPr>
              <w:pStyle w:val="Compact"/>
              <w:jc w:val="left"/>
            </w:pPr>
            <w:r>
              <w:t xml:space="preserve">461 (22.2%)</w:t>
            </w:r>
          </w:p>
        </w:tc>
      </w:tr>
    </w:tbl>
    <w:bookmarkStart w:id="26" w:name="methow-lmr-and-okanogan-okl"/>
    <w:p>
      <w:pPr>
        <w:pStyle w:val="Heading3"/>
      </w:pPr>
      <w:r>
        <w:t xml:space="preserve">Methow (LMR) and Okanogan (OKL)</w:t>
      </w:r>
    </w:p>
    <w:p>
      <w:pPr>
        <w:pStyle w:val="FirstParagraph"/>
      </w:pPr>
      <w:r>
        <w:rPr>
          <w:bCs/>
          <w:b/>
        </w:rPr>
        <w:t xml:space="preserve">Seasonal pattern:</w:t>
      </w:r>
      <w:r>
        <w:t xml:space="preserve"> </w:t>
      </w:r>
      <w:r>
        <w:t xml:space="preserve">LMR and OKL show a pronounced seasonal cycle driven primarily by spring snowmelt conditions. Detection is near-perfect during the peak summer and fall migration (August–November, &gt;98% at both sites), declines moderately through winter, and reaches its lowest point during the spring period (April–June). Spring detection efficiency averages approximately 37% at LMR and 26% at OKL, likely reflecting reduced antenna performance under high-flow, high-turbidity conditions.</w:t>
      </w:r>
    </w:p>
    <w:tbl>
      <w:tblPr>
        <w:tblStyle w:val="Table"/>
        <w:tblW w:type="pct" w:w="5000"/>
        <w:tblLook w:firstRow="1" w:lastRow="0" w:firstColumn="0" w:lastColumn="0" w:noHBand="0" w:noVBand="0" w:val="0020"/>
        <w:jc w:val="start"/>
      </w:tblPr>
      <w:tblGrid>
        <w:gridCol w:w="2489"/>
        <w:gridCol w:w="905"/>
        <w:gridCol w:w="1810"/>
        <w:gridCol w:w="905"/>
        <w:gridCol w:w="1810"/>
      </w:tblGrid>
      <w:tr>
        <w:trPr>
          <w:tblHeader w:val="true"/>
        </w:trPr>
        <w:tc>
          <w:tcPr/>
          <w:p>
            <w:pPr>
              <w:pStyle w:val="Compact"/>
              <w:jc w:val="left"/>
            </w:pPr>
            <w:r>
              <w:t xml:space="preserve">Season</w:t>
            </w:r>
          </w:p>
        </w:tc>
        <w:tc>
          <w:tcPr/>
          <w:p>
            <w:pPr>
              <w:pStyle w:val="Compact"/>
              <w:jc w:val="right"/>
            </w:pPr>
            <w:r>
              <w:t xml:space="preserve">n (LMR)</w:t>
            </w:r>
          </w:p>
        </w:tc>
        <w:tc>
          <w:tcPr/>
          <w:p>
            <w:pPr>
              <w:pStyle w:val="Compact"/>
              <w:jc w:val="right"/>
            </w:pPr>
            <w:r>
              <w:t xml:space="preserve">Det. eff. (LMR)</w:t>
            </w:r>
          </w:p>
        </w:tc>
        <w:tc>
          <w:tcPr/>
          <w:p>
            <w:pPr>
              <w:pStyle w:val="Compact"/>
              <w:jc w:val="right"/>
            </w:pPr>
            <w:r>
              <w:t xml:space="preserve">n (OKL)</w:t>
            </w:r>
          </w:p>
        </w:tc>
        <w:tc>
          <w:tcPr/>
          <w:p>
            <w:pPr>
              <w:pStyle w:val="Compact"/>
              <w:jc w:val="right"/>
            </w:pPr>
            <w:r>
              <w:t xml:space="preserve">Det. eff. (OKL)</w:t>
            </w:r>
          </w:p>
        </w:tc>
      </w:tr>
      <w:tr>
        <w:tc>
          <w:tcPr/>
          <w:p>
            <w:pPr>
              <w:pStyle w:val="Compact"/>
              <w:jc w:val="left"/>
            </w:pPr>
            <w:r>
              <w:t xml:space="preserve">Summer/Fall (Aug-Nov)</w:t>
            </w:r>
          </w:p>
        </w:tc>
        <w:tc>
          <w:tcPr/>
          <w:p>
            <w:pPr>
              <w:pStyle w:val="Compact"/>
              <w:jc w:val="right"/>
            </w:pPr>
            <w:r>
              <w:t xml:space="preserve">5099</w:t>
            </w:r>
          </w:p>
        </w:tc>
        <w:tc>
          <w:tcPr/>
          <w:p>
            <w:pPr>
              <w:pStyle w:val="Compact"/>
              <w:jc w:val="right"/>
            </w:pPr>
            <w:r>
              <w:t xml:space="preserve">98.6%</w:t>
            </w:r>
          </w:p>
        </w:tc>
        <w:tc>
          <w:tcPr/>
          <w:p>
            <w:pPr>
              <w:pStyle w:val="Compact"/>
              <w:jc w:val="right"/>
            </w:pPr>
            <w:r>
              <w:t xml:space="preserve">1276</w:t>
            </w:r>
          </w:p>
        </w:tc>
        <w:tc>
          <w:tcPr/>
          <w:p>
            <w:pPr>
              <w:pStyle w:val="Compact"/>
              <w:jc w:val="right"/>
            </w:pPr>
            <w:r>
              <w:t xml:space="preserve">99.5%</w:t>
            </w:r>
          </w:p>
        </w:tc>
      </w:tr>
      <w:tr>
        <w:tc>
          <w:tcPr/>
          <w:p>
            <w:pPr>
              <w:pStyle w:val="Compact"/>
              <w:jc w:val="left"/>
            </w:pPr>
            <w:r>
              <w:t xml:space="preserve">Winter (Dec-Feb)</w:t>
            </w:r>
          </w:p>
        </w:tc>
        <w:tc>
          <w:tcPr/>
          <w:p>
            <w:pPr>
              <w:pStyle w:val="Compact"/>
              <w:jc w:val="right"/>
            </w:pPr>
            <w:r>
              <w:t xml:space="preserve">588</w:t>
            </w:r>
          </w:p>
        </w:tc>
        <w:tc>
          <w:tcPr/>
          <w:p>
            <w:pPr>
              <w:pStyle w:val="Compact"/>
              <w:jc w:val="right"/>
            </w:pPr>
            <w:r>
              <w:t xml:space="preserve">92.3%</w:t>
            </w:r>
          </w:p>
        </w:tc>
        <w:tc>
          <w:tcPr/>
          <w:p>
            <w:pPr>
              <w:pStyle w:val="Compact"/>
              <w:jc w:val="right"/>
            </w:pPr>
            <w:r>
              <w:t xml:space="preserve">200</w:t>
            </w:r>
          </w:p>
        </w:tc>
        <w:tc>
          <w:tcPr/>
          <w:p>
            <w:pPr>
              <w:pStyle w:val="Compact"/>
              <w:jc w:val="right"/>
            </w:pPr>
            <w:r>
              <w:t xml:space="preserve">97.5%</w:t>
            </w:r>
          </w:p>
        </w:tc>
      </w:tr>
      <w:tr>
        <w:tc>
          <w:tcPr/>
          <w:p>
            <w:pPr>
              <w:pStyle w:val="Compact"/>
              <w:jc w:val="left"/>
            </w:pPr>
            <w:r>
              <w:t xml:space="preserve">Spring (Mar-Jul)</w:t>
            </w:r>
          </w:p>
        </w:tc>
        <w:tc>
          <w:tcPr/>
          <w:p>
            <w:pPr>
              <w:pStyle w:val="Compact"/>
              <w:jc w:val="right"/>
            </w:pPr>
            <w:r>
              <w:t xml:space="preserve">3946</w:t>
            </w:r>
          </w:p>
        </w:tc>
        <w:tc>
          <w:tcPr/>
          <w:p>
            <w:pPr>
              <w:pStyle w:val="Compact"/>
              <w:jc w:val="right"/>
            </w:pPr>
            <w:r>
              <w:t xml:space="preserve">57.7%</w:t>
            </w:r>
          </w:p>
        </w:tc>
        <w:tc>
          <w:tcPr/>
          <w:p>
            <w:pPr>
              <w:pStyle w:val="Compact"/>
              <w:jc w:val="right"/>
            </w:pPr>
            <w:r>
              <w:t xml:space="preserve">1274</w:t>
            </w:r>
          </w:p>
        </w:tc>
        <w:tc>
          <w:tcPr/>
          <w:p>
            <w:pPr>
              <w:pStyle w:val="Compact"/>
              <w:jc w:val="right"/>
            </w:pPr>
            <w:r>
              <w:t xml:space="preserve">37.1%</w:t>
            </w:r>
          </w:p>
        </w:tc>
      </w:tr>
    </w:tbl>
    <w:p>
      <w:pPr>
        <w:pStyle w:val="BodyText"/>
      </w:pPr>
      <w:r>
        <w:rPr>
          <w:bCs/>
          <w:b/>
        </w:rPr>
        <w:t xml:space="preserve">Annual trend:</w:t>
      </w:r>
      <w:r>
        <w:t xml:space="preserve"> </w:t>
      </w:r>
      <w:r>
        <w:t xml:space="preserve">Detection efficiency at both sites showed a decline around 2015–2019 before recovering in more recent years (2021–2025), suggesting changes in array performance or flow conditions during that period.</w:t>
      </w:r>
    </w:p>
    <w:p>
      <w:pPr>
        <w:pStyle w:val="BodyText"/>
      </w:pPr>
      <w:r>
        <w:rPr>
          <w:bCs/>
          <w:b/>
        </w:rPr>
        <w:t xml:space="preserve">Figure 1</w:t>
      </w:r>
      <w:r>
        <w:t xml:space="preserve"> </w:t>
      </w:r>
      <w:r>
        <w:t xml:space="preserve">shows predicted detection efficiency by season and year for LMR and OKL.</w:t>
      </w:r>
    </w:p>
    <w:p>
      <w:pPr>
        <w:pStyle w:val="CaptionedFigure"/>
      </w:pPr>
      <w:r>
        <w:drawing>
          <wp:inline>
            <wp:extent cx="5334000" cy="4000499"/>
            <wp:effectExtent b="0" l="0" r="0" t="0"/>
            <wp:docPr descr="Figure 1. Predicted gateway array detection efficiency at LMR (Methow, left) and OKL (Okanogan, right). Top panels show seasonal curves for selected years with observed monthly means (bubbles proportional to √n). Bottom panels show the annual trend for September 15 and April 15, with observed annual means overlaid." title="" id="24" name="Picture"/>
            <a:graphic>
              <a:graphicData uri="http://schemas.openxmlformats.org/drawingml/2006/picture">
                <pic:pic>
                  <pic:nvPicPr>
                    <pic:cNvPr descr="gateway_detection_summary_files/figure-docx/figure1-1.png" id="25" name="Picture"/>
                    <pic:cNvPicPr>
                      <a:picLocks noChangeArrowheads="1" noChangeAspect="1"/>
                    </pic:cNvPicPr>
                  </pic:nvPicPr>
                  <pic:blipFill>
                    <a:blip r:embed="rId2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1. Predicted gateway array detection efficiency at LMR (Methow, left) and OKL (Okanogan, right). Top panels show seasonal curves for selected years with observed monthly means (bubbles proportional to √n). Bottom panels show the annual trend for September 15 and April 15, with observed annual means overlaid.</w:t>
      </w:r>
    </w:p>
    <w:bookmarkEnd w:id="26"/>
    <w:bookmarkStart w:id="30" w:name="entiat-enl"/>
    <w:p>
      <w:pPr>
        <w:pStyle w:val="Heading3"/>
      </w:pPr>
      <w:r>
        <w:t xml:space="preserve">Entiat (ENL)</w:t>
      </w:r>
    </w:p>
    <w:p>
      <w:pPr>
        <w:pStyle w:val="FirstParagraph"/>
      </w:pPr>
      <w:r>
        <w:rPr>
          <w:bCs/>
          <w:b/>
        </w:rPr>
        <w:t xml:space="preserve">Seasonal pattern:</w:t>
      </w:r>
      <w:r>
        <w:t xml:space="preserve"> </w:t>
      </w:r>
      <w:r>
        <w:t xml:space="preserve">ENL shows a markedly different seasonal pattern from LMR and OKL. Detection is generally high during winter and early spring (February–April, &gt;80%), drops in May (coinciding with the Entiat River spring freshet), partially recovers through summer, dips again in September at the onset of the peak summer steelhead run, then improves through fall and winter. This double-trough pattern — in May and September — differs from the single spring trough at the Wells Dam subbasin sites and likely reflects the hydrology and flow dynamics of the smaller Entiat River system.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Season</w:t>
            </w:r>
          </w:p>
        </w:tc>
        <w:tc>
          <w:tcPr/>
          <w:p>
            <w:pPr>
              <w:pStyle w:val="Compact"/>
              <w:jc w:val="right"/>
            </w:pPr>
            <w:r>
              <w:t xml:space="preserve">n (ENL)</w:t>
            </w:r>
          </w:p>
        </w:tc>
        <w:tc>
          <w:tcPr/>
          <w:p>
            <w:pPr>
              <w:pStyle w:val="Compact"/>
              <w:jc w:val="right"/>
            </w:pPr>
            <w:r>
              <w:t xml:space="preserve">Det. eff. (ENL)</w:t>
            </w:r>
          </w:p>
        </w:tc>
      </w:tr>
      <w:tr>
        <w:tc>
          <w:tcPr/>
          <w:p>
            <w:pPr>
              <w:pStyle w:val="Compact"/>
              <w:jc w:val="left"/>
            </w:pPr>
            <w:r>
              <w:t xml:space="preserve">Summer/Fall (Aug-Nov)</w:t>
            </w:r>
          </w:p>
        </w:tc>
        <w:tc>
          <w:tcPr/>
          <w:p>
            <w:pPr>
              <w:pStyle w:val="Compact"/>
              <w:jc w:val="right"/>
            </w:pPr>
            <w:r>
              <w:t xml:space="preserve">674</w:t>
            </w:r>
          </w:p>
        </w:tc>
        <w:tc>
          <w:tcPr/>
          <w:p>
            <w:pPr>
              <w:pStyle w:val="Compact"/>
              <w:jc w:val="right"/>
            </w:pPr>
            <w:r>
              <w:t xml:space="preserve">71.1%</w:t>
            </w:r>
          </w:p>
        </w:tc>
      </w:tr>
      <w:tr>
        <w:tc>
          <w:tcPr/>
          <w:p>
            <w:pPr>
              <w:pStyle w:val="Compact"/>
              <w:jc w:val="left"/>
            </w:pPr>
            <w:r>
              <w:t xml:space="preserve">Winter (Dec-Feb)</w:t>
            </w:r>
          </w:p>
        </w:tc>
        <w:tc>
          <w:tcPr/>
          <w:p>
            <w:pPr>
              <w:pStyle w:val="Compact"/>
              <w:jc w:val="right"/>
            </w:pPr>
            <w:r>
              <w:t xml:space="preserve">81</w:t>
            </w:r>
          </w:p>
        </w:tc>
        <w:tc>
          <w:tcPr/>
          <w:p>
            <w:pPr>
              <w:pStyle w:val="Compact"/>
              <w:jc w:val="right"/>
            </w:pPr>
            <w:r>
              <w:t xml:space="preserve">76.5%</w:t>
            </w:r>
          </w:p>
        </w:tc>
      </w:tr>
      <w:tr>
        <w:tc>
          <w:tcPr/>
          <w:p>
            <w:pPr>
              <w:pStyle w:val="Compact"/>
              <w:jc w:val="left"/>
            </w:pPr>
            <w:r>
              <w:t xml:space="preserve">Spring (Mar-Jul)</w:t>
            </w:r>
          </w:p>
        </w:tc>
        <w:tc>
          <w:tcPr/>
          <w:p>
            <w:pPr>
              <w:pStyle w:val="Compact"/>
              <w:jc w:val="right"/>
            </w:pPr>
            <w:r>
              <w:t xml:space="preserve">1323</w:t>
            </w:r>
          </w:p>
        </w:tc>
        <w:tc>
          <w:tcPr/>
          <w:p>
            <w:pPr>
              <w:pStyle w:val="Compact"/>
              <w:jc w:val="right"/>
            </w:pPr>
            <w:r>
              <w:t xml:space="preserve">81.3%</w:t>
            </w:r>
          </w:p>
        </w:tc>
      </w:tr>
    </w:tbl>
    <w:p>
      <w:pPr>
        <w:pStyle w:val="BodyText"/>
      </w:pPr>
      <w:r>
        <w:rPr>
          <w:bCs/>
          <w:b/>
        </w:rPr>
        <w:t xml:space="preserve">Annual trend:</w:t>
      </w:r>
      <w:r>
        <w:t xml:space="preserve"> </w:t>
      </w:r>
      <w:r>
        <w:t xml:space="preserve">Detection efficiency at ENL was high (&gt;90%) from 2008 through approximately 2014, then declined sharply through 2019, partially recovered around 2020–2021, and declined again in 2023–2024. This pronounced and non-monotonic inter-annual pattern is the dominant source of variation at ENL and is not explained by seasonal timing alone. The causes likely include array maintenance issues, equipment failures, or changes in local hydraulic conditions affecting PIT tag detection range.</w:t>
      </w:r>
    </w:p>
    <w:p>
      <w:pPr>
        <w:pStyle w:val="BodyText"/>
      </w:pPr>
      <w:r>
        <w:rPr>
          <w:bCs/>
          <w:b/>
        </w:rPr>
        <w:t xml:space="preserve">Figure 2</w:t>
      </w:r>
      <w:r>
        <w:t xml:space="preserve"> </w:t>
      </w:r>
      <w:r>
        <w:t xml:space="preserve">shows predicted detection efficiency by season and year for ENL.</w:t>
      </w:r>
    </w:p>
    <w:p>
      <w:pPr>
        <w:pStyle w:val="CaptionedFigure"/>
      </w:pPr>
      <w:r>
        <w:drawing>
          <wp:inline>
            <wp:extent cx="5334000" cy="2667000"/>
            <wp:effectExtent b="0" l="0" r="0" t="0"/>
            <wp:docPr descr="Figure 2. Predicted gateway array detection efficiency at ENL (Entiat River). Left panel shows seasonal curves for selected years with observed monthly means (bubbles proportional to √n). Right panel shows the annual trend for September 15 and April 15, with observed annual means overlaid." title="" id="28" name="Picture"/>
            <a:graphic>
              <a:graphicData uri="http://schemas.openxmlformats.org/drawingml/2006/picture">
                <pic:pic>
                  <pic:nvPicPr>
                    <pic:cNvPr descr="gateway_detection_summary_files/figure-docx/figure2-1.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 Predicted gateway array detection efficiency at ENL (Entiat River). Left panel shows seasonal curves for selected years with observed monthly means (bubbles proportional to √n). Right panel shows the annual trend for September 15 and April 15, with observed annual means overlaid.</w:t>
      </w:r>
    </w:p>
    <w:bookmarkEnd w:id="30"/>
    <w:bookmarkStart w:id="31" w:name="model-performance"/>
    <w:p>
      <w:pPr>
        <w:pStyle w:val="Heading3"/>
      </w:pPr>
      <w:r>
        <w:t xml:space="preserve">Model performance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Training years</w:t>
            </w:r>
          </w:p>
        </w:tc>
        <w:tc>
          <w:tcPr/>
          <w:p>
            <w:pPr>
              <w:pStyle w:val="Compact"/>
              <w:jc w:val="right"/>
            </w:pPr>
            <w:r>
              <w:t xml:space="preserve">n (fish)</w:t>
            </w:r>
          </w:p>
        </w:tc>
        <w:tc>
          <w:tcPr/>
          <w:p>
            <w:pPr>
              <w:pStyle w:val="Compact"/>
              <w:jc w:val="right"/>
            </w:pPr>
            <w:r>
              <w:t xml:space="preserve">Deviance explained</w:t>
            </w:r>
          </w:p>
        </w:tc>
        <w:tc>
          <w:tcPr/>
          <w:p>
            <w:pPr>
              <w:pStyle w:val="Compact"/>
              <w:jc w:val="left"/>
            </w:pPr>
            <w:r>
              <w:t xml:space="preserve">AUC</w:t>
            </w:r>
          </w:p>
        </w:tc>
      </w:tr>
      <w:tr>
        <w:tc>
          <w:tcPr/>
          <w:p>
            <w:pPr>
              <w:pStyle w:val="Compact"/>
              <w:jc w:val="left"/>
            </w:pPr>
            <w:r>
              <w:t xml:space="preserve">LMR (Methow)</w:t>
            </w:r>
          </w:p>
        </w:tc>
        <w:tc>
          <w:tcPr/>
          <w:p>
            <w:pPr>
              <w:pStyle w:val="Compact"/>
              <w:jc w:val="left"/>
            </w:pPr>
            <w:r>
              <w:t xml:space="preserve">2009–2025</w:t>
            </w:r>
          </w:p>
        </w:tc>
        <w:tc>
          <w:tcPr/>
          <w:p>
            <w:pPr>
              <w:pStyle w:val="Compact"/>
              <w:jc w:val="right"/>
            </w:pPr>
            <w:r>
              <w:t xml:space="preserve">9633</w:t>
            </w:r>
          </w:p>
        </w:tc>
        <w:tc>
          <w:tcPr/>
          <w:p>
            <w:pPr>
              <w:pStyle w:val="Compact"/>
              <w:jc w:val="right"/>
            </w:pPr>
            <w:r>
              <w:t xml:space="preserve">37.6%</w:t>
            </w:r>
          </w:p>
        </w:tc>
        <w:tc>
          <w:tcPr/>
          <w:p>
            <w:pPr>
              <w:pStyle w:val="Compact"/>
              <w:jc w:val="left"/>
            </w:pPr>
            <w:r>
              <w:t xml:space="preserve">0.893</w:t>
            </w:r>
          </w:p>
        </w:tc>
      </w:tr>
      <w:tr>
        <w:tc>
          <w:tcPr/>
          <w:p>
            <w:pPr>
              <w:pStyle w:val="Compact"/>
              <w:jc w:val="left"/>
            </w:pPr>
            <w:r>
              <w:t xml:space="preserve">OKL (Okanogan)</w:t>
            </w:r>
          </w:p>
        </w:tc>
        <w:tc>
          <w:tcPr/>
          <w:p>
            <w:pPr>
              <w:pStyle w:val="Compact"/>
              <w:jc w:val="left"/>
            </w:pPr>
            <w:r>
              <w:t xml:space="preserve">2013–2025</w:t>
            </w:r>
          </w:p>
        </w:tc>
        <w:tc>
          <w:tcPr/>
          <w:p>
            <w:pPr>
              <w:pStyle w:val="Compact"/>
              <w:jc w:val="right"/>
            </w:pPr>
            <w:r>
              <w:t xml:space="preserve">2750</w:t>
            </w:r>
          </w:p>
        </w:tc>
        <w:tc>
          <w:tcPr/>
          <w:p>
            <w:pPr>
              <w:pStyle w:val="Compact"/>
              <w:jc w:val="right"/>
            </w:pPr>
            <w:r>
              <w:t xml:space="preserve">51.8%</w:t>
            </w:r>
          </w:p>
        </w:tc>
        <w:tc>
          <w:tcPr/>
          <w:p>
            <w:pPr>
              <w:pStyle w:val="Compact"/>
              <w:jc w:val="left"/>
            </w:pPr>
            <w:r>
              <w:t xml:space="preserve">0.925</w:t>
            </w:r>
          </w:p>
        </w:tc>
      </w:tr>
      <w:tr>
        <w:tc>
          <w:tcPr/>
          <w:p>
            <w:pPr>
              <w:pStyle w:val="Compact"/>
              <w:jc w:val="left"/>
            </w:pPr>
            <w:r>
              <w:t xml:space="preserve">ENL (Entiat)</w:t>
            </w:r>
          </w:p>
        </w:tc>
        <w:tc>
          <w:tcPr/>
          <w:p>
            <w:pPr>
              <w:pStyle w:val="Compact"/>
              <w:jc w:val="left"/>
            </w:pPr>
            <w:r>
              <w:t xml:space="preserve">2007–2025</w:t>
            </w:r>
          </w:p>
        </w:tc>
        <w:tc>
          <w:tcPr/>
          <w:p>
            <w:pPr>
              <w:pStyle w:val="Compact"/>
              <w:jc w:val="right"/>
            </w:pPr>
            <w:r>
              <w:t xml:space="preserve">2078</w:t>
            </w:r>
          </w:p>
        </w:tc>
        <w:tc>
          <w:tcPr/>
          <w:p>
            <w:pPr>
              <w:pStyle w:val="Compact"/>
              <w:jc w:val="right"/>
            </w:pPr>
            <w:r>
              <w:t xml:space="preserve">27.4%</w:t>
            </w:r>
          </w:p>
        </w:tc>
        <w:tc>
          <w:tcPr/>
          <w:p>
            <w:pPr>
              <w:pStyle w:val="Compact"/>
              <w:jc w:val="left"/>
            </w:pPr>
            <w:r>
              <w:t xml:space="preserve">0.846</w:t>
            </w:r>
          </w:p>
        </w:tc>
      </w:tr>
    </w:tbl>
    <w:p>
      <w:pPr>
        <w:pStyle w:val="BodyText"/>
      </w:pPr>
      <w:r>
        <w:t xml:space="preserve">All three models discriminate well between detected and missed fish (AUC &gt; 0.84). The lower deviance explained at ENL (27.4%) compared to LMR and OKL reflects the more complex and less predictable inter-annual variation at that site.</w:t>
      </w:r>
    </w:p>
    <w:bookmarkEnd w:id="31"/>
    <w:bookmarkEnd w:id="32"/>
    <w:bookmarkStart w:id="33" w:name="prediction-tool"/>
    <w:p>
      <w:pPr>
        <w:pStyle w:val="Heading2"/>
      </w:pPr>
      <w:r>
        <w:t xml:space="preserve">Prediction Tool</w:t>
      </w:r>
    </w:p>
    <w:p>
      <w:pPr>
        <w:pStyle w:val="FirstParagraph"/>
      </w:pPr>
      <w:r>
        <w:t xml:space="preserve">The fitted GAM objects for all three sites are saved in</w:t>
      </w:r>
      <w:r>
        <w:t xml:space="preserve"> </w:t>
      </w:r>
      <w:r>
        <w:rPr>
          <w:rStyle w:val="VerbatimChar"/>
        </w:rPr>
        <w:t xml:space="preserve">gateway_detection_models.RData</w:t>
      </w:r>
      <w:r>
        <w:t xml:space="preserve">. To obtain a predicted detection efficiency for any date, load the models and call</w:t>
      </w:r>
      <w:r>
        <w:t xml:space="preserve"> </w:t>
      </w:r>
      <w:r>
        <w:rPr>
          <w:rStyle w:val="VerbatimChar"/>
        </w:rPr>
        <w:t xml:space="preserve">predict()</w:t>
      </w:r>
      <w:r>
        <w:t xml:space="preserve"> </w:t>
      </w:r>
      <w:r>
        <w:t xml:space="preserve">directly:</w:t>
      </w:r>
    </w:p>
    <w:p>
      <w:pPr>
        <w:pStyle w:val="SourceCode"/>
      </w:pPr>
      <w:r>
        <w:rPr>
          <w:rStyle w:val="FunctionTok"/>
        </w:rPr>
        <w:t xml:space="preserve">load</w:t>
      </w:r>
      <w:r>
        <w:rPr>
          <w:rStyle w:val="NormalTok"/>
        </w:rPr>
        <w:t xml:space="preserve">(</w:t>
      </w:r>
      <w:r>
        <w:rPr>
          <w:rStyle w:val="StringTok"/>
        </w:rPr>
        <w:t xml:space="preserve">"gateway_detection_models.RData"</w:t>
      </w:r>
      <w:r>
        <w:rPr>
          <w:rStyle w:val="NormalTok"/>
        </w:rPr>
        <w:t xml:space="preserve">)</w:t>
      </w:r>
      <w:r>
        <w:br/>
      </w:r>
      <w:r>
        <w:br/>
      </w:r>
      <w:r>
        <w:rPr>
          <w:rStyle w:val="CommentTok"/>
        </w:rPr>
        <w:t xml:space="preserve"># Predicted detection efficiency at LMR on April 15, 2023</w:t>
      </w:r>
      <w:r>
        <w:br/>
      </w:r>
      <w:r>
        <w:rPr>
          <w:rStyle w:val="FunctionTok"/>
        </w:rPr>
        <w:t xml:space="preserve">predict</w:t>
      </w:r>
      <w:r>
        <w:rPr>
          <w:rStyle w:val="NormalTok"/>
        </w:rPr>
        <w:t xml:space="preserve">(gam_met,</w:t>
      </w:r>
      <w:r>
        <w:br/>
      </w:r>
      <w:r>
        <w:rPr>
          <w:rStyle w:val="NormalTok"/>
        </w:rPr>
        <w:t xml:space="preserve">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doy    =</w:t>
      </w:r>
      <w:r>
        <w:rPr>
          <w:rStyle w:val="NormalTok"/>
        </w:rPr>
        <w:t xml:space="preserve"> </w:t>
      </w:r>
      <w:r>
        <w:rPr>
          <w:rStyle w:val="FunctionTok"/>
        </w:rPr>
        <w:t xml:space="preserve">yday</w:t>
      </w:r>
      <w:r>
        <w:rPr>
          <w:rStyle w:val="NormalTok"/>
        </w:rPr>
        <w:t xml:space="preserve">(</w:t>
      </w:r>
      <w:r>
        <w:rPr>
          <w:rStyle w:val="FunctionTok"/>
        </w:rPr>
        <w:t xml:space="preserve">as.Date</w:t>
      </w:r>
      <w:r>
        <w:rPr>
          <w:rStyle w:val="NormalTok"/>
        </w:rPr>
        <w:t xml:space="preserve">(</w:t>
      </w:r>
      <w:r>
        <w:rPr>
          <w:rStyle w:val="StringTok"/>
        </w:rPr>
        <w:t xml:space="preserve">"2023-04-15"</w:t>
      </w:r>
      <w:r>
        <w:rPr>
          <w:rStyle w:val="NormalTok"/>
        </w:rPr>
        <w:t xml:space="preserve">)),</w:t>
      </w:r>
      <w:r>
        <w:br/>
      </w:r>
      <w:r>
        <w:rPr>
          <w:rStyle w:val="NormalTok"/>
        </w:rPr>
        <w:t xml:space="preserve">                             </w:t>
      </w:r>
      <w:r>
        <w:rPr>
          <w:rStyle w:val="AttributeTok"/>
        </w:rPr>
        <w:t xml:space="preserve">year_c =</w:t>
      </w:r>
      <w:r>
        <w:rPr>
          <w:rStyle w:val="NormalTok"/>
        </w:rPr>
        <w:t xml:space="preserve"> </w:t>
      </w:r>
      <w:r>
        <w:rPr>
          <w:rStyle w:val="DecValTok"/>
        </w:rPr>
        <w:t xml:space="preserve">2023</w:t>
      </w:r>
      <w:r>
        <w:rPr>
          <w:rStyle w:val="NormalTok"/>
        </w:rPr>
        <w:t xml:space="preserve"> </w:t>
      </w:r>
      <w:r>
        <w:rPr>
          <w:rStyle w:val="SpecialCharTok"/>
        </w:rPr>
        <w:t xml:space="preserve">-</w:t>
      </w:r>
      <w:r>
        <w:rPr>
          <w:rStyle w:val="NormalTok"/>
        </w:rPr>
        <w:t xml:space="preserve"> </w:t>
      </w:r>
      <w:r>
        <w:rPr>
          <w:rStyle w:val="DecValTok"/>
        </w:rPr>
        <w:t xml:space="preserve">2009</w:t>
      </w:r>
      <w:r>
        <w:rPr>
          <w:rStyle w:val="NormalTok"/>
        </w:rPr>
        <w:t xml:space="preserve">),   </w:t>
      </w:r>
      <w:r>
        <w:rPr>
          <w:rStyle w:val="CommentTok"/>
        </w:rPr>
        <w:t xml:space="preserve"># lmr_base_year = 2009</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CommentTok"/>
        </w:rPr>
        <w:t xml:space="preserve"># Predicted detection efficiency at OKL on September 1, 2022</w:t>
      </w:r>
      <w:r>
        <w:br/>
      </w:r>
      <w:r>
        <w:rPr>
          <w:rStyle w:val="FunctionTok"/>
        </w:rPr>
        <w:t xml:space="preserve">predict</w:t>
      </w:r>
      <w:r>
        <w:rPr>
          <w:rStyle w:val="NormalTok"/>
        </w:rPr>
        <w:t xml:space="preserve">(gam_oka,</w:t>
      </w:r>
      <w:r>
        <w:br/>
      </w:r>
      <w:r>
        <w:rPr>
          <w:rStyle w:val="NormalTok"/>
        </w:rPr>
        <w:t xml:space="preserve">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doy    =</w:t>
      </w:r>
      <w:r>
        <w:rPr>
          <w:rStyle w:val="NormalTok"/>
        </w:rPr>
        <w:t xml:space="preserve"> </w:t>
      </w:r>
      <w:r>
        <w:rPr>
          <w:rStyle w:val="FunctionTok"/>
        </w:rPr>
        <w:t xml:space="preserve">yday</w:t>
      </w:r>
      <w:r>
        <w:rPr>
          <w:rStyle w:val="NormalTok"/>
        </w:rPr>
        <w:t xml:space="preserve">(</w:t>
      </w:r>
      <w:r>
        <w:rPr>
          <w:rStyle w:val="FunctionTok"/>
        </w:rPr>
        <w:t xml:space="preserve">as.Date</w:t>
      </w:r>
      <w:r>
        <w:rPr>
          <w:rStyle w:val="NormalTok"/>
        </w:rPr>
        <w:t xml:space="preserve">(</w:t>
      </w:r>
      <w:r>
        <w:rPr>
          <w:rStyle w:val="StringTok"/>
        </w:rPr>
        <w:t xml:space="preserve">"2022-09-01"</w:t>
      </w:r>
      <w:r>
        <w:rPr>
          <w:rStyle w:val="NormalTok"/>
        </w:rPr>
        <w:t xml:space="preserve">)),</w:t>
      </w:r>
      <w:r>
        <w:br/>
      </w:r>
      <w:r>
        <w:rPr>
          <w:rStyle w:val="NormalTok"/>
        </w:rPr>
        <w:t xml:space="preserve">                             </w:t>
      </w:r>
      <w:r>
        <w:rPr>
          <w:rStyle w:val="AttributeTok"/>
        </w:rPr>
        <w:t xml:space="preserve">year_c =</w:t>
      </w:r>
      <w:r>
        <w:rPr>
          <w:rStyle w:val="NormalTok"/>
        </w:rPr>
        <w:t xml:space="preserve"> </w:t>
      </w:r>
      <w:r>
        <w:rPr>
          <w:rStyle w:val="DecValTok"/>
        </w:rPr>
        <w:t xml:space="preserve">2022</w:t>
      </w:r>
      <w:r>
        <w:rPr>
          <w:rStyle w:val="NormalTok"/>
        </w:rPr>
        <w:t xml:space="preserve"> </w:t>
      </w:r>
      <w:r>
        <w:rPr>
          <w:rStyle w:val="SpecialCharTok"/>
        </w:rPr>
        <w:t xml:space="preserve">-</w:t>
      </w:r>
      <w:r>
        <w:rPr>
          <w:rStyle w:val="NormalTok"/>
        </w:rPr>
        <w:t xml:space="preserve"> </w:t>
      </w:r>
      <w:r>
        <w:rPr>
          <w:rStyle w:val="DecValTok"/>
        </w:rPr>
        <w:t xml:space="preserve">2013</w:t>
      </w:r>
      <w:r>
        <w:rPr>
          <w:rStyle w:val="NormalTok"/>
        </w:rPr>
        <w:t xml:space="preserve">),   </w:t>
      </w:r>
      <w:r>
        <w:rPr>
          <w:rStyle w:val="CommentTok"/>
        </w:rPr>
        <w:t xml:space="preserve"># okl_base_year = 2013</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CommentTok"/>
        </w:rPr>
        <w:t xml:space="preserve"># Predicted detection efficiency at ENL on March 15, 2021</w:t>
      </w:r>
      <w:r>
        <w:br/>
      </w:r>
      <w:r>
        <w:rPr>
          <w:rStyle w:val="FunctionTok"/>
        </w:rPr>
        <w:t xml:space="preserve">predict</w:t>
      </w:r>
      <w:r>
        <w:rPr>
          <w:rStyle w:val="NormalTok"/>
        </w:rPr>
        <w:t xml:space="preserve">(gam_enl,</w:t>
      </w:r>
      <w:r>
        <w:br/>
      </w:r>
      <w:r>
        <w:rPr>
          <w:rStyle w:val="NormalTok"/>
        </w:rPr>
        <w:t xml:space="preserve">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doy    =</w:t>
      </w:r>
      <w:r>
        <w:rPr>
          <w:rStyle w:val="NormalTok"/>
        </w:rPr>
        <w:t xml:space="preserve"> </w:t>
      </w:r>
      <w:r>
        <w:rPr>
          <w:rStyle w:val="FunctionTok"/>
        </w:rPr>
        <w:t xml:space="preserve">yday</w:t>
      </w:r>
      <w:r>
        <w:rPr>
          <w:rStyle w:val="NormalTok"/>
        </w:rPr>
        <w:t xml:space="preserve">(</w:t>
      </w:r>
      <w:r>
        <w:rPr>
          <w:rStyle w:val="FunctionTok"/>
        </w:rPr>
        <w:t xml:space="preserve">as.Date</w:t>
      </w:r>
      <w:r>
        <w:rPr>
          <w:rStyle w:val="NormalTok"/>
        </w:rPr>
        <w:t xml:space="preserve">(</w:t>
      </w:r>
      <w:r>
        <w:rPr>
          <w:rStyle w:val="StringTok"/>
        </w:rPr>
        <w:t xml:space="preserve">"2021-03-15"</w:t>
      </w:r>
      <w:r>
        <w:rPr>
          <w:rStyle w:val="NormalTok"/>
        </w:rPr>
        <w:t xml:space="preserve">)),</w:t>
      </w:r>
      <w:r>
        <w:br/>
      </w:r>
      <w:r>
        <w:rPr>
          <w:rStyle w:val="NormalTok"/>
        </w:rPr>
        <w:t xml:space="preserve">                             </w:t>
      </w:r>
      <w:r>
        <w:rPr>
          <w:rStyle w:val="AttributeTok"/>
        </w:rPr>
        <w:t xml:space="preserve">year_c =</w:t>
      </w:r>
      <w:r>
        <w:rPr>
          <w:rStyle w:val="NormalTok"/>
        </w:rPr>
        <w:t xml:space="preserve"> </w:t>
      </w:r>
      <w:r>
        <w:rPr>
          <w:rStyle w:val="DecValTok"/>
        </w:rPr>
        <w:t xml:space="preserve">2021</w:t>
      </w:r>
      <w:r>
        <w:rPr>
          <w:rStyle w:val="NormalTok"/>
        </w:rPr>
        <w:t xml:space="preserve"> </w:t>
      </w:r>
      <w:r>
        <w:rPr>
          <w:rStyle w:val="SpecialCharTok"/>
        </w:rPr>
        <w:t xml:space="preserve">-</w:t>
      </w:r>
      <w:r>
        <w:rPr>
          <w:rStyle w:val="NormalTok"/>
        </w:rPr>
        <w:t xml:space="preserve"> </w:t>
      </w:r>
      <w:r>
        <w:rPr>
          <w:rStyle w:val="DecValTok"/>
        </w:rPr>
        <w:t xml:space="preserve">2007</w:t>
      </w:r>
      <w:r>
        <w:rPr>
          <w:rStyle w:val="NormalTok"/>
        </w:rPr>
        <w:t xml:space="preserve">),   </w:t>
      </w:r>
      <w:r>
        <w:rPr>
          <w:rStyle w:val="CommentTok"/>
        </w:rPr>
        <w:t xml:space="preserve"># enl_base_year = 2007</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p>
    <w:p>
      <w:pPr>
        <w:pStyle w:val="FirstParagraph"/>
      </w:pPr>
      <w:r>
        <w:rPr>
          <w:bCs/>
          <w:b/>
        </w:rPr>
        <w:t xml:space="preserve">Note:</w:t>
      </w:r>
      <w:r>
        <w:t xml:space="preserve"> </w:t>
      </w:r>
      <w:r>
        <w:t xml:space="preserve">Predictions for June–July at LMR and OKL carry higher uncertainty due to sparse observations in those months. At ENL, inter-annual variation is large and not fully captured by the year smooth; predictions for years well outside the 2007–2025 training range should be treated with caution.</w:t>
      </w:r>
    </w:p>
    <w:bookmarkEnd w:id="33"/>
    <w:bookmarkStart w:id="47" w:name="bayesian-flow-informed-detection-model"/>
    <w:p>
      <w:pPr>
        <w:pStyle w:val="Heading2"/>
      </w:pPr>
      <w:r>
        <w:t xml:space="preserve">Bayesian Flow-Informed Detection Model</w:t>
      </w:r>
    </w:p>
    <w:bookmarkStart w:id="34" w:name="rationale"/>
    <w:p>
      <w:pPr>
        <w:pStyle w:val="Heading3"/>
      </w:pPr>
      <w:r>
        <w:t xml:space="preserve">Rationale</w:t>
      </w:r>
    </w:p>
    <w:p>
      <w:pPr>
        <w:pStyle w:val="FirstParagraph"/>
      </w:pPr>
      <w:r>
        <w:t xml:space="preserve">The GAM models described above capture seasonal and inter-annual variation empirically, but do not explain</w:t>
      </w:r>
      <w:r>
        <w:t xml:space="preserve"> </w:t>
      </w:r>
      <w:r>
        <w:rPr>
          <w:iCs/>
          <w:i/>
        </w:rPr>
        <w:t xml:space="preserve">why</w:t>
      </w:r>
      <w:r>
        <w:t xml:space="preserve"> </w:t>
      </w:r>
      <w:r>
        <w:t xml:space="preserve">detection varies. River discharge is the primary physical driver of PIT array detection efficiency: high flows increase water velocity and turbulence, reducing the time a tagged fish spends within the antenna detection field. Incorporating daily discharge as an explicit covariate provides a mechanistic model that can (1) be driven by observed or forecast flow conditions, (2) separate flow-driven detection failures from equipment or maintenance issues captured by year random effects, and (3) propagate uncertainty in detection efficiency through to downstream escapement estimates.</w:t>
      </w:r>
    </w:p>
    <w:bookmarkEnd w:id="34"/>
    <w:bookmarkStart w:id="35" w:name="data-1"/>
    <w:p>
      <w:pPr>
        <w:pStyle w:val="Heading3"/>
      </w:pPr>
      <w:r>
        <w:t xml:space="preserve">Data</w:t>
      </w:r>
    </w:p>
    <w:p>
      <w:pPr>
        <w:pStyle w:val="FirstParagraph"/>
      </w:pPr>
      <w:r>
        <w:t xml:space="preserve">Daily mean discharge was retrieved from USGS National Water Information System gauges proximal to each array:</w:t>
      </w:r>
    </w:p>
    <w:p>
      <w:pPr>
        <w:numPr>
          <w:ilvl w:val="0"/>
          <w:numId w:val="1003"/>
        </w:numPr>
        <w:pStyle w:val="Compact"/>
      </w:pPr>
      <w:r>
        <w:rPr>
          <w:bCs/>
          <w:b/>
        </w:rPr>
        <w:t xml:space="preserve">LMR:</w:t>
      </w:r>
      <w:r>
        <w:t xml:space="preserve"> </w:t>
      </w:r>
      <w:r>
        <w:t xml:space="preserve">Methow River near Pateros, WA (USGS 12449950; drainage area 1,772 mi²)</w:t>
      </w:r>
    </w:p>
    <w:p>
      <w:pPr>
        <w:numPr>
          <w:ilvl w:val="0"/>
          <w:numId w:val="1003"/>
        </w:numPr>
        <w:pStyle w:val="Compact"/>
      </w:pPr>
      <w:r>
        <w:rPr>
          <w:bCs/>
          <w:b/>
        </w:rPr>
        <w:t xml:space="preserve">OKL:</w:t>
      </w:r>
      <w:r>
        <w:t xml:space="preserve"> </w:t>
      </w:r>
      <w:r>
        <w:t xml:space="preserve">Okanogan River at Oroville, WA (USGS 12439500; drainage area 3,195 mi²)</w:t>
      </w:r>
    </w:p>
    <w:p>
      <w:pPr>
        <w:numPr>
          <w:ilvl w:val="0"/>
          <w:numId w:val="1003"/>
        </w:numPr>
        <w:pStyle w:val="Compact"/>
      </w:pPr>
      <w:r>
        <w:rPr>
          <w:bCs/>
          <w:b/>
        </w:rPr>
        <w:t xml:space="preserve">ENL:</w:t>
      </w:r>
      <w:r>
        <w:t xml:space="preserve"> </w:t>
      </w:r>
      <w:r>
        <w:t xml:space="preserve">Entiat River near Entiat, WA (USGS 12452990; drainage area 419 mi²)</w:t>
      </w:r>
    </w:p>
    <w:p>
      <w:pPr>
        <w:pStyle w:val="FirstParagraph"/>
      </w:pPr>
      <w:r>
        <w:t xml:space="preserve">Discharge on the date of each fish’s first subbasin detection was joined to the detection dataset.</w:t>
      </w:r>
    </w:p>
    <w:bookmarkEnd w:id="35"/>
    <w:bookmarkStart w:id="39" w:name="exploratory-analysis"/>
    <w:p>
      <w:pPr>
        <w:pStyle w:val="Heading3"/>
      </w:pPr>
      <w:r>
        <w:t xml:space="preserve">Exploratory Analysis</w:t>
      </w:r>
    </w:p>
    <w:p>
      <w:pPr>
        <w:pStyle w:val="FirstParagraph"/>
      </w:pPr>
      <w:r>
        <w:t xml:space="preserve">Before model fitting, detection rates were tabulated by discharge decile. LMR and OKL show a clear monotonic decline in detection with increasing flow. ENL shows an inverted-U pattern: both very low flows (&lt;100 cfs) and very high flows (&gt;1,000 cfs) are associated with reduced detection, with peak detection efficiency at moderate flows (~200–500 cfs). This physically distinct pattern — consistent with the smaller Entiat River having less main-channel flow concentration at low stages — motivated a quadratic log-discharge term for ENL.</w:t>
      </w:r>
    </w:p>
    <w:p>
      <w:pPr>
        <w:pStyle w:val="CaptionedFigure"/>
      </w:pPr>
      <w:r>
        <w:drawing>
          <wp:inline>
            <wp:extent cx="5334000" cy="1778000"/>
            <wp:effectExtent b="0" l="0" r="0" t="0"/>
            <wp:docPr descr="Figure 3. Detection efficiency by discharge decile at each gateway site. Bubble size proportional to number of fish in each decile bin." title="" id="37" name="Picture"/>
            <a:graphic>
              <a:graphicData uri="http://schemas.openxmlformats.org/drawingml/2006/picture">
                <pic:pic>
                  <pic:nvPicPr>
                    <pic:cNvPr descr="gateway_detection_summary_files/figure-docx/flow-explore-1.png" id="38" name="Picture"/>
                    <pic:cNvPicPr>
                      <a:picLocks noChangeArrowheads="1" noChangeAspect="1"/>
                    </pic:cNvPicPr>
                  </pic:nvPicPr>
                  <pic:blipFill>
                    <a:blip r:embed="rId36"/>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Figure 3. Detection efficiency by discharge decile at each gateway site. Bubble size proportional to number of fish in each decile bin.</w:t>
      </w:r>
    </w:p>
    <w:bookmarkEnd w:id="39"/>
    <w:bookmarkStart w:id="40" w:name="model-structure"/>
    <w:p>
      <w:pPr>
        <w:pStyle w:val="Heading3"/>
      </w:pPr>
      <w:r>
        <w:t xml:space="preserve">Model Structure</w:t>
      </w:r>
    </w:p>
    <w:p>
      <w:pPr>
        <w:pStyle w:val="FirstParagraph"/>
      </w:pPr>
      <w:r>
        <w:t xml:space="preserve">Detection efficiency was modeled using a Bayesian binomial generalized additive model implemented in Stan via the</w:t>
      </w:r>
      <w:r>
        <w:t xml:space="preserve"> </w:t>
      </w:r>
      <w:r>
        <w:rPr>
          <w:bCs/>
          <w:b/>
        </w:rPr>
        <w:t xml:space="preserve">brms</w:t>
      </w:r>
      <w:r>
        <w:t xml:space="preserve"> </w:t>
      </w:r>
      <w:r>
        <w:t xml:space="preserve">package. Three model variants were compared:</w:t>
      </w:r>
    </w:p>
    <w:p>
      <w:pPr>
        <w:numPr>
          <w:ilvl w:val="0"/>
          <w:numId w:val="1004"/>
        </w:numPr>
        <w:pStyle w:val="Compact"/>
      </w:pPr>
      <w:r>
        <w:rPr>
          <w:bCs/>
          <w:b/>
        </w:rPr>
        <w:t xml:space="preserve">GAM (doy + year smooth):</w:t>
      </w:r>
      <w:r>
        <w:t xml:space="preserve"> </w:t>
      </w:r>
      <w:r>
        <w:t xml:space="preserve">The baseline model described above — no flow data</w:t>
      </w:r>
    </w:p>
    <w:p>
      <w:pPr>
        <w:numPr>
          <w:ilvl w:val="0"/>
          <w:numId w:val="1004"/>
        </w:numPr>
        <w:pStyle w:val="Compact"/>
      </w:pPr>
      <w:r>
        <w:rPr>
          <w:bCs/>
          <w:b/>
        </w:rPr>
        <w:t xml:space="preserve">Bayesian (flow + year RE):</w:t>
      </w:r>
      <w:r>
        <w:t xml:space="preserve"> </w:t>
      </w:r>
      <w:r>
        <w:t xml:space="preserve">Log-discharge plus year random effects only</w:t>
      </w:r>
    </w:p>
    <w:p>
      <w:pPr>
        <w:numPr>
          <w:ilvl w:val="0"/>
          <w:numId w:val="1004"/>
        </w:numPr>
        <w:pStyle w:val="Compact"/>
      </w:pPr>
      <w:r>
        <w:rPr>
          <w:bCs/>
          <w:b/>
        </w:rPr>
        <w:t xml:space="preserve">Bayesian (flow + seasonal + year RE):</w:t>
      </w:r>
      <w:r>
        <w:t xml:space="preserve"> </w:t>
      </w:r>
      <w:r>
        <w:t xml:space="preserve">Full model combining log-discharge, a cyclic day-of-year spline, and year random effects</w:t>
      </w:r>
    </w:p>
    <w:p>
      <w:pPr>
        <w:pStyle w:val="FirstParagraph"/>
      </w:pPr>
      <w:r>
        <w:t xml:space="preserve">The full model formula for LMR and OKL:</w:t>
      </w:r>
    </w:p>
    <w:p>
      <w:pPr>
        <w:pStyle w:val="BlockText"/>
      </w:pPr>
      <w:r>
        <w:t xml:space="preserve">logit(P[detected]) = α + β·log(Q*) + s(doy) + u_year, u_year ~ Normal(0, σ²)</w:t>
      </w:r>
    </w:p>
    <w:p>
      <w:pPr>
        <w:pStyle w:val="FirstParagraph"/>
      </w:pPr>
      <w:r>
        <w:t xml:space="preserve">For ENL, a quadratic log-discharge term was added to capture the inverted-U flow response:</w:t>
      </w:r>
    </w:p>
    <w:p>
      <w:pPr>
        <w:pStyle w:val="BlockText"/>
      </w:pPr>
      <w:r>
        <w:t xml:space="preserve">logit(P[detected]) = α + β₁·log(Q*) + β₂·[log(Q*)]² + s(doy) + u_year</w:t>
      </w:r>
    </w:p>
    <w:p>
      <w:pPr>
        <w:pStyle w:val="FirstParagraph"/>
      </w:pPr>
      <w:r>
        <w:t xml:space="preserve">where Q* denotes standardized log-discharge. Weakly informative priors were used (Normal(0,3) on regression coefficients, Exponential(1) on standard deviations). Four MCMC chains of 2,000 iterations (1,000 warmup) were run; all chains converged (R̂ ≤ 1.01).</w:t>
      </w:r>
    </w:p>
    <w:bookmarkEnd w:id="40"/>
    <w:bookmarkStart w:id="41" w:name="model-comparison"/>
    <w:p>
      <w:pPr>
        <w:pStyle w:val="Heading3"/>
      </w:pPr>
      <w:r>
        <w:t xml:space="preserve">Model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Model</w:t>
            </w:r>
          </w:p>
        </w:tc>
        <w:tc>
          <w:tcPr/>
          <w:p>
            <w:pPr>
              <w:pStyle w:val="Compact"/>
              <w:jc w:val="right"/>
            </w:pPr>
            <w:r>
              <w:t xml:space="preserve">AUC</w:t>
            </w:r>
          </w:p>
        </w:tc>
      </w:tr>
      <w:tr>
        <w:tc>
          <w:tcPr/>
          <w:p>
            <w:pPr>
              <w:pStyle w:val="Compact"/>
              <w:jc w:val="left"/>
            </w:pPr>
            <w:r>
              <w:t xml:space="preserve">LMR</w:t>
            </w:r>
          </w:p>
        </w:tc>
        <w:tc>
          <w:tcPr/>
          <w:p>
            <w:pPr>
              <w:pStyle w:val="Compact"/>
              <w:jc w:val="left"/>
            </w:pPr>
            <w:r>
              <w:t xml:space="preserve">GAM (doy + year smooth)</w:t>
            </w:r>
          </w:p>
        </w:tc>
        <w:tc>
          <w:tcPr/>
          <w:p>
            <w:pPr>
              <w:pStyle w:val="Compact"/>
              <w:jc w:val="right"/>
            </w:pPr>
            <w:r>
              <w:t xml:space="preserve">0.893</w:t>
            </w:r>
          </w:p>
        </w:tc>
      </w:tr>
      <w:tr>
        <w:tc>
          <w:tcPr/>
          <w:p>
            <w:pPr>
              <w:pStyle w:val="Compact"/>
              <w:jc w:val="left"/>
            </w:pPr>
            <w:r>
              <w:t xml:space="preserve">LMR</w:t>
            </w:r>
          </w:p>
        </w:tc>
        <w:tc>
          <w:tcPr/>
          <w:p>
            <w:pPr>
              <w:pStyle w:val="Compact"/>
              <w:jc w:val="left"/>
            </w:pPr>
            <w:r>
              <w:t xml:space="preserve">Bayesian (flow + seasonal + year RE)</w:t>
            </w:r>
          </w:p>
        </w:tc>
        <w:tc>
          <w:tcPr/>
          <w:p>
            <w:pPr>
              <w:pStyle w:val="Compact"/>
              <w:jc w:val="right"/>
            </w:pPr>
            <w:r>
              <w:t xml:space="preserve">0.900</w:t>
            </w:r>
          </w:p>
        </w:tc>
      </w:tr>
      <w:tr>
        <w:tc>
          <w:tcPr/>
          <w:p>
            <w:pPr>
              <w:pStyle w:val="Compact"/>
              <w:jc w:val="left"/>
            </w:pPr>
            <w:r>
              <w:t xml:space="preserve">OKL</w:t>
            </w:r>
          </w:p>
        </w:tc>
        <w:tc>
          <w:tcPr/>
          <w:p>
            <w:pPr>
              <w:pStyle w:val="Compact"/>
              <w:jc w:val="left"/>
            </w:pPr>
            <w:r>
              <w:t xml:space="preserve">GAM (doy + year smooth)</w:t>
            </w:r>
          </w:p>
        </w:tc>
        <w:tc>
          <w:tcPr/>
          <w:p>
            <w:pPr>
              <w:pStyle w:val="Compact"/>
              <w:jc w:val="right"/>
            </w:pPr>
            <w:r>
              <w:t xml:space="preserve">0.925</w:t>
            </w:r>
          </w:p>
        </w:tc>
      </w:tr>
      <w:tr>
        <w:tc>
          <w:tcPr/>
          <w:p>
            <w:pPr>
              <w:pStyle w:val="Compact"/>
              <w:jc w:val="left"/>
            </w:pPr>
            <w:r>
              <w:t xml:space="preserve">OKL</w:t>
            </w:r>
          </w:p>
        </w:tc>
        <w:tc>
          <w:tcPr/>
          <w:p>
            <w:pPr>
              <w:pStyle w:val="Compact"/>
              <w:jc w:val="left"/>
            </w:pPr>
            <w:r>
              <w:t xml:space="preserve">Bayesian (flow + seasonal + year RE)</w:t>
            </w:r>
          </w:p>
        </w:tc>
        <w:tc>
          <w:tcPr/>
          <w:p>
            <w:pPr>
              <w:pStyle w:val="Compact"/>
              <w:jc w:val="right"/>
            </w:pPr>
            <w:r>
              <w:t xml:space="preserve">0.929</w:t>
            </w:r>
          </w:p>
        </w:tc>
      </w:tr>
      <w:tr>
        <w:tc>
          <w:tcPr/>
          <w:p>
            <w:pPr>
              <w:pStyle w:val="Compact"/>
              <w:jc w:val="left"/>
            </w:pPr>
            <w:r>
              <w:t xml:space="preserve">ENL</w:t>
            </w:r>
          </w:p>
        </w:tc>
        <w:tc>
          <w:tcPr/>
          <w:p>
            <w:pPr>
              <w:pStyle w:val="Compact"/>
              <w:jc w:val="left"/>
            </w:pPr>
            <w:r>
              <w:t xml:space="preserve">GAM (doy + year smooth)</w:t>
            </w:r>
          </w:p>
        </w:tc>
        <w:tc>
          <w:tcPr/>
          <w:p>
            <w:pPr>
              <w:pStyle w:val="Compact"/>
              <w:jc w:val="right"/>
            </w:pPr>
            <w:r>
              <w:t xml:space="preserve">0.846</w:t>
            </w:r>
          </w:p>
        </w:tc>
      </w:tr>
      <w:tr>
        <w:tc>
          <w:tcPr/>
          <w:p>
            <w:pPr>
              <w:pStyle w:val="Compact"/>
              <w:jc w:val="left"/>
            </w:pPr>
            <w:r>
              <w:t xml:space="preserve">ENL</w:t>
            </w:r>
          </w:p>
        </w:tc>
        <w:tc>
          <w:tcPr/>
          <w:p>
            <w:pPr>
              <w:pStyle w:val="Compact"/>
              <w:jc w:val="left"/>
            </w:pPr>
            <w:r>
              <w:t xml:space="preserve">Bayesian (flow + seasonal + year RE)</w:t>
            </w:r>
          </w:p>
        </w:tc>
        <w:tc>
          <w:tcPr/>
          <w:p>
            <w:pPr>
              <w:pStyle w:val="Compact"/>
              <w:jc w:val="right"/>
            </w:pPr>
            <w:r>
              <w:t xml:space="preserve">0.875</w:t>
            </w:r>
          </w:p>
        </w:tc>
      </w:tr>
    </w:tbl>
    <w:p>
      <w:pPr>
        <w:pStyle w:val="BodyText"/>
      </w:pPr>
      <w:r>
        <w:t xml:space="preserve">The combined Bayesian model (flow + seasonal + year RE) matches or outperforms the GAM at all three sites. The improvement is largest at ENL (AUC +0.029), where the non-linear flow response was not well captured by the day-of-year smooth alone. LOO cross-validation confirms the combined Bayesian model as superior to the flow-only variant at all sites.</w:t>
      </w:r>
    </w:p>
    <w:bookmarkEnd w:id="41"/>
    <w:bookmarkStart w:id="45" w:name="results-1"/>
    <w:p>
      <w:pPr>
        <w:pStyle w:val="Heading3"/>
      </w:pPr>
      <w:r>
        <w:t xml:space="preserve">Results</w:t>
      </w:r>
    </w:p>
    <w:p>
      <w:pPr>
        <w:pStyle w:val="FirstParagraph"/>
      </w:pPr>
      <w:r>
        <w:rPr>
          <w:bCs/>
          <w:b/>
        </w:rPr>
        <w:t xml:space="preserve">Flow effects:</w:t>
      </w:r>
      <w:r>
        <w:t xml:space="preserve"> </w:t>
      </w:r>
      <w:r>
        <w:t xml:space="preserve">At LMR and OKL, detection efficiency declines monotonically with increasing discharge. The standardized log-discharge coefficients (LMR: β = −0.43, 95% CI −0.56 to −0.30; OKL: β = −0.46, 95% CI −0.68 to −0.24) indicate that a doubling of discharge corresponds to roughly a 7–8 percentage point reduction in detection efficiency at typical flow levels, after accounting for seasonal patterns. At ENL, both the linear (β₁ = 0.74) and quadratic (β₂ = −0.67) terms are well-estimated, placing the optimal detection flow at approximately 200–500 cfs.</w:t>
      </w:r>
    </w:p>
    <w:p>
      <w:pPr>
        <w:pStyle w:val="BodyText"/>
      </w:pPr>
      <w:r>
        <w:rPr>
          <w:bCs/>
          <w:b/>
        </w:rPr>
        <w:t xml:space="preserve">Year random effects:</w:t>
      </w:r>
      <w:r>
        <w:t xml:space="preserve"> </w:t>
      </w:r>
      <w:r>
        <w:t xml:space="preserve">After accounting for flow and seasonal patterns, year random effects reveal which years had anomalous detection beyond what environmental conditions alone would predict (Figure 4). At ENL, years 2019, 2023, and 2024 show large negative deviations (worse than flow + season predicts), strongly suggesting persistent equipment or maintenance problems in those years independent of hydrology. At OKL, 2019, 2024, and 2025 show similar patterns. At LMR, most year effects overlap zero, indicating that flow and season explain the majority of the detection variation at that site.</w:t>
      </w:r>
    </w:p>
    <w:p>
      <w:pPr>
        <w:pStyle w:val="BodyText"/>
      </w:pPr>
      <w:r>
        <w:rPr>
          <w:bCs/>
          <w:b/>
        </w:rPr>
        <w:t xml:space="preserve">Figure 4</w:t>
      </w:r>
      <w:r>
        <w:t xml:space="preserve"> </w:t>
      </w:r>
      <w:r>
        <w:t xml:space="preserve">shows the flow-detection curves with posterior uncertainty, year random effects, and monthly observed vs. predicted detection rates for all three sites.</w:t>
      </w:r>
    </w:p>
    <w:p>
      <w:pPr>
        <w:pStyle w:val="CaptionedFigure"/>
      </w:pPr>
      <w:r>
        <w:drawing>
          <wp:inline>
            <wp:extent cx="5334000" cy="4222749"/>
            <wp:effectExtent b="0" l="0" r="0" t="0"/>
            <wp:docPr descr="Figure 4. Bayesian combined model (flow + seasonal + year random effects) results for LMR (top), OKL (middle), and ENL (bottom). Left column: flow-detection curves with 95% posterior credible interval (population-level), overlaid on observed decile means (bubble size proportional to √n). Middle column: year random effects with 95% credible intervals; green = above expectation, red = below expectation, grey = uncertain. Right column: observed vs. predicted monthly detection efficiency." title="" id="43" name="Picture"/>
            <a:graphic>
              <a:graphicData uri="http://schemas.openxmlformats.org/drawingml/2006/picture">
                <pic:pic>
                  <pic:nvPicPr>
                    <pic:cNvPr descr="gateway_detection_summary_files/figure-docx/figure4-1.png" id="44" name="Picture"/>
                    <pic:cNvPicPr>
                      <a:picLocks noChangeArrowheads="1" noChangeAspect="1"/>
                    </pic:cNvPicPr>
                  </pic:nvPicPr>
                  <pic:blipFill>
                    <a:blip r:embed="rId42"/>
                    <a:stretch>
                      <a:fillRect/>
                    </a:stretch>
                  </pic:blipFill>
                  <pic:spPr bwMode="auto">
                    <a:xfrm>
                      <a:off x="0" y="0"/>
                      <a:ext cx="5334000" cy="4222749"/>
                    </a:xfrm>
                    <a:prstGeom prst="rect">
                      <a:avLst/>
                    </a:prstGeom>
                    <a:noFill/>
                    <a:ln w="9525">
                      <a:noFill/>
                      <a:headEnd/>
                      <a:tailEnd/>
                    </a:ln>
                  </pic:spPr>
                </pic:pic>
              </a:graphicData>
            </a:graphic>
          </wp:inline>
        </w:drawing>
      </w:r>
    </w:p>
    <w:p>
      <w:pPr>
        <w:pStyle w:val="ImageCaption"/>
      </w:pPr>
      <w:r>
        <w:t xml:space="preserve">Figure 4. Bayesian combined model (flow + seasonal + year random effects) results for LMR (top), OKL (middle), and ENL (bottom). Left column: flow-detection curves with 95% posterior credible interval (population-level), overlaid on observed decile means (bubble size proportional to √n). Middle column: year random effects with 95% credible intervals; green = above expectation, red = below expectation, grey = uncertain. Right column: observed vs. predicted monthly detection efficiency.</w:t>
      </w:r>
    </w:p>
    <w:bookmarkEnd w:id="45"/>
    <w:bookmarkStart w:id="46" w:name="prediction-with-the-bayesian-model"/>
    <w:p>
      <w:pPr>
        <w:pStyle w:val="Heading3"/>
      </w:pPr>
      <w:r>
        <w:t xml:space="preserve">Prediction with the Bayesian Model</w:t>
      </w:r>
    </w:p>
    <w:p>
      <w:pPr>
        <w:pStyle w:val="FirstParagraph"/>
      </w:pPr>
      <w:r>
        <w:t xml:space="preserve">The combined Bayesian models are saved in</w:t>
      </w:r>
      <w:r>
        <w:t xml:space="preserve"> </w:t>
      </w:r>
      <w:r>
        <w:rPr>
          <w:rStyle w:val="VerbatimChar"/>
        </w:rPr>
        <w:t xml:space="preserve">gateway_bayesian_models.RData</w:t>
      </w:r>
      <w:r>
        <w:t xml:space="preserve">. To predict detection efficiency for a specific date using observed or forecast discharge:</w:t>
      </w:r>
    </w:p>
    <w:p>
      <w:pPr>
        <w:pStyle w:val="SourceCode"/>
      </w:pPr>
      <w:r>
        <w:rPr>
          <w:rStyle w:val="FunctionTok"/>
        </w:rPr>
        <w:t xml:space="preserve">load</w:t>
      </w:r>
      <w:r>
        <w:rPr>
          <w:rStyle w:val="NormalTok"/>
        </w:rPr>
        <w:t xml:space="preserve">(</w:t>
      </w:r>
      <w:r>
        <w:rPr>
          <w:rStyle w:val="StringTok"/>
        </w:rPr>
        <w:t xml:space="preserve">"gateway_bayesian_models.RData"</w:t>
      </w:r>
      <w:r>
        <w:rPr>
          <w:rStyle w:val="NormalTok"/>
        </w:rPr>
        <w:t xml:space="preserve">)</w:t>
      </w:r>
      <w:r>
        <w:br/>
      </w:r>
      <w:r>
        <w:br/>
      </w:r>
      <w:r>
        <w:rPr>
          <w:rStyle w:val="CommentTok"/>
        </w:rPr>
        <w:t xml:space="preserve"># Example: LMR on April 20, 2024 with observed discharge of 1,200 cfs</w:t>
      </w:r>
      <w:r>
        <w:br/>
      </w:r>
      <w:r>
        <w:rPr>
          <w:rStyle w:val="CommentTok"/>
        </w:rPr>
        <w:t xml:space="preserve"># Standardize log(Q) using training data mean and SD</w:t>
      </w:r>
      <w:r>
        <w:br/>
      </w:r>
      <w:r>
        <w:rPr>
          <w:rStyle w:val="NormalTok"/>
        </w:rPr>
        <w:t xml:space="preserve">lq_mean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log</w:t>
      </w:r>
      <w:r>
        <w:rPr>
          <w:rStyle w:val="NormalTok"/>
        </w:rPr>
        <w:t xml:space="preserve">(methow</w:t>
      </w:r>
      <w:r>
        <w:rPr>
          <w:rStyle w:val="SpecialCharTok"/>
        </w:rPr>
        <w:t xml:space="preserve">$</w:t>
      </w:r>
      <w:r>
        <w:rPr>
          <w:rStyle w:val="NormalTok"/>
        </w:rPr>
        <w:t xml:space="preserve">discharge))</w:t>
      </w:r>
      <w:r>
        <w:br/>
      </w:r>
      <w:r>
        <w:rPr>
          <w:rStyle w:val="NormalTok"/>
        </w:rPr>
        <w:t xml:space="preserve">lq_sd   </w:t>
      </w:r>
      <w:r>
        <w:rPr>
          <w:rStyle w:val="OtherTok"/>
        </w:rPr>
        <w:t xml:space="preserve">&lt;-</w:t>
      </w:r>
      <w:r>
        <w:rPr>
          <w:rStyle w:val="NormalTok"/>
        </w:rPr>
        <w:t xml:space="preserve"> </w:t>
      </w:r>
      <w:r>
        <w:rPr>
          <w:rStyle w:val="FunctionTok"/>
        </w:rPr>
        <w:t xml:space="preserve">sd</w:t>
      </w:r>
      <w:r>
        <w:rPr>
          <w:rStyle w:val="NormalTok"/>
        </w:rPr>
        <w:t xml:space="preserve">(</w:t>
      </w:r>
      <w:r>
        <w:rPr>
          <w:rStyle w:val="FunctionTok"/>
        </w:rPr>
        <w:t xml:space="preserve">log</w:t>
      </w:r>
      <w:r>
        <w:rPr>
          <w:rStyle w:val="NormalTok"/>
        </w:rPr>
        <w:t xml:space="preserve">(methow</w:t>
      </w:r>
      <w:r>
        <w:rPr>
          <w:rStyle w:val="SpecialCharTok"/>
        </w:rPr>
        <w:t xml:space="preserve">$</w:t>
      </w:r>
      <w:r>
        <w:rPr>
          <w:rStyle w:val="NormalTok"/>
        </w:rPr>
        <w:t xml:space="preserve">discharge))</w:t>
      </w:r>
      <w:r>
        <w:br/>
      </w:r>
      <w:r>
        <w:rPr>
          <w:rStyle w:val="NormalTok"/>
        </w:rPr>
        <w:t xml:space="preserve">lq_s    </w:t>
      </w:r>
      <w:r>
        <w:rPr>
          <w:rStyle w:val="OtherTok"/>
        </w:rPr>
        <w:t xml:space="preserve">&lt;-</w:t>
      </w:r>
      <w:r>
        <w:rPr>
          <w:rStyle w:val="NormalTok"/>
        </w:rPr>
        <w:t xml:space="preserve"> (</w:t>
      </w:r>
      <w:r>
        <w:rPr>
          <w:rStyle w:val="FunctionTok"/>
        </w:rPr>
        <w:t xml:space="preserve">log</w:t>
      </w:r>
      <w:r>
        <w:rPr>
          <w:rStyle w:val="NormalTok"/>
        </w:rPr>
        <w:t xml:space="preserve">(</w:t>
      </w:r>
      <w:r>
        <w:rPr>
          <w:rStyle w:val="DecValTok"/>
        </w:rPr>
        <w:t xml:space="preserve">1200</w:t>
      </w:r>
      <w:r>
        <w:rPr>
          <w:rStyle w:val="NormalTok"/>
        </w:rPr>
        <w:t xml:space="preserve">) </w:t>
      </w:r>
      <w:r>
        <w:rPr>
          <w:rStyle w:val="SpecialCharTok"/>
        </w:rPr>
        <w:t xml:space="preserve">-</w:t>
      </w:r>
      <w:r>
        <w:rPr>
          <w:rStyle w:val="NormalTok"/>
        </w:rPr>
        <w:t xml:space="preserve"> lq_mean) </w:t>
      </w:r>
      <w:r>
        <w:rPr>
          <w:rStyle w:val="SpecialCharTok"/>
        </w:rPr>
        <w:t xml:space="preserve">/</w:t>
      </w:r>
      <w:r>
        <w:rPr>
          <w:rStyle w:val="NormalTok"/>
        </w:rPr>
        <w:t xml:space="preserve"> lq_sd</w:t>
      </w:r>
      <w:r>
        <w:br/>
      </w:r>
      <w:r>
        <w:br/>
      </w:r>
      <w:r>
        <w:rPr>
          <w:rStyle w:val="NormalTok"/>
        </w:rPr>
        <w:t xml:space="preserve">nd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log_q_s =</w:t>
      </w:r>
      <w:r>
        <w:rPr>
          <w:rStyle w:val="NormalTok"/>
        </w:rPr>
        <w:t xml:space="preserve"> lq_s, </w:t>
      </w:r>
      <w:r>
        <w:rPr>
          <w:rStyle w:val="AttributeTok"/>
        </w:rPr>
        <w:t xml:space="preserve">doy =</w:t>
      </w:r>
      <w:r>
        <w:rPr>
          <w:rStyle w:val="NormalTok"/>
        </w:rPr>
        <w:t xml:space="preserve"> </w:t>
      </w:r>
      <w:r>
        <w:rPr>
          <w:rStyle w:val="FunctionTok"/>
        </w:rPr>
        <w:t xml:space="preserve">yday</w:t>
      </w:r>
      <w:r>
        <w:rPr>
          <w:rStyle w:val="NormalTok"/>
        </w:rPr>
        <w:t xml:space="preserve">(</w:t>
      </w:r>
      <w:r>
        <w:rPr>
          <w:rStyle w:val="FunctionTok"/>
        </w:rPr>
        <w:t xml:space="preserve">as.Date</w:t>
      </w:r>
      <w:r>
        <w:rPr>
          <w:rStyle w:val="NormalTok"/>
        </w:rPr>
        <w:t xml:space="preserve">(</w:t>
      </w:r>
      <w:r>
        <w:rPr>
          <w:rStyle w:val="StringTok"/>
        </w:rPr>
        <w:t xml:space="preserve">"2024-04-20"</w:t>
      </w:r>
      <w:r>
        <w:rPr>
          <w:rStyle w:val="NormalTok"/>
        </w:rPr>
        <w:t xml:space="preserve">)), </w:t>
      </w:r>
      <w:r>
        <w:rPr>
          <w:rStyle w:val="AttributeTok"/>
        </w:rPr>
        <w:t xml:space="preserve">year =</w:t>
      </w:r>
      <w:r>
        <w:rPr>
          <w:rStyle w:val="NormalTok"/>
        </w:rPr>
        <w:t xml:space="preserve"> </w:t>
      </w:r>
      <w:r>
        <w:rPr>
          <w:rStyle w:val="StringTok"/>
        </w:rPr>
        <w:t xml:space="preserve">"2024"</w:t>
      </w:r>
      <w:r>
        <w:rPr>
          <w:rStyle w:val="NormalTok"/>
        </w:rPr>
        <w:t xml:space="preserve">)</w:t>
      </w:r>
      <w:r>
        <w:br/>
      </w:r>
      <w:r>
        <w:rPr>
          <w:rStyle w:val="FunctionTok"/>
        </w:rPr>
        <w:t xml:space="preserve">posterior_epred</w:t>
      </w:r>
      <w:r>
        <w:rPr>
          <w:rStyle w:val="NormalTok"/>
        </w:rPr>
        <w:t xml:space="preserve">(fit_lmr_comb, </w:t>
      </w:r>
      <w:r>
        <w:rPr>
          <w:rStyle w:val="AttributeTok"/>
        </w:rPr>
        <w:t xml:space="preserve">newdata =</w:t>
      </w:r>
      <w:r>
        <w:rPr>
          <w:rStyle w:val="NormalTok"/>
        </w:rPr>
        <w:t xml:space="preserve"> nd, </w:t>
      </w:r>
      <w:r>
        <w:rPr>
          <w:rStyle w:val="AttributeTok"/>
        </w:rPr>
        <w:t xml:space="preserve">re_formula =</w:t>
      </w:r>
      <w:r>
        <w:rPr>
          <w:rStyle w:val="NormalTok"/>
        </w:rPr>
        <w:t xml:space="preserve"> </w:t>
      </w:r>
      <w:r>
        <w:rPr>
          <w:rStyle w:val="ConstantTok"/>
        </w:rPr>
        <w:t xml:space="preserve">NULL</w:t>
      </w:r>
      <w:r>
        <w:rPr>
          <w:rStyle w:val="NormalTok"/>
        </w:rPr>
        <w:t xml:space="preserve">)  </w:t>
      </w:r>
      <w:r>
        <w:rPr>
          <w:rStyle w:val="CommentTok"/>
        </w:rPr>
        <w:t xml:space="preserve"># includes year RE</w:t>
      </w:r>
      <w:r>
        <w:br/>
      </w:r>
      <w:r>
        <w:rPr>
          <w:rStyle w:val="FunctionTok"/>
        </w:rPr>
        <w:t xml:space="preserve">posterior_epred</w:t>
      </w:r>
      <w:r>
        <w:rPr>
          <w:rStyle w:val="NormalTok"/>
        </w:rPr>
        <w:t xml:space="preserve">(fit_lmr_comb, </w:t>
      </w:r>
      <w:r>
        <w:rPr>
          <w:rStyle w:val="AttributeTok"/>
        </w:rPr>
        <w:t xml:space="preserve">newdata =</w:t>
      </w:r>
      <w:r>
        <w:rPr>
          <w:rStyle w:val="NormalTok"/>
        </w:rPr>
        <w:t xml:space="preserve"> nd, </w:t>
      </w:r>
      <w:r>
        <w:rPr>
          <w:rStyle w:val="AttributeTok"/>
        </w:rPr>
        <w:t xml:space="preserve">re_formula =</w:t>
      </w:r>
      <w:r>
        <w:rPr>
          <w:rStyle w:val="NormalTok"/>
        </w:rPr>
        <w:t xml:space="preserve"> </w:t>
      </w:r>
      <w:r>
        <w:rPr>
          <w:rStyle w:val="ConstantTok"/>
        </w:rPr>
        <w:t xml:space="preserve">NA</w:t>
      </w:r>
      <w:r>
        <w:rPr>
          <w:rStyle w:val="NormalTok"/>
        </w:rPr>
        <w:t xml:space="preserve">)    </w:t>
      </w:r>
      <w:r>
        <w:rPr>
          <w:rStyle w:val="CommentTok"/>
        </w:rPr>
        <w:t xml:space="preserve"># population level only</w:t>
      </w:r>
    </w:p>
    <w:p>
      <w:pPr>
        <w:pStyle w:val="FirstParagraph"/>
      </w:pPr>
      <w:r>
        <w:t xml:space="preserve">Using</w:t>
      </w:r>
      <w:r>
        <w:t xml:space="preserve"> </w:t>
      </w:r>
      <w:r>
        <w:rPr>
          <w:rStyle w:val="VerbatimChar"/>
        </w:rPr>
        <w:t xml:space="preserve">re_formula = NULL</w:t>
      </w:r>
      <w:r>
        <w:t xml:space="preserve"> </w:t>
      </w:r>
      <w:r>
        <w:t xml:space="preserve">incorporates the year-specific random effect (better for known years);</w:t>
      </w:r>
      <w:r>
        <w:t xml:space="preserve"> </w:t>
      </w:r>
      <w:r>
        <w:rPr>
          <w:rStyle w:val="VerbatimChar"/>
        </w:rPr>
        <w:t xml:space="preserve">re_formula = NA</w:t>
      </w:r>
      <w:r>
        <w:t xml:space="preserve"> </w:t>
      </w:r>
      <w:r>
        <w:t xml:space="preserve">gives the population-level prediction useful for forecasting future years.</w:t>
      </w:r>
    </w:p>
    <w:bookmarkEnd w:id="46"/>
    <w:bookmarkEnd w:id="47"/>
    <w:bookmarkStart w:id="48" w:name="Xe0bcc3fefdaf9184f0742757a0cbaf06b36ba8d"/>
    <w:p>
      <w:pPr>
        <w:pStyle w:val="Heading2"/>
      </w:pPr>
      <w:r>
        <w:t xml:space="preserve">Predicted Detection Efficiency Reference Tables</w:t>
      </w:r>
    </w:p>
    <w:p>
      <w:pPr>
        <w:pStyle w:val="FirstParagraph"/>
      </w:pPr>
      <w:r>
        <w:t xml:space="preserve">Predicted detection efficiency (%) by month and year for all three sites. Values represent the mid-month prediction for each calendar year.</w:t>
      </w:r>
    </w:p>
    <w:p>
      <w:pPr>
        <w:pStyle w:val="TableCaption"/>
      </w:pPr>
      <w:r>
        <w:t xml:space="preserve">LMR (Methow) — predicted detection efficiency (%)</w:t>
      </w:r>
    </w:p>
    <w:tbl>
      <w:tblPr>
        <w:tblStyle w:val="Table"/>
        <w:tblW w:type="auto" w:w="0"/>
        <w:tblLook w:firstRow="1" w:lastRow="0" w:firstColumn="0" w:lastColumn="0" w:noHBand="0" w:noVBand="0" w:val="0020"/>
        <w:jc w:val="start"/>
        <w:tblCaption w:val="LMR (Methow) — predicted detection efficiency (%)"/>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Month</w:t>
            </w:r>
          </w:p>
        </w:tc>
        <w:tc>
          <w:tcPr/>
          <w:p>
            <w:pPr>
              <w:pStyle w:val="Compact"/>
              <w:jc w:val="right"/>
            </w:pPr>
            <w:r>
              <w:t xml:space="preserve">2009</w:t>
            </w:r>
          </w:p>
        </w:tc>
        <w:tc>
          <w:tcPr/>
          <w:p>
            <w:pPr>
              <w:pStyle w:val="Compact"/>
              <w:jc w:val="right"/>
            </w:pPr>
            <w:r>
              <w:t xml:space="preserve">2011</w:t>
            </w:r>
          </w:p>
        </w:tc>
        <w:tc>
          <w:tcPr/>
          <w:p>
            <w:pPr>
              <w:pStyle w:val="Compact"/>
              <w:jc w:val="right"/>
            </w:pPr>
            <w:r>
              <w:t xml:space="preserve">2013</w:t>
            </w:r>
          </w:p>
        </w:tc>
        <w:tc>
          <w:tcPr/>
          <w:p>
            <w:pPr>
              <w:pStyle w:val="Compact"/>
              <w:jc w:val="right"/>
            </w:pPr>
            <w:r>
              <w:t xml:space="preserve">2015</w:t>
            </w:r>
          </w:p>
        </w:tc>
        <w:tc>
          <w:tcPr/>
          <w:p>
            <w:pPr>
              <w:pStyle w:val="Compact"/>
              <w:jc w:val="right"/>
            </w:pPr>
            <w:r>
              <w:t xml:space="preserve">2017</w:t>
            </w:r>
          </w:p>
        </w:tc>
        <w:tc>
          <w:tcPr/>
          <w:p>
            <w:pPr>
              <w:pStyle w:val="Compact"/>
              <w:jc w:val="right"/>
            </w:pPr>
            <w:r>
              <w:t xml:space="preserve">2019</w:t>
            </w:r>
          </w:p>
        </w:tc>
        <w:tc>
          <w:tcPr/>
          <w:p>
            <w:pPr>
              <w:pStyle w:val="Compact"/>
              <w:jc w:val="right"/>
            </w:pPr>
            <w:r>
              <w:t xml:space="preserve">2021</w:t>
            </w:r>
          </w:p>
        </w:tc>
        <w:tc>
          <w:tcPr/>
          <w:p>
            <w:pPr>
              <w:pStyle w:val="Compact"/>
              <w:jc w:val="right"/>
            </w:pPr>
            <w:r>
              <w:t xml:space="preserve">2023</w:t>
            </w:r>
          </w:p>
        </w:tc>
        <w:tc>
          <w:tcPr/>
          <w:p>
            <w:pPr>
              <w:pStyle w:val="Compact"/>
              <w:jc w:val="right"/>
            </w:pPr>
            <w:r>
              <w:t xml:space="preserve">2025</w:t>
            </w:r>
          </w:p>
        </w:tc>
      </w:tr>
      <w:tr>
        <w:tc>
          <w:tcPr/>
          <w:p>
            <w:pPr>
              <w:pStyle w:val="Compact"/>
              <w:jc w:val="left"/>
            </w:pPr>
            <w:r>
              <w:t xml:space="preserve">Jan</w:t>
            </w:r>
          </w:p>
        </w:tc>
        <w:tc>
          <w:tcPr/>
          <w:p>
            <w:pPr>
              <w:pStyle w:val="Compact"/>
              <w:jc w:val="right"/>
            </w:pPr>
            <w:r>
              <w:t xml:space="preserve">96.2</w:t>
            </w:r>
          </w:p>
        </w:tc>
        <w:tc>
          <w:tcPr/>
          <w:p>
            <w:pPr>
              <w:pStyle w:val="Compact"/>
              <w:jc w:val="right"/>
            </w:pPr>
            <w:r>
              <w:t xml:space="preserve">96.2</w:t>
            </w:r>
          </w:p>
        </w:tc>
        <w:tc>
          <w:tcPr/>
          <w:p>
            <w:pPr>
              <w:pStyle w:val="Compact"/>
              <w:jc w:val="right"/>
            </w:pPr>
            <w:r>
              <w:t xml:space="preserve">94.7</w:t>
            </w:r>
          </w:p>
        </w:tc>
        <w:tc>
          <w:tcPr/>
          <w:p>
            <w:pPr>
              <w:pStyle w:val="Compact"/>
              <w:jc w:val="right"/>
            </w:pPr>
            <w:r>
              <w:t xml:space="preserve">91.9</w:t>
            </w:r>
          </w:p>
        </w:tc>
        <w:tc>
          <w:tcPr/>
          <w:p>
            <w:pPr>
              <w:pStyle w:val="Compact"/>
              <w:jc w:val="right"/>
            </w:pPr>
            <w:r>
              <w:t xml:space="preserve">91.6</w:t>
            </w:r>
          </w:p>
        </w:tc>
        <w:tc>
          <w:tcPr/>
          <w:p>
            <w:pPr>
              <w:pStyle w:val="Compact"/>
              <w:jc w:val="right"/>
            </w:pPr>
            <w:r>
              <w:t xml:space="preserve">94.9</w:t>
            </w:r>
          </w:p>
        </w:tc>
        <w:tc>
          <w:tcPr/>
          <w:p>
            <w:pPr>
              <w:pStyle w:val="Compact"/>
              <w:jc w:val="right"/>
            </w:pPr>
            <w:r>
              <w:t xml:space="preserve">97.0</w:t>
            </w:r>
          </w:p>
        </w:tc>
        <w:tc>
          <w:tcPr/>
          <w:p>
            <w:pPr>
              <w:pStyle w:val="Compact"/>
              <w:jc w:val="right"/>
            </w:pPr>
            <w:r>
              <w:t xml:space="preserve">96.5</w:t>
            </w:r>
          </w:p>
        </w:tc>
        <w:tc>
          <w:tcPr/>
          <w:p>
            <w:pPr>
              <w:pStyle w:val="Compact"/>
              <w:jc w:val="right"/>
            </w:pPr>
            <w:r>
              <w:t xml:space="preserve">92.9</w:t>
            </w:r>
          </w:p>
        </w:tc>
      </w:tr>
      <w:tr>
        <w:tc>
          <w:tcPr/>
          <w:p>
            <w:pPr>
              <w:pStyle w:val="Compact"/>
              <w:jc w:val="left"/>
            </w:pPr>
            <w:r>
              <w:t xml:space="preserve">Feb</w:t>
            </w:r>
          </w:p>
        </w:tc>
        <w:tc>
          <w:tcPr/>
          <w:p>
            <w:pPr>
              <w:pStyle w:val="Compact"/>
              <w:jc w:val="right"/>
            </w:pPr>
            <w:r>
              <w:t xml:space="preserve">97.9</w:t>
            </w:r>
          </w:p>
        </w:tc>
        <w:tc>
          <w:tcPr/>
          <w:p>
            <w:pPr>
              <w:pStyle w:val="Compact"/>
              <w:jc w:val="right"/>
            </w:pPr>
            <w:r>
              <w:t xml:space="preserve">97.9</w:t>
            </w:r>
          </w:p>
        </w:tc>
        <w:tc>
          <w:tcPr/>
          <w:p>
            <w:pPr>
              <w:pStyle w:val="Compact"/>
              <w:jc w:val="right"/>
            </w:pPr>
            <w:r>
              <w:t xml:space="preserve">97.1</w:t>
            </w:r>
          </w:p>
        </w:tc>
        <w:tc>
          <w:tcPr/>
          <w:p>
            <w:pPr>
              <w:pStyle w:val="Compact"/>
              <w:jc w:val="right"/>
            </w:pPr>
            <w:r>
              <w:t xml:space="preserve">95.4</w:t>
            </w:r>
          </w:p>
        </w:tc>
        <w:tc>
          <w:tcPr/>
          <w:p>
            <w:pPr>
              <w:pStyle w:val="Compact"/>
              <w:jc w:val="right"/>
            </w:pPr>
            <w:r>
              <w:t xml:space="preserve">95.3</w:t>
            </w:r>
          </w:p>
        </w:tc>
        <w:tc>
          <w:tcPr/>
          <w:p>
            <w:pPr>
              <w:pStyle w:val="Compact"/>
              <w:jc w:val="right"/>
            </w:pPr>
            <w:r>
              <w:t xml:space="preserve">97.2</w:t>
            </w:r>
          </w:p>
        </w:tc>
        <w:tc>
          <w:tcPr/>
          <w:p>
            <w:pPr>
              <w:pStyle w:val="Compact"/>
              <w:jc w:val="right"/>
            </w:pPr>
            <w:r>
              <w:t xml:space="preserve">98.3</w:t>
            </w:r>
          </w:p>
        </w:tc>
        <w:tc>
          <w:tcPr/>
          <w:p>
            <w:pPr>
              <w:pStyle w:val="Compact"/>
              <w:jc w:val="right"/>
            </w:pPr>
            <w:r>
              <w:t xml:space="preserve">98.1</w:t>
            </w:r>
          </w:p>
        </w:tc>
        <w:tc>
          <w:tcPr/>
          <w:p>
            <w:pPr>
              <w:pStyle w:val="Compact"/>
              <w:jc w:val="right"/>
            </w:pPr>
            <w:r>
              <w:t xml:space="preserve">96.0</w:t>
            </w:r>
          </w:p>
        </w:tc>
      </w:tr>
      <w:tr>
        <w:tc>
          <w:tcPr/>
          <w:p>
            <w:pPr>
              <w:pStyle w:val="Compact"/>
              <w:jc w:val="left"/>
            </w:pPr>
            <w:r>
              <w:t xml:space="preserve">Mar</w:t>
            </w:r>
          </w:p>
        </w:tc>
        <w:tc>
          <w:tcPr/>
          <w:p>
            <w:pPr>
              <w:pStyle w:val="Compact"/>
              <w:jc w:val="right"/>
            </w:pPr>
            <w:r>
              <w:t xml:space="preserve">83.5</w:t>
            </w:r>
          </w:p>
        </w:tc>
        <w:tc>
          <w:tcPr/>
          <w:p>
            <w:pPr>
              <w:pStyle w:val="Compact"/>
              <w:jc w:val="right"/>
            </w:pPr>
            <w:r>
              <w:t xml:space="preserve">83.2</w:t>
            </w:r>
          </w:p>
        </w:tc>
        <w:tc>
          <w:tcPr/>
          <w:p>
            <w:pPr>
              <w:pStyle w:val="Compact"/>
              <w:jc w:val="right"/>
            </w:pPr>
            <w:r>
              <w:t xml:space="preserve">78.0</w:t>
            </w:r>
          </w:p>
        </w:tc>
        <w:tc>
          <w:tcPr/>
          <w:p>
            <w:pPr>
              <w:pStyle w:val="Compact"/>
              <w:jc w:val="right"/>
            </w:pPr>
            <w:r>
              <w:t xml:space="preserve">69.2</w:t>
            </w:r>
          </w:p>
        </w:tc>
        <w:tc>
          <w:tcPr/>
          <w:p>
            <w:pPr>
              <w:pStyle w:val="Compact"/>
              <w:jc w:val="right"/>
            </w:pPr>
            <w:r>
              <w:t xml:space="preserve">68.3</w:t>
            </w:r>
          </w:p>
        </w:tc>
        <w:tc>
          <w:tcPr/>
          <w:p>
            <w:pPr>
              <w:pStyle w:val="Compact"/>
              <w:jc w:val="right"/>
            </w:pPr>
            <w:r>
              <w:t xml:space="preserve">78.6</w:t>
            </w:r>
          </w:p>
        </w:tc>
        <w:tc>
          <w:tcPr/>
          <w:p>
            <w:pPr>
              <w:pStyle w:val="Compact"/>
              <w:jc w:val="right"/>
            </w:pPr>
            <w:r>
              <w:t xml:space="preserve">86.3</w:t>
            </w:r>
          </w:p>
        </w:tc>
        <w:tc>
          <w:tcPr/>
          <w:p>
            <w:pPr>
              <w:pStyle w:val="Compact"/>
              <w:jc w:val="right"/>
            </w:pPr>
            <w:r>
              <w:t xml:space="preserve">84.7</w:t>
            </w:r>
          </w:p>
        </w:tc>
        <w:tc>
          <w:tcPr/>
          <w:p>
            <w:pPr>
              <w:pStyle w:val="Compact"/>
              <w:jc w:val="right"/>
            </w:pPr>
            <w:r>
              <w:t xml:space="preserve">72.2</w:t>
            </w:r>
          </w:p>
        </w:tc>
      </w:tr>
      <w:tr>
        <w:tc>
          <w:tcPr/>
          <w:p>
            <w:pPr>
              <w:pStyle w:val="Compact"/>
              <w:jc w:val="left"/>
            </w:pPr>
            <w:r>
              <w:t xml:space="preserve">Apr</w:t>
            </w:r>
          </w:p>
        </w:tc>
        <w:tc>
          <w:tcPr/>
          <w:p>
            <w:pPr>
              <w:pStyle w:val="Compact"/>
              <w:jc w:val="right"/>
            </w:pPr>
            <w:r>
              <w:t xml:space="preserve">52.6</w:t>
            </w:r>
          </w:p>
        </w:tc>
        <w:tc>
          <w:tcPr/>
          <w:p>
            <w:pPr>
              <w:pStyle w:val="Compact"/>
              <w:jc w:val="right"/>
            </w:pPr>
            <w:r>
              <w:t xml:space="preserve">52.1</w:t>
            </w:r>
          </w:p>
        </w:tc>
        <w:tc>
          <w:tcPr/>
          <w:p>
            <w:pPr>
              <w:pStyle w:val="Compact"/>
              <w:jc w:val="right"/>
            </w:pPr>
            <w:r>
              <w:t xml:space="preserve">43.8</w:t>
            </w:r>
          </w:p>
        </w:tc>
        <w:tc>
          <w:tcPr/>
          <w:p>
            <w:pPr>
              <w:pStyle w:val="Compact"/>
              <w:jc w:val="right"/>
            </w:pPr>
            <w:r>
              <w:t xml:space="preserve">33.0</w:t>
            </w:r>
          </w:p>
        </w:tc>
        <w:tc>
          <w:tcPr/>
          <w:p>
            <w:pPr>
              <w:pStyle w:val="Compact"/>
              <w:jc w:val="right"/>
            </w:pPr>
            <w:r>
              <w:t xml:space="preserve">32.1</w:t>
            </w:r>
          </w:p>
        </w:tc>
        <w:tc>
          <w:tcPr/>
          <w:p>
            <w:pPr>
              <w:pStyle w:val="Compact"/>
              <w:jc w:val="right"/>
            </w:pPr>
            <w:r>
              <w:t xml:space="preserve">44.6</w:t>
            </w:r>
          </w:p>
        </w:tc>
        <w:tc>
          <w:tcPr/>
          <w:p>
            <w:pPr>
              <w:pStyle w:val="Compact"/>
              <w:jc w:val="right"/>
            </w:pPr>
            <w:r>
              <w:t xml:space="preserve">58.0</w:t>
            </w:r>
          </w:p>
        </w:tc>
        <w:tc>
          <w:tcPr/>
          <w:p>
            <w:pPr>
              <w:pStyle w:val="Compact"/>
              <w:jc w:val="right"/>
            </w:pPr>
            <w:r>
              <w:t xml:space="preserve">54.8</w:t>
            </w:r>
          </w:p>
        </w:tc>
        <w:tc>
          <w:tcPr/>
          <w:p>
            <w:pPr>
              <w:pStyle w:val="Compact"/>
              <w:jc w:val="right"/>
            </w:pPr>
            <w:r>
              <w:t xml:space="preserve">36.3</w:t>
            </w:r>
          </w:p>
        </w:tc>
      </w:tr>
      <w:tr>
        <w:tc>
          <w:tcPr/>
          <w:p>
            <w:pPr>
              <w:pStyle w:val="Compact"/>
              <w:jc w:val="left"/>
            </w:pPr>
            <w:r>
              <w:t xml:space="preserve">May</w:t>
            </w:r>
          </w:p>
        </w:tc>
        <w:tc>
          <w:tcPr/>
          <w:p>
            <w:pPr>
              <w:pStyle w:val="Compact"/>
              <w:jc w:val="right"/>
            </w:pPr>
            <w:r>
              <w:t xml:space="preserve">46.3</w:t>
            </w:r>
          </w:p>
        </w:tc>
        <w:tc>
          <w:tcPr/>
          <w:p>
            <w:pPr>
              <w:pStyle w:val="Compact"/>
              <w:jc w:val="right"/>
            </w:pPr>
            <w:r>
              <w:t xml:space="preserve">45.8</w:t>
            </w:r>
          </w:p>
        </w:tc>
        <w:tc>
          <w:tcPr/>
          <w:p>
            <w:pPr>
              <w:pStyle w:val="Compact"/>
              <w:jc w:val="right"/>
            </w:pPr>
            <w:r>
              <w:t xml:space="preserve">37.7</w:t>
            </w:r>
          </w:p>
        </w:tc>
        <w:tc>
          <w:tcPr/>
          <w:p>
            <w:pPr>
              <w:pStyle w:val="Compact"/>
              <w:jc w:val="right"/>
            </w:pPr>
            <w:r>
              <w:t xml:space="preserve">27.6</w:t>
            </w:r>
          </w:p>
        </w:tc>
        <w:tc>
          <w:tcPr/>
          <w:p>
            <w:pPr>
              <w:pStyle w:val="Compact"/>
              <w:jc w:val="right"/>
            </w:pPr>
            <w:r>
              <w:t xml:space="preserve">26.9</w:t>
            </w:r>
          </w:p>
        </w:tc>
        <w:tc>
          <w:tcPr/>
          <w:p>
            <w:pPr>
              <w:pStyle w:val="Compact"/>
              <w:jc w:val="right"/>
            </w:pPr>
            <w:r>
              <w:t xml:space="preserve">38.5</w:t>
            </w:r>
          </w:p>
        </w:tc>
        <w:tc>
          <w:tcPr/>
          <w:p>
            <w:pPr>
              <w:pStyle w:val="Compact"/>
              <w:jc w:val="right"/>
            </w:pPr>
            <w:r>
              <w:t xml:space="preserve">51.7</w:t>
            </w:r>
          </w:p>
        </w:tc>
        <w:tc>
          <w:tcPr/>
          <w:p>
            <w:pPr>
              <w:pStyle w:val="Compact"/>
              <w:jc w:val="right"/>
            </w:pPr>
            <w:r>
              <w:t xml:space="preserve">48.5</w:t>
            </w:r>
          </w:p>
        </w:tc>
        <w:tc>
          <w:tcPr/>
          <w:p>
            <w:pPr>
              <w:pStyle w:val="Compact"/>
              <w:jc w:val="right"/>
            </w:pPr>
            <w:r>
              <w:t xml:space="preserve">30.7</w:t>
            </w:r>
          </w:p>
        </w:tc>
      </w:tr>
      <w:tr>
        <w:tc>
          <w:tcPr/>
          <w:p>
            <w:pPr>
              <w:pStyle w:val="Compact"/>
              <w:jc w:val="left"/>
            </w:pPr>
            <w:r>
              <w:t xml:space="preserve">Jun</w:t>
            </w:r>
          </w:p>
        </w:tc>
        <w:tc>
          <w:tcPr/>
          <w:p>
            <w:pPr>
              <w:pStyle w:val="Compact"/>
              <w:jc w:val="right"/>
            </w:pPr>
            <w:r>
              <w:t xml:space="preserve">45.9</w:t>
            </w:r>
          </w:p>
        </w:tc>
        <w:tc>
          <w:tcPr/>
          <w:p>
            <w:pPr>
              <w:pStyle w:val="Compact"/>
              <w:jc w:val="right"/>
            </w:pPr>
            <w:r>
              <w:t xml:space="preserve">45.4</w:t>
            </w:r>
          </w:p>
        </w:tc>
        <w:tc>
          <w:tcPr/>
          <w:p>
            <w:pPr>
              <w:pStyle w:val="Compact"/>
              <w:jc w:val="right"/>
            </w:pPr>
            <w:r>
              <w:t xml:space="preserve">37.3</w:t>
            </w:r>
          </w:p>
        </w:tc>
        <w:tc>
          <w:tcPr/>
          <w:p>
            <w:pPr>
              <w:pStyle w:val="Compact"/>
              <w:jc w:val="right"/>
            </w:pPr>
            <w:r>
              <w:t xml:space="preserve">27.3</w:t>
            </w:r>
          </w:p>
        </w:tc>
        <w:tc>
          <w:tcPr/>
          <w:p>
            <w:pPr>
              <w:pStyle w:val="Compact"/>
              <w:jc w:val="right"/>
            </w:pPr>
            <w:r>
              <w:t xml:space="preserve">26.6</w:t>
            </w:r>
          </w:p>
        </w:tc>
        <w:tc>
          <w:tcPr/>
          <w:p>
            <w:pPr>
              <w:pStyle w:val="Compact"/>
              <w:jc w:val="right"/>
            </w:pPr>
            <w:r>
              <w:t xml:space="preserve">38.1</w:t>
            </w:r>
          </w:p>
        </w:tc>
        <w:tc>
          <w:tcPr/>
          <w:p>
            <w:pPr>
              <w:pStyle w:val="Compact"/>
              <w:jc w:val="right"/>
            </w:pPr>
            <w:r>
              <w:t xml:space="preserve">51.4</w:t>
            </w:r>
          </w:p>
        </w:tc>
        <w:tc>
          <w:tcPr/>
          <w:p>
            <w:pPr>
              <w:pStyle w:val="Compact"/>
              <w:jc w:val="right"/>
            </w:pPr>
            <w:r>
              <w:t xml:space="preserve">48.1</w:t>
            </w:r>
          </w:p>
        </w:tc>
        <w:tc>
          <w:tcPr/>
          <w:p>
            <w:pPr>
              <w:pStyle w:val="Compact"/>
              <w:jc w:val="right"/>
            </w:pPr>
            <w:r>
              <w:t xml:space="preserve">30.4</w:t>
            </w:r>
          </w:p>
        </w:tc>
      </w:tr>
      <w:tr>
        <w:tc>
          <w:tcPr/>
          <w:p>
            <w:pPr>
              <w:pStyle w:val="Compact"/>
              <w:jc w:val="left"/>
            </w:pPr>
            <w:r>
              <w:t xml:space="preserve">Jul</w:t>
            </w:r>
          </w:p>
        </w:tc>
        <w:tc>
          <w:tcPr/>
          <w:p>
            <w:pPr>
              <w:pStyle w:val="Compact"/>
              <w:jc w:val="right"/>
            </w:pPr>
            <w:r>
              <w:t xml:space="preserve">58.5</w:t>
            </w:r>
          </w:p>
        </w:tc>
        <w:tc>
          <w:tcPr/>
          <w:p>
            <w:pPr>
              <w:pStyle w:val="Compact"/>
              <w:jc w:val="right"/>
            </w:pPr>
            <w:r>
              <w:t xml:space="preserve">58.0</w:t>
            </w:r>
          </w:p>
        </w:tc>
        <w:tc>
          <w:tcPr/>
          <w:p>
            <w:pPr>
              <w:pStyle w:val="Compact"/>
              <w:jc w:val="right"/>
            </w:pPr>
            <w:r>
              <w:t xml:space="preserve">49.7</w:t>
            </w:r>
          </w:p>
        </w:tc>
        <w:tc>
          <w:tcPr/>
          <w:p>
            <w:pPr>
              <w:pStyle w:val="Compact"/>
              <w:jc w:val="right"/>
            </w:pPr>
            <w:r>
              <w:t xml:space="preserve">38.4</w:t>
            </w:r>
          </w:p>
        </w:tc>
        <w:tc>
          <w:tcPr/>
          <w:p>
            <w:pPr>
              <w:pStyle w:val="Compact"/>
              <w:jc w:val="right"/>
            </w:pPr>
            <w:r>
              <w:t xml:space="preserve">37.5</w:t>
            </w:r>
          </w:p>
        </w:tc>
        <w:tc>
          <w:tcPr/>
          <w:p>
            <w:pPr>
              <w:pStyle w:val="Compact"/>
              <w:jc w:val="right"/>
            </w:pPr>
            <w:r>
              <w:t xml:space="preserve">50.6</w:t>
            </w:r>
          </w:p>
        </w:tc>
        <w:tc>
          <w:tcPr/>
          <w:p>
            <w:pPr>
              <w:pStyle w:val="Compact"/>
              <w:jc w:val="right"/>
            </w:pPr>
            <w:r>
              <w:t xml:space="preserve">63.7</w:t>
            </w:r>
          </w:p>
        </w:tc>
        <w:tc>
          <w:tcPr/>
          <w:p>
            <w:pPr>
              <w:pStyle w:val="Compact"/>
              <w:jc w:val="right"/>
            </w:pPr>
            <w:r>
              <w:t xml:space="preserve">60.6</w:t>
            </w:r>
          </w:p>
        </w:tc>
        <w:tc>
          <w:tcPr/>
          <w:p>
            <w:pPr>
              <w:pStyle w:val="Compact"/>
              <w:jc w:val="right"/>
            </w:pPr>
            <w:r>
              <w:t xml:space="preserve">42.0</w:t>
            </w:r>
          </w:p>
        </w:tc>
      </w:tr>
      <w:tr>
        <w:tc>
          <w:tcPr/>
          <w:p>
            <w:pPr>
              <w:pStyle w:val="Compact"/>
              <w:jc w:val="left"/>
            </w:pPr>
            <w:r>
              <w:t xml:space="preserve">Aug</w:t>
            </w:r>
          </w:p>
        </w:tc>
        <w:tc>
          <w:tcPr/>
          <w:p>
            <w:pPr>
              <w:pStyle w:val="Compact"/>
              <w:jc w:val="right"/>
            </w:pPr>
            <w:r>
              <w:t xml:space="preserve">93.5</w:t>
            </w:r>
          </w:p>
        </w:tc>
        <w:tc>
          <w:tcPr/>
          <w:p>
            <w:pPr>
              <w:pStyle w:val="Compact"/>
              <w:jc w:val="right"/>
            </w:pPr>
            <w:r>
              <w:t xml:space="preserve">93.3</w:t>
            </w:r>
          </w:p>
        </w:tc>
        <w:tc>
          <w:tcPr/>
          <w:p>
            <w:pPr>
              <w:pStyle w:val="Compact"/>
              <w:jc w:val="right"/>
            </w:pPr>
            <w:r>
              <w:t xml:space="preserve">91.0</w:t>
            </w:r>
          </w:p>
        </w:tc>
        <w:tc>
          <w:tcPr/>
          <w:p>
            <w:pPr>
              <w:pStyle w:val="Compact"/>
              <w:jc w:val="right"/>
            </w:pPr>
            <w:r>
              <w:t xml:space="preserve">86.4</w:t>
            </w:r>
          </w:p>
        </w:tc>
        <w:tc>
          <w:tcPr/>
          <w:p>
            <w:pPr>
              <w:pStyle w:val="Compact"/>
              <w:jc w:val="right"/>
            </w:pPr>
            <w:r>
              <w:t xml:space="preserve">85.9</w:t>
            </w:r>
          </w:p>
        </w:tc>
        <w:tc>
          <w:tcPr/>
          <w:p>
            <w:pPr>
              <w:pStyle w:val="Compact"/>
              <w:jc w:val="right"/>
            </w:pPr>
            <w:r>
              <w:t xml:space="preserve">91.2</w:t>
            </w:r>
          </w:p>
        </w:tc>
        <w:tc>
          <w:tcPr/>
          <w:p>
            <w:pPr>
              <w:pStyle w:val="Compact"/>
              <w:jc w:val="right"/>
            </w:pPr>
            <w:r>
              <w:t xml:space="preserve">94.7</w:t>
            </w:r>
          </w:p>
        </w:tc>
        <w:tc>
          <w:tcPr/>
          <w:p>
            <w:pPr>
              <w:pStyle w:val="Compact"/>
              <w:jc w:val="right"/>
            </w:pPr>
            <w:r>
              <w:t xml:space="preserve">94.0</w:t>
            </w:r>
          </w:p>
        </w:tc>
        <w:tc>
          <w:tcPr/>
          <w:p>
            <w:pPr>
              <w:pStyle w:val="Compact"/>
              <w:jc w:val="right"/>
            </w:pPr>
            <w:r>
              <w:t xml:space="preserve">88.0</w:t>
            </w:r>
          </w:p>
        </w:tc>
      </w:tr>
      <w:tr>
        <w:tc>
          <w:tcPr/>
          <w:p>
            <w:pPr>
              <w:pStyle w:val="Compact"/>
              <w:jc w:val="left"/>
            </w:pPr>
            <w:r>
              <w:t xml:space="preserve">Sep</w:t>
            </w:r>
          </w:p>
        </w:tc>
        <w:tc>
          <w:tcPr/>
          <w:p>
            <w:pPr>
              <w:pStyle w:val="Compact"/>
              <w:jc w:val="right"/>
            </w:pPr>
            <w:r>
              <w:t xml:space="preserve">99.6</w:t>
            </w:r>
          </w:p>
        </w:tc>
        <w:tc>
          <w:tcPr/>
          <w:p>
            <w:pPr>
              <w:pStyle w:val="Compact"/>
              <w:jc w:val="right"/>
            </w:pPr>
            <w:r>
              <w:t xml:space="preserve">99.6</w:t>
            </w:r>
          </w:p>
        </w:tc>
        <w:tc>
          <w:tcPr/>
          <w:p>
            <w:pPr>
              <w:pStyle w:val="Compact"/>
              <w:jc w:val="right"/>
            </w:pPr>
            <w:r>
              <w:t xml:space="preserve">99.4</w:t>
            </w:r>
          </w:p>
        </w:tc>
        <w:tc>
          <w:tcPr/>
          <w:p>
            <w:pPr>
              <w:pStyle w:val="Compact"/>
              <w:jc w:val="right"/>
            </w:pPr>
            <w:r>
              <w:t xml:space="preserve">99.1</w:t>
            </w:r>
          </w:p>
        </w:tc>
        <w:tc>
          <w:tcPr/>
          <w:p>
            <w:pPr>
              <w:pStyle w:val="Compact"/>
              <w:jc w:val="right"/>
            </w:pPr>
            <w:r>
              <w:t xml:space="preserve">99.1</w:t>
            </w:r>
          </w:p>
        </w:tc>
        <w:tc>
          <w:tcPr/>
          <w:p>
            <w:pPr>
              <w:pStyle w:val="Compact"/>
              <w:jc w:val="right"/>
            </w:pPr>
            <w:r>
              <w:t xml:space="preserve">99.4</w:t>
            </w:r>
          </w:p>
        </w:tc>
        <w:tc>
          <w:tcPr/>
          <w:p>
            <w:pPr>
              <w:pStyle w:val="Compact"/>
              <w:jc w:val="right"/>
            </w:pPr>
            <w:r>
              <w:t xml:space="preserve">99.7</w:t>
            </w:r>
          </w:p>
        </w:tc>
        <w:tc>
          <w:tcPr/>
          <w:p>
            <w:pPr>
              <w:pStyle w:val="Compact"/>
              <w:jc w:val="right"/>
            </w:pPr>
            <w:r>
              <w:t xml:space="preserve">99.6</w:t>
            </w:r>
          </w:p>
        </w:tc>
        <w:tc>
          <w:tcPr/>
          <w:p>
            <w:pPr>
              <w:pStyle w:val="Compact"/>
              <w:jc w:val="right"/>
            </w:pPr>
            <w:r>
              <w:t xml:space="preserve">99.2</w:t>
            </w:r>
          </w:p>
        </w:tc>
      </w:tr>
      <w:tr>
        <w:tc>
          <w:tcPr/>
          <w:p>
            <w:pPr>
              <w:pStyle w:val="Compact"/>
              <w:jc w:val="left"/>
            </w:pPr>
            <w:r>
              <w:t xml:space="preserve">Oct</w:t>
            </w:r>
          </w:p>
        </w:tc>
        <w:tc>
          <w:tcPr/>
          <w:p>
            <w:pPr>
              <w:pStyle w:val="Compact"/>
              <w:jc w:val="right"/>
            </w:pPr>
            <w:r>
              <w:t xml:space="preserve">99.3</w:t>
            </w:r>
          </w:p>
        </w:tc>
        <w:tc>
          <w:tcPr/>
          <w:p>
            <w:pPr>
              <w:pStyle w:val="Compact"/>
              <w:jc w:val="right"/>
            </w:pPr>
            <w:r>
              <w:t xml:space="preserve">99.3</w:t>
            </w:r>
          </w:p>
        </w:tc>
        <w:tc>
          <w:tcPr/>
          <w:p>
            <w:pPr>
              <w:pStyle w:val="Compact"/>
              <w:jc w:val="right"/>
            </w:pPr>
            <w:r>
              <w:t xml:space="preserve">99.0</w:t>
            </w:r>
          </w:p>
        </w:tc>
        <w:tc>
          <w:tcPr/>
          <w:p>
            <w:pPr>
              <w:pStyle w:val="Compact"/>
              <w:jc w:val="right"/>
            </w:pPr>
            <w:r>
              <w:t xml:space="preserve">98.4</w:t>
            </w:r>
          </w:p>
        </w:tc>
        <w:tc>
          <w:tcPr/>
          <w:p>
            <w:pPr>
              <w:pStyle w:val="Compact"/>
              <w:jc w:val="right"/>
            </w:pPr>
            <w:r>
              <w:t xml:space="preserve">98.3</w:t>
            </w:r>
          </w:p>
        </w:tc>
        <w:tc>
          <w:tcPr/>
          <w:p>
            <w:pPr>
              <w:pStyle w:val="Compact"/>
              <w:jc w:val="right"/>
            </w:pPr>
            <w:r>
              <w:t xml:space="preserve">99.0</w:t>
            </w:r>
          </w:p>
        </w:tc>
        <w:tc>
          <w:tcPr/>
          <w:p>
            <w:pPr>
              <w:pStyle w:val="Compact"/>
              <w:jc w:val="right"/>
            </w:pPr>
            <w:r>
              <w:t xml:space="preserve">99.4</w:t>
            </w:r>
          </w:p>
        </w:tc>
        <w:tc>
          <w:tcPr/>
          <w:p>
            <w:pPr>
              <w:pStyle w:val="Compact"/>
              <w:jc w:val="right"/>
            </w:pPr>
            <w:r>
              <w:t xml:space="preserve">99.3</w:t>
            </w:r>
          </w:p>
        </w:tc>
        <w:tc>
          <w:tcPr/>
          <w:p>
            <w:pPr>
              <w:pStyle w:val="Compact"/>
              <w:jc w:val="right"/>
            </w:pPr>
            <w:r>
              <w:t xml:space="preserve">98.6</w:t>
            </w:r>
          </w:p>
        </w:tc>
      </w:tr>
      <w:tr>
        <w:tc>
          <w:tcPr/>
          <w:p>
            <w:pPr>
              <w:pStyle w:val="Compact"/>
              <w:jc w:val="left"/>
            </w:pPr>
            <w:r>
              <w:t xml:space="preserve">Nov</w:t>
            </w:r>
          </w:p>
        </w:tc>
        <w:tc>
          <w:tcPr/>
          <w:p>
            <w:pPr>
              <w:pStyle w:val="Compact"/>
              <w:jc w:val="right"/>
            </w:pPr>
            <w:r>
              <w:t xml:space="preserve">97.0</w:t>
            </w:r>
          </w:p>
        </w:tc>
        <w:tc>
          <w:tcPr/>
          <w:p>
            <w:pPr>
              <w:pStyle w:val="Compact"/>
              <w:jc w:val="right"/>
            </w:pPr>
            <w:r>
              <w:t xml:space="preserve">96.9</w:t>
            </w:r>
          </w:p>
        </w:tc>
        <w:tc>
          <w:tcPr/>
          <w:p>
            <w:pPr>
              <w:pStyle w:val="Compact"/>
              <w:jc w:val="right"/>
            </w:pPr>
            <w:r>
              <w:t xml:space="preserve">95.7</w:t>
            </w:r>
          </w:p>
        </w:tc>
        <w:tc>
          <w:tcPr/>
          <w:p>
            <w:pPr>
              <w:pStyle w:val="Compact"/>
              <w:jc w:val="right"/>
            </w:pPr>
            <w:r>
              <w:t xml:space="preserve">93.4</w:t>
            </w:r>
          </w:p>
        </w:tc>
        <w:tc>
          <w:tcPr/>
          <w:p>
            <w:pPr>
              <w:pStyle w:val="Compact"/>
              <w:jc w:val="right"/>
            </w:pPr>
            <w:r>
              <w:t xml:space="preserve">93.2</w:t>
            </w:r>
          </w:p>
        </w:tc>
        <w:tc>
          <w:tcPr/>
          <w:p>
            <w:pPr>
              <w:pStyle w:val="Compact"/>
              <w:jc w:val="right"/>
            </w:pPr>
            <w:r>
              <w:t xml:space="preserve">95.9</w:t>
            </w:r>
          </w:p>
        </w:tc>
        <w:tc>
          <w:tcPr/>
          <w:p>
            <w:pPr>
              <w:pStyle w:val="Compact"/>
              <w:jc w:val="right"/>
            </w:pPr>
            <w:r>
              <w:t xml:space="preserve">97.6</w:t>
            </w:r>
          </w:p>
        </w:tc>
        <w:tc>
          <w:tcPr/>
          <w:p>
            <w:pPr>
              <w:pStyle w:val="Compact"/>
              <w:jc w:val="right"/>
            </w:pPr>
            <w:r>
              <w:t xml:space="preserve">97.2</w:t>
            </w:r>
          </w:p>
        </w:tc>
        <w:tc>
          <w:tcPr/>
          <w:p>
            <w:pPr>
              <w:pStyle w:val="Compact"/>
              <w:jc w:val="right"/>
            </w:pPr>
            <w:r>
              <w:t xml:space="preserve">94.3</w:t>
            </w:r>
          </w:p>
        </w:tc>
      </w:tr>
      <w:tr>
        <w:tc>
          <w:tcPr/>
          <w:p>
            <w:pPr>
              <w:pStyle w:val="Compact"/>
              <w:jc w:val="left"/>
            </w:pPr>
            <w:r>
              <w:t xml:space="preserve">Dec</w:t>
            </w:r>
          </w:p>
        </w:tc>
        <w:tc>
          <w:tcPr/>
          <w:p>
            <w:pPr>
              <w:pStyle w:val="Compact"/>
              <w:jc w:val="right"/>
            </w:pPr>
            <w:r>
              <w:t xml:space="preserve">92.1</w:t>
            </w:r>
          </w:p>
        </w:tc>
        <w:tc>
          <w:tcPr/>
          <w:p>
            <w:pPr>
              <w:pStyle w:val="Compact"/>
              <w:jc w:val="right"/>
            </w:pPr>
            <w:r>
              <w:t xml:space="preserve">91.9</w:t>
            </w:r>
          </w:p>
        </w:tc>
        <w:tc>
          <w:tcPr/>
          <w:p>
            <w:pPr>
              <w:pStyle w:val="Compact"/>
              <w:jc w:val="right"/>
            </w:pPr>
            <w:r>
              <w:t xml:space="preserve">89.1</w:t>
            </w:r>
          </w:p>
        </w:tc>
        <w:tc>
          <w:tcPr/>
          <w:p>
            <w:pPr>
              <w:pStyle w:val="Compact"/>
              <w:jc w:val="right"/>
            </w:pPr>
            <w:r>
              <w:t xml:space="preserve">83.8</w:t>
            </w:r>
          </w:p>
        </w:tc>
        <w:tc>
          <w:tcPr/>
          <w:p>
            <w:pPr>
              <w:pStyle w:val="Compact"/>
              <w:jc w:val="right"/>
            </w:pPr>
            <w:r>
              <w:t xml:space="preserve">83.3</w:t>
            </w:r>
          </w:p>
        </w:tc>
        <w:tc>
          <w:tcPr/>
          <w:p>
            <w:pPr>
              <w:pStyle w:val="Compact"/>
              <w:jc w:val="right"/>
            </w:pPr>
            <w:r>
              <w:t xml:space="preserve">89.4</w:t>
            </w:r>
          </w:p>
        </w:tc>
        <w:tc>
          <w:tcPr/>
          <w:p>
            <w:pPr>
              <w:pStyle w:val="Compact"/>
              <w:jc w:val="right"/>
            </w:pPr>
            <w:r>
              <w:t xml:space="preserve">93.6</w:t>
            </w:r>
          </w:p>
        </w:tc>
        <w:tc>
          <w:tcPr/>
          <w:p>
            <w:pPr>
              <w:pStyle w:val="Compact"/>
              <w:jc w:val="right"/>
            </w:pPr>
            <w:r>
              <w:t xml:space="preserve">92.7</w:t>
            </w:r>
          </w:p>
        </w:tc>
        <w:tc>
          <w:tcPr/>
          <w:p>
            <w:pPr>
              <w:pStyle w:val="Compact"/>
              <w:jc w:val="right"/>
            </w:pPr>
            <w:r>
              <w:t xml:space="preserve">85.7</w:t>
            </w:r>
          </w:p>
        </w:tc>
      </w:tr>
    </w:tbl>
    <w:p/>
    <w:p>
      <w:pPr>
        <w:pStyle w:val="TableCaption"/>
      </w:pPr>
      <w:r>
        <w:t xml:space="preserve">OKL (Okanogan) — predicted detection efficiency (%)</w:t>
      </w:r>
    </w:p>
    <w:tbl>
      <w:tblPr>
        <w:tblStyle w:val="Table"/>
        <w:tblW w:type="auto" w:w="0"/>
        <w:tblLook w:firstRow="1" w:lastRow="0" w:firstColumn="0" w:lastColumn="0" w:noHBand="0" w:noVBand="0" w:val="0020"/>
        <w:jc w:val="start"/>
        <w:tblCaption w:val="OKL (Okanogan) — predicted detection efficiency (%)"/>
      </w:tblPr>
      <w:tblGrid>
        <w:gridCol w:w="990"/>
        <w:gridCol w:w="990"/>
        <w:gridCol w:w="990"/>
        <w:gridCol w:w="990"/>
        <w:gridCol w:w="990"/>
        <w:gridCol w:w="990"/>
        <w:gridCol w:w="990"/>
        <w:gridCol w:w="990"/>
      </w:tblGrid>
      <w:tr>
        <w:trPr>
          <w:tblHeader w:val="true"/>
        </w:trPr>
        <w:tc>
          <w:tcPr/>
          <w:p>
            <w:pPr>
              <w:pStyle w:val="Compact"/>
              <w:jc w:val="left"/>
            </w:pPr>
            <w:r>
              <w:t xml:space="preserve">Month</w:t>
            </w:r>
          </w:p>
        </w:tc>
        <w:tc>
          <w:tcPr/>
          <w:p>
            <w:pPr>
              <w:pStyle w:val="Compact"/>
              <w:jc w:val="right"/>
            </w:pPr>
            <w:r>
              <w:t xml:space="preserve">2013</w:t>
            </w:r>
          </w:p>
        </w:tc>
        <w:tc>
          <w:tcPr/>
          <w:p>
            <w:pPr>
              <w:pStyle w:val="Compact"/>
              <w:jc w:val="right"/>
            </w:pPr>
            <w:r>
              <w:t xml:space="preserve">2015</w:t>
            </w:r>
          </w:p>
        </w:tc>
        <w:tc>
          <w:tcPr/>
          <w:p>
            <w:pPr>
              <w:pStyle w:val="Compact"/>
              <w:jc w:val="right"/>
            </w:pPr>
            <w:r>
              <w:t xml:space="preserve">2017</w:t>
            </w:r>
          </w:p>
        </w:tc>
        <w:tc>
          <w:tcPr/>
          <w:p>
            <w:pPr>
              <w:pStyle w:val="Compact"/>
              <w:jc w:val="right"/>
            </w:pPr>
            <w:r>
              <w:t xml:space="preserve">2019</w:t>
            </w:r>
          </w:p>
        </w:tc>
        <w:tc>
          <w:tcPr/>
          <w:p>
            <w:pPr>
              <w:pStyle w:val="Compact"/>
              <w:jc w:val="right"/>
            </w:pPr>
            <w:r>
              <w:t xml:space="preserve">2021</w:t>
            </w:r>
          </w:p>
        </w:tc>
        <w:tc>
          <w:tcPr/>
          <w:p>
            <w:pPr>
              <w:pStyle w:val="Compact"/>
              <w:jc w:val="right"/>
            </w:pPr>
            <w:r>
              <w:t xml:space="preserve">2023</w:t>
            </w:r>
          </w:p>
        </w:tc>
        <w:tc>
          <w:tcPr/>
          <w:p>
            <w:pPr>
              <w:pStyle w:val="Compact"/>
              <w:jc w:val="right"/>
            </w:pPr>
            <w:r>
              <w:t xml:space="preserve">2025</w:t>
            </w:r>
          </w:p>
        </w:tc>
      </w:tr>
      <w:tr>
        <w:tc>
          <w:tcPr/>
          <w:p>
            <w:pPr>
              <w:pStyle w:val="Compact"/>
              <w:jc w:val="left"/>
            </w:pPr>
            <w:r>
              <w:t xml:space="preserve">Jan</w:t>
            </w:r>
          </w:p>
        </w:tc>
        <w:tc>
          <w:tcPr/>
          <w:p>
            <w:pPr>
              <w:pStyle w:val="Compact"/>
              <w:jc w:val="right"/>
            </w:pPr>
            <w:r>
              <w:t xml:space="preserve">99.8</w:t>
            </w:r>
          </w:p>
        </w:tc>
        <w:tc>
          <w:tcPr/>
          <w:p>
            <w:pPr>
              <w:pStyle w:val="Compact"/>
              <w:jc w:val="right"/>
            </w:pPr>
            <w:r>
              <w:t xml:space="preserve">99.7</w:t>
            </w:r>
          </w:p>
        </w:tc>
        <w:tc>
          <w:tcPr/>
          <w:p>
            <w:pPr>
              <w:pStyle w:val="Compact"/>
              <w:jc w:val="right"/>
            </w:pPr>
            <w:r>
              <w:t xml:space="preserve">99.5</w:t>
            </w:r>
          </w:p>
        </w:tc>
        <w:tc>
          <w:tcPr/>
          <w:p>
            <w:pPr>
              <w:pStyle w:val="Compact"/>
              <w:jc w:val="right"/>
            </w:pPr>
            <w:r>
              <w:t xml:space="preserve">99.6</w:t>
            </w:r>
          </w:p>
        </w:tc>
        <w:tc>
          <w:tcPr/>
          <w:p>
            <w:pPr>
              <w:pStyle w:val="Compact"/>
              <w:jc w:val="right"/>
            </w:pPr>
            <w:r>
              <w:t xml:space="preserve">99.8</w:t>
            </w:r>
          </w:p>
        </w:tc>
        <w:tc>
          <w:tcPr/>
          <w:p>
            <w:pPr>
              <w:pStyle w:val="Compact"/>
              <w:jc w:val="right"/>
            </w:pPr>
            <w:r>
              <w:t xml:space="preserve">99.9</w:t>
            </w:r>
          </w:p>
        </w:tc>
        <w:tc>
          <w:tcPr/>
          <w:p>
            <w:pPr>
              <w:pStyle w:val="Compact"/>
              <w:jc w:val="right"/>
            </w:pPr>
            <w:r>
              <w:t xml:space="preserve">99.8</w:t>
            </w:r>
          </w:p>
        </w:tc>
      </w:tr>
      <w:tr>
        <w:tc>
          <w:tcPr/>
          <w:p>
            <w:pPr>
              <w:pStyle w:val="Compact"/>
              <w:jc w:val="left"/>
            </w:pPr>
            <w:r>
              <w:t xml:space="preserve">Feb</w:t>
            </w:r>
          </w:p>
        </w:tc>
        <w:tc>
          <w:tcPr/>
          <w:p>
            <w:pPr>
              <w:pStyle w:val="Compact"/>
              <w:jc w:val="right"/>
            </w:pPr>
            <w:r>
              <w:t xml:space="preserve">99.2</w:t>
            </w:r>
          </w:p>
        </w:tc>
        <w:tc>
          <w:tcPr/>
          <w:p>
            <w:pPr>
              <w:pStyle w:val="Compact"/>
              <w:jc w:val="right"/>
            </w:pPr>
            <w:r>
              <w:t xml:space="preserve">98.4</w:t>
            </w:r>
          </w:p>
        </w:tc>
        <w:tc>
          <w:tcPr/>
          <w:p>
            <w:pPr>
              <w:pStyle w:val="Compact"/>
              <w:jc w:val="right"/>
            </w:pPr>
            <w:r>
              <w:t xml:space="preserve">97.7</w:t>
            </w:r>
          </w:p>
        </w:tc>
        <w:tc>
          <w:tcPr/>
          <w:p>
            <w:pPr>
              <w:pStyle w:val="Compact"/>
              <w:jc w:val="right"/>
            </w:pPr>
            <w:r>
              <w:t xml:space="preserve">98.4</w:t>
            </w:r>
          </w:p>
        </w:tc>
        <w:tc>
          <w:tcPr/>
          <w:p>
            <w:pPr>
              <w:pStyle w:val="Compact"/>
              <w:jc w:val="right"/>
            </w:pPr>
            <w:r>
              <w:t xml:space="preserve">99.3</w:t>
            </w:r>
          </w:p>
        </w:tc>
        <w:tc>
          <w:tcPr/>
          <w:p>
            <w:pPr>
              <w:pStyle w:val="Compact"/>
              <w:jc w:val="right"/>
            </w:pPr>
            <w:r>
              <w:t xml:space="preserve">99.5</w:t>
            </w:r>
          </w:p>
        </w:tc>
        <w:tc>
          <w:tcPr/>
          <w:p>
            <w:pPr>
              <w:pStyle w:val="Compact"/>
              <w:jc w:val="right"/>
            </w:pPr>
            <w:r>
              <w:t xml:space="preserve">99.1</w:t>
            </w:r>
          </w:p>
        </w:tc>
      </w:tr>
      <w:tr>
        <w:tc>
          <w:tcPr/>
          <w:p>
            <w:pPr>
              <w:pStyle w:val="Compact"/>
              <w:jc w:val="left"/>
            </w:pPr>
            <w:r>
              <w:t xml:space="preserve">Mar</w:t>
            </w:r>
          </w:p>
        </w:tc>
        <w:tc>
          <w:tcPr/>
          <w:p>
            <w:pPr>
              <w:pStyle w:val="Compact"/>
              <w:jc w:val="right"/>
            </w:pPr>
            <w:r>
              <w:t xml:space="preserve">71.6</w:t>
            </w:r>
          </w:p>
        </w:tc>
        <w:tc>
          <w:tcPr/>
          <w:p>
            <w:pPr>
              <w:pStyle w:val="Compact"/>
              <w:jc w:val="right"/>
            </w:pPr>
            <w:r>
              <w:t xml:space="preserve">54.7</w:t>
            </w:r>
          </w:p>
        </w:tc>
        <w:tc>
          <w:tcPr/>
          <w:p>
            <w:pPr>
              <w:pStyle w:val="Compact"/>
              <w:jc w:val="right"/>
            </w:pPr>
            <w:r>
              <w:t xml:space="preserve">44.8</w:t>
            </w:r>
          </w:p>
        </w:tc>
        <w:tc>
          <w:tcPr/>
          <w:p>
            <w:pPr>
              <w:pStyle w:val="Compact"/>
              <w:jc w:val="right"/>
            </w:pPr>
            <w:r>
              <w:t xml:space="preserve">54.2</w:t>
            </w:r>
          </w:p>
        </w:tc>
        <w:tc>
          <w:tcPr/>
          <w:p>
            <w:pPr>
              <w:pStyle w:val="Compact"/>
              <w:jc w:val="right"/>
            </w:pPr>
            <w:r>
              <w:t xml:space="preserve">73.0</w:t>
            </w:r>
          </w:p>
        </w:tc>
        <w:tc>
          <w:tcPr/>
          <w:p>
            <w:pPr>
              <w:pStyle w:val="Compact"/>
              <w:jc w:val="right"/>
            </w:pPr>
            <w:r>
              <w:t xml:space="preserve">78.1</w:t>
            </w:r>
          </w:p>
        </w:tc>
        <w:tc>
          <w:tcPr/>
          <w:p>
            <w:pPr>
              <w:pStyle w:val="Compact"/>
              <w:jc w:val="right"/>
            </w:pPr>
            <w:r>
              <w:t xml:space="preserve">67.3</w:t>
            </w:r>
          </w:p>
        </w:tc>
      </w:tr>
      <w:tr>
        <w:tc>
          <w:tcPr/>
          <w:p>
            <w:pPr>
              <w:pStyle w:val="Compact"/>
              <w:jc w:val="left"/>
            </w:pPr>
            <w:r>
              <w:t xml:space="preserve">Apr</w:t>
            </w:r>
          </w:p>
        </w:tc>
        <w:tc>
          <w:tcPr/>
          <w:p>
            <w:pPr>
              <w:pStyle w:val="Compact"/>
              <w:jc w:val="right"/>
            </w:pPr>
            <w:r>
              <w:t xml:space="preserve">37.2</w:t>
            </w:r>
          </w:p>
        </w:tc>
        <w:tc>
          <w:tcPr/>
          <w:p>
            <w:pPr>
              <w:pStyle w:val="Compact"/>
              <w:jc w:val="right"/>
            </w:pPr>
            <w:r>
              <w:t xml:space="preserve">22.1</w:t>
            </w:r>
          </w:p>
        </w:tc>
        <w:tc>
          <w:tcPr/>
          <w:p>
            <w:pPr>
              <w:pStyle w:val="Compact"/>
              <w:jc w:val="right"/>
            </w:pPr>
            <w:r>
              <w:t xml:space="preserve">16.0</w:t>
            </w:r>
          </w:p>
        </w:tc>
        <w:tc>
          <w:tcPr/>
          <w:p>
            <w:pPr>
              <w:pStyle w:val="Compact"/>
              <w:jc w:val="right"/>
            </w:pPr>
            <w:r>
              <w:t xml:space="preserve">21.8</w:t>
            </w:r>
          </w:p>
        </w:tc>
        <w:tc>
          <w:tcPr/>
          <w:p>
            <w:pPr>
              <w:pStyle w:val="Compact"/>
              <w:jc w:val="right"/>
            </w:pPr>
            <w:r>
              <w:t xml:space="preserve">38.9</w:t>
            </w:r>
          </w:p>
        </w:tc>
        <w:tc>
          <w:tcPr/>
          <w:p>
            <w:pPr>
              <w:pStyle w:val="Compact"/>
              <w:jc w:val="right"/>
            </w:pPr>
            <w:r>
              <w:t xml:space="preserve">45.6</w:t>
            </w:r>
          </w:p>
        </w:tc>
        <w:tc>
          <w:tcPr/>
          <w:p>
            <w:pPr>
              <w:pStyle w:val="Compact"/>
              <w:jc w:val="right"/>
            </w:pPr>
            <w:r>
              <w:t xml:space="preserve">32.6</w:t>
            </w:r>
          </w:p>
        </w:tc>
      </w:tr>
      <w:tr>
        <w:tc>
          <w:tcPr/>
          <w:p>
            <w:pPr>
              <w:pStyle w:val="Compact"/>
              <w:jc w:val="left"/>
            </w:pPr>
            <w:r>
              <w:t xml:space="preserve">May</w:t>
            </w:r>
          </w:p>
        </w:tc>
        <w:tc>
          <w:tcPr/>
          <w:p>
            <w:pPr>
              <w:pStyle w:val="Compact"/>
              <w:jc w:val="right"/>
            </w:pPr>
            <w:r>
              <w:t xml:space="preserve">42.9</w:t>
            </w:r>
          </w:p>
        </w:tc>
        <w:tc>
          <w:tcPr/>
          <w:p>
            <w:pPr>
              <w:pStyle w:val="Compact"/>
              <w:jc w:val="right"/>
            </w:pPr>
            <w:r>
              <w:t xml:space="preserve">26.4</w:t>
            </w:r>
          </w:p>
        </w:tc>
        <w:tc>
          <w:tcPr/>
          <w:p>
            <w:pPr>
              <w:pStyle w:val="Compact"/>
              <w:jc w:val="right"/>
            </w:pPr>
            <w:r>
              <w:t xml:space="preserve">19.4</w:t>
            </w:r>
          </w:p>
        </w:tc>
        <w:tc>
          <w:tcPr/>
          <w:p>
            <w:pPr>
              <w:pStyle w:val="Compact"/>
              <w:jc w:val="right"/>
            </w:pPr>
            <w:r>
              <w:t xml:space="preserve">26.1</w:t>
            </w:r>
          </w:p>
        </w:tc>
        <w:tc>
          <w:tcPr/>
          <w:p>
            <w:pPr>
              <w:pStyle w:val="Compact"/>
              <w:jc w:val="right"/>
            </w:pPr>
            <w:r>
              <w:t xml:space="preserve">44.6</w:t>
            </w:r>
          </w:p>
        </w:tc>
        <w:tc>
          <w:tcPr/>
          <w:p>
            <w:pPr>
              <w:pStyle w:val="Compact"/>
              <w:jc w:val="right"/>
            </w:pPr>
            <w:r>
              <w:t xml:space="preserve">51.4</w:t>
            </w:r>
          </w:p>
        </w:tc>
        <w:tc>
          <w:tcPr/>
          <w:p>
            <w:pPr>
              <w:pStyle w:val="Compact"/>
              <w:jc w:val="right"/>
            </w:pPr>
            <w:r>
              <w:t xml:space="preserve">38.0</w:t>
            </w:r>
          </w:p>
        </w:tc>
      </w:tr>
      <w:tr>
        <w:tc>
          <w:tcPr/>
          <w:p>
            <w:pPr>
              <w:pStyle w:val="Compact"/>
              <w:jc w:val="left"/>
            </w:pPr>
            <w:r>
              <w:t xml:space="preserve">Jun</w:t>
            </w:r>
          </w:p>
        </w:tc>
        <w:tc>
          <w:tcPr/>
          <w:p>
            <w:pPr>
              <w:pStyle w:val="Compact"/>
              <w:jc w:val="right"/>
            </w:pPr>
            <w:r>
              <w:t xml:space="preserve">37.8</w:t>
            </w:r>
          </w:p>
        </w:tc>
        <w:tc>
          <w:tcPr/>
          <w:p>
            <w:pPr>
              <w:pStyle w:val="Compact"/>
              <w:jc w:val="right"/>
            </w:pPr>
            <w:r>
              <w:t xml:space="preserve">22.5</w:t>
            </w:r>
          </w:p>
        </w:tc>
        <w:tc>
          <w:tcPr/>
          <w:p>
            <w:pPr>
              <w:pStyle w:val="Compact"/>
              <w:jc w:val="right"/>
            </w:pPr>
            <w:r>
              <w:t xml:space="preserve">16.3</w:t>
            </w:r>
          </w:p>
        </w:tc>
        <w:tc>
          <w:tcPr/>
          <w:p>
            <w:pPr>
              <w:pStyle w:val="Compact"/>
              <w:jc w:val="right"/>
            </w:pPr>
            <w:r>
              <w:t xml:space="preserve">22.2</w:t>
            </w:r>
          </w:p>
        </w:tc>
        <w:tc>
          <w:tcPr/>
          <w:p>
            <w:pPr>
              <w:pStyle w:val="Compact"/>
              <w:jc w:val="right"/>
            </w:pPr>
            <w:r>
              <w:t xml:space="preserve">39.4</w:t>
            </w:r>
          </w:p>
        </w:tc>
        <w:tc>
          <w:tcPr/>
          <w:p>
            <w:pPr>
              <w:pStyle w:val="Compact"/>
              <w:jc w:val="right"/>
            </w:pPr>
            <w:r>
              <w:t xml:space="preserve">46.1</w:t>
            </w:r>
          </w:p>
        </w:tc>
        <w:tc>
          <w:tcPr/>
          <w:p>
            <w:pPr>
              <w:pStyle w:val="Compact"/>
              <w:jc w:val="right"/>
            </w:pPr>
            <w:r>
              <w:t xml:space="preserve">33.1</w:t>
            </w:r>
          </w:p>
        </w:tc>
      </w:tr>
      <w:tr>
        <w:tc>
          <w:tcPr/>
          <w:p>
            <w:pPr>
              <w:pStyle w:val="Compact"/>
              <w:jc w:val="left"/>
            </w:pPr>
            <w:r>
              <w:t xml:space="preserve">Jul</w:t>
            </w:r>
          </w:p>
        </w:tc>
        <w:tc>
          <w:tcPr/>
          <w:p>
            <w:pPr>
              <w:pStyle w:val="Compact"/>
              <w:jc w:val="right"/>
            </w:pPr>
            <w:r>
              <w:t xml:space="preserve">45.0</w:t>
            </w:r>
          </w:p>
        </w:tc>
        <w:tc>
          <w:tcPr/>
          <w:p>
            <w:pPr>
              <w:pStyle w:val="Compact"/>
              <w:jc w:val="right"/>
            </w:pPr>
            <w:r>
              <w:t xml:space="preserve">28.1</w:t>
            </w:r>
          </w:p>
        </w:tc>
        <w:tc>
          <w:tcPr/>
          <w:p>
            <w:pPr>
              <w:pStyle w:val="Compact"/>
              <w:jc w:val="right"/>
            </w:pPr>
            <w:r>
              <w:t xml:space="preserve">20.9</w:t>
            </w:r>
          </w:p>
        </w:tc>
        <w:tc>
          <w:tcPr/>
          <w:p>
            <w:pPr>
              <w:pStyle w:val="Compact"/>
              <w:jc w:val="right"/>
            </w:pPr>
            <w:r>
              <w:t xml:space="preserve">27.8</w:t>
            </w:r>
          </w:p>
        </w:tc>
        <w:tc>
          <w:tcPr/>
          <w:p>
            <w:pPr>
              <w:pStyle w:val="Compact"/>
              <w:jc w:val="right"/>
            </w:pPr>
            <w:r>
              <w:t xml:space="preserve">46.8</w:t>
            </w:r>
          </w:p>
        </w:tc>
        <w:tc>
          <w:tcPr/>
          <w:p>
            <w:pPr>
              <w:pStyle w:val="Compact"/>
              <w:jc w:val="right"/>
            </w:pPr>
            <w:r>
              <w:t xml:space="preserve">53.6</w:t>
            </w:r>
          </w:p>
        </w:tc>
        <w:tc>
          <w:tcPr/>
          <w:p>
            <w:pPr>
              <w:pStyle w:val="Compact"/>
              <w:jc w:val="right"/>
            </w:pPr>
            <w:r>
              <w:t xml:space="preserve">40.0</w:t>
            </w:r>
          </w:p>
        </w:tc>
      </w:tr>
      <w:tr>
        <w:tc>
          <w:tcPr/>
          <w:p>
            <w:pPr>
              <w:pStyle w:val="Compact"/>
              <w:jc w:val="left"/>
            </w:pPr>
            <w:r>
              <w:t xml:space="preserve">Aug</w:t>
            </w:r>
          </w:p>
        </w:tc>
        <w:tc>
          <w:tcPr/>
          <w:p>
            <w:pPr>
              <w:pStyle w:val="Compact"/>
              <w:jc w:val="right"/>
            </w:pPr>
            <w:r>
              <w:t xml:space="preserve">88.8</w:t>
            </w:r>
          </w:p>
        </w:tc>
        <w:tc>
          <w:tcPr/>
          <w:p>
            <w:pPr>
              <w:pStyle w:val="Compact"/>
              <w:jc w:val="right"/>
            </w:pPr>
            <w:r>
              <w:t xml:space="preserve">79.2</w:t>
            </w:r>
          </w:p>
        </w:tc>
        <w:tc>
          <w:tcPr/>
          <w:p>
            <w:pPr>
              <w:pStyle w:val="Compact"/>
              <w:jc w:val="right"/>
            </w:pPr>
            <w:r>
              <w:t xml:space="preserve">71.9</w:t>
            </w:r>
          </w:p>
        </w:tc>
        <w:tc>
          <w:tcPr/>
          <w:p>
            <w:pPr>
              <w:pStyle w:val="Compact"/>
              <w:jc w:val="right"/>
            </w:pPr>
            <w:r>
              <w:t xml:space="preserve">78.9</w:t>
            </w:r>
          </w:p>
        </w:tc>
        <w:tc>
          <w:tcPr/>
          <w:p>
            <w:pPr>
              <w:pStyle w:val="Compact"/>
              <w:jc w:val="right"/>
            </w:pPr>
            <w:r>
              <w:t xml:space="preserve">89.5</w:t>
            </w:r>
          </w:p>
        </w:tc>
        <w:tc>
          <w:tcPr/>
          <w:p>
            <w:pPr>
              <w:pStyle w:val="Compact"/>
              <w:jc w:val="right"/>
            </w:pPr>
            <w:r>
              <w:t xml:space="preserve">91.8</w:t>
            </w:r>
          </w:p>
        </w:tc>
        <w:tc>
          <w:tcPr/>
          <w:p>
            <w:pPr>
              <w:pStyle w:val="Compact"/>
              <w:jc w:val="right"/>
            </w:pPr>
            <w:r>
              <w:t xml:space="preserve">86.6</w:t>
            </w:r>
          </w:p>
        </w:tc>
      </w:tr>
      <w:tr>
        <w:tc>
          <w:tcPr/>
          <w:p>
            <w:pPr>
              <w:pStyle w:val="Compact"/>
              <w:jc w:val="left"/>
            </w:pPr>
            <w:r>
              <w:t xml:space="preserve">Sep</w:t>
            </w:r>
          </w:p>
        </w:tc>
        <w:tc>
          <w:tcPr/>
          <w:p>
            <w:pPr>
              <w:pStyle w:val="Compact"/>
              <w:jc w:val="right"/>
            </w:pPr>
            <w:r>
              <w:t xml:space="preserve">99.8</w:t>
            </w:r>
          </w:p>
        </w:tc>
        <w:tc>
          <w:tcPr/>
          <w:p>
            <w:pPr>
              <w:pStyle w:val="Compact"/>
              <w:jc w:val="right"/>
            </w:pPr>
            <w:r>
              <w:t xml:space="preserve">99.6</w:t>
            </w:r>
          </w:p>
        </w:tc>
        <w:tc>
          <w:tcPr/>
          <w:p>
            <w:pPr>
              <w:pStyle w:val="Compact"/>
              <w:jc w:val="right"/>
            </w:pPr>
            <w:r>
              <w:t xml:space="preserve">99.4</w:t>
            </w:r>
          </w:p>
        </w:tc>
        <w:tc>
          <w:tcPr/>
          <w:p>
            <w:pPr>
              <w:pStyle w:val="Compact"/>
              <w:jc w:val="right"/>
            </w:pPr>
            <w:r>
              <w:t xml:space="preserve">99.6</w:t>
            </w:r>
          </w:p>
        </w:tc>
        <w:tc>
          <w:tcPr/>
          <w:p>
            <w:pPr>
              <w:pStyle w:val="Compact"/>
              <w:jc w:val="right"/>
            </w:pPr>
            <w:r>
              <w:t xml:space="preserve">99.8</w:t>
            </w:r>
          </w:p>
        </w:tc>
        <w:tc>
          <w:tcPr/>
          <w:p>
            <w:pPr>
              <w:pStyle w:val="Compact"/>
              <w:jc w:val="right"/>
            </w:pPr>
            <w:r>
              <w:t xml:space="preserve">99.9</w:t>
            </w:r>
          </w:p>
        </w:tc>
        <w:tc>
          <w:tcPr/>
          <w:p>
            <w:pPr>
              <w:pStyle w:val="Compact"/>
              <w:jc w:val="right"/>
            </w:pPr>
            <w:r>
              <w:t xml:space="preserve">99.8</w:t>
            </w:r>
          </w:p>
        </w:tc>
      </w:tr>
      <w:tr>
        <w:tc>
          <w:tcPr/>
          <w:p>
            <w:pPr>
              <w:pStyle w:val="Compact"/>
              <w:jc w:val="left"/>
            </w:pPr>
            <w:r>
              <w:t xml:space="preserve">Oct</w:t>
            </w:r>
          </w:p>
        </w:tc>
        <w:tc>
          <w:tcPr/>
          <w:p>
            <w:pPr>
              <w:pStyle w:val="Compact"/>
              <w:jc w:val="right"/>
            </w:pPr>
            <w:r>
              <w:t xml:space="preserve">99.6</w:t>
            </w:r>
          </w:p>
        </w:tc>
        <w:tc>
          <w:tcPr/>
          <w:p>
            <w:pPr>
              <w:pStyle w:val="Compact"/>
              <w:jc w:val="right"/>
            </w:pPr>
            <w:r>
              <w:t xml:space="preserve">99.1</w:t>
            </w:r>
          </w:p>
        </w:tc>
        <w:tc>
          <w:tcPr/>
          <w:p>
            <w:pPr>
              <w:pStyle w:val="Compact"/>
              <w:jc w:val="right"/>
            </w:pPr>
            <w:r>
              <w:t xml:space="preserve">98.7</w:t>
            </w:r>
          </w:p>
        </w:tc>
        <w:tc>
          <w:tcPr/>
          <w:p>
            <w:pPr>
              <w:pStyle w:val="Compact"/>
              <w:jc w:val="right"/>
            </w:pPr>
            <w:r>
              <w:t xml:space="preserve">99.1</w:t>
            </w:r>
          </w:p>
        </w:tc>
        <w:tc>
          <w:tcPr/>
          <w:p>
            <w:pPr>
              <w:pStyle w:val="Compact"/>
              <w:jc w:val="right"/>
            </w:pPr>
            <w:r>
              <w:t xml:space="preserve">99.6</w:t>
            </w:r>
          </w:p>
        </w:tc>
        <w:tc>
          <w:tcPr/>
          <w:p>
            <w:pPr>
              <w:pStyle w:val="Compact"/>
              <w:jc w:val="right"/>
            </w:pPr>
            <w:r>
              <w:t xml:space="preserve">99.7</w:t>
            </w:r>
          </w:p>
        </w:tc>
        <w:tc>
          <w:tcPr/>
          <w:p>
            <w:pPr>
              <w:pStyle w:val="Compact"/>
              <w:jc w:val="right"/>
            </w:pPr>
            <w:r>
              <w:t xml:space="preserve">99.5</w:t>
            </w:r>
          </w:p>
        </w:tc>
      </w:tr>
      <w:tr>
        <w:tc>
          <w:tcPr/>
          <w:p>
            <w:pPr>
              <w:pStyle w:val="Compact"/>
              <w:jc w:val="left"/>
            </w:pPr>
            <w:r>
              <w:t xml:space="preserve">Nov</w:t>
            </w:r>
          </w:p>
        </w:tc>
        <w:tc>
          <w:tcPr/>
          <w:p>
            <w:pPr>
              <w:pStyle w:val="Compact"/>
              <w:jc w:val="right"/>
            </w:pPr>
            <w:r>
              <w:t xml:space="preserve">99.8</w:t>
            </w:r>
          </w:p>
        </w:tc>
        <w:tc>
          <w:tcPr/>
          <w:p>
            <w:pPr>
              <w:pStyle w:val="Compact"/>
              <w:jc w:val="right"/>
            </w:pPr>
            <w:r>
              <w:t xml:space="preserve">99.7</w:t>
            </w:r>
          </w:p>
        </w:tc>
        <w:tc>
          <w:tcPr/>
          <w:p>
            <w:pPr>
              <w:pStyle w:val="Compact"/>
              <w:jc w:val="right"/>
            </w:pPr>
            <w:r>
              <w:t xml:space="preserve">99.5</w:t>
            </w:r>
          </w:p>
        </w:tc>
        <w:tc>
          <w:tcPr/>
          <w:p>
            <w:pPr>
              <w:pStyle w:val="Compact"/>
              <w:jc w:val="right"/>
            </w:pPr>
            <w:r>
              <w:t xml:space="preserve">99.7</w:t>
            </w:r>
          </w:p>
        </w:tc>
        <w:tc>
          <w:tcPr/>
          <w:p>
            <w:pPr>
              <w:pStyle w:val="Compact"/>
              <w:jc w:val="right"/>
            </w:pPr>
            <w:r>
              <w:t xml:space="preserve">99.9</w:t>
            </w:r>
          </w:p>
        </w:tc>
        <w:tc>
          <w:tcPr/>
          <w:p>
            <w:pPr>
              <w:pStyle w:val="Compact"/>
              <w:jc w:val="right"/>
            </w:pPr>
            <w:r>
              <w:t xml:space="preserve">99.9</w:t>
            </w:r>
          </w:p>
        </w:tc>
        <w:tc>
          <w:tcPr/>
          <w:p>
            <w:pPr>
              <w:pStyle w:val="Compact"/>
              <w:jc w:val="right"/>
            </w:pPr>
            <w:r>
              <w:t xml:space="preserve">99.8</w:t>
            </w:r>
          </w:p>
        </w:tc>
      </w:tr>
      <w:tr>
        <w:tc>
          <w:tcPr/>
          <w:p>
            <w:pPr>
              <w:pStyle w:val="Compact"/>
              <w:jc w:val="left"/>
            </w:pPr>
            <w:r>
              <w:t xml:space="preserve">Dec</w:t>
            </w:r>
          </w:p>
        </w:tc>
        <w:tc>
          <w:tcPr/>
          <w:p>
            <w:pPr>
              <w:pStyle w:val="Compact"/>
              <w:jc w:val="right"/>
            </w:pPr>
            <w:r>
              <w:t xml:space="preserve">99.9</w:t>
            </w:r>
          </w:p>
        </w:tc>
        <w:tc>
          <w:tcPr/>
          <w:p>
            <w:pPr>
              <w:pStyle w:val="Compact"/>
              <w:jc w:val="right"/>
            </w:pPr>
            <w:r>
              <w:t xml:space="preserve">99.7</w:t>
            </w:r>
          </w:p>
        </w:tc>
        <w:tc>
          <w:tcPr/>
          <w:p>
            <w:pPr>
              <w:pStyle w:val="Compact"/>
              <w:jc w:val="right"/>
            </w:pPr>
            <w:r>
              <w:t xml:space="preserve">99.6</w:t>
            </w:r>
          </w:p>
        </w:tc>
        <w:tc>
          <w:tcPr/>
          <w:p>
            <w:pPr>
              <w:pStyle w:val="Compact"/>
              <w:jc w:val="right"/>
            </w:pPr>
            <w:r>
              <w:t xml:space="preserve">99.7</w:t>
            </w:r>
          </w:p>
        </w:tc>
        <w:tc>
          <w:tcPr/>
          <w:p>
            <w:pPr>
              <w:pStyle w:val="Compact"/>
              <w:jc w:val="right"/>
            </w:pPr>
            <w:r>
              <w:t xml:space="preserve">99.9</w:t>
            </w:r>
          </w:p>
        </w:tc>
        <w:tc>
          <w:tcPr/>
          <w:p>
            <w:pPr>
              <w:pStyle w:val="Compact"/>
              <w:jc w:val="right"/>
            </w:pPr>
            <w:r>
              <w:t xml:space="preserve">99.9</w:t>
            </w:r>
          </w:p>
        </w:tc>
        <w:tc>
          <w:tcPr/>
          <w:p>
            <w:pPr>
              <w:pStyle w:val="Compact"/>
              <w:jc w:val="right"/>
            </w:pPr>
            <w:r>
              <w:t xml:space="preserve">99.8</w:t>
            </w:r>
          </w:p>
        </w:tc>
      </w:tr>
    </w:tbl>
    <w:p/>
    <w:p>
      <w:pPr>
        <w:pStyle w:val="TableCaption"/>
      </w:pPr>
      <w:r>
        <w:t xml:space="preserve">ENL (Entiat) — predicted detection efficiency (%)</w:t>
      </w:r>
    </w:p>
    <w:tbl>
      <w:tblPr>
        <w:tblStyle w:val="Table"/>
        <w:tblW w:type="auto" w:w="0"/>
        <w:tblLook w:firstRow="1" w:lastRow="0" w:firstColumn="0" w:lastColumn="0" w:noHBand="0" w:noVBand="0" w:val="0020"/>
        <w:jc w:val="start"/>
        <w:tblCaption w:val="ENL (Entiat) — predicted detection efficiency (%)"/>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Month</w:t>
            </w:r>
          </w:p>
        </w:tc>
        <w:tc>
          <w:tcPr/>
          <w:p>
            <w:pPr>
              <w:pStyle w:val="Compact"/>
              <w:jc w:val="right"/>
            </w:pPr>
            <w:r>
              <w:t xml:space="preserve">2008</w:t>
            </w:r>
          </w:p>
        </w:tc>
        <w:tc>
          <w:tcPr/>
          <w:p>
            <w:pPr>
              <w:pStyle w:val="Compact"/>
              <w:jc w:val="right"/>
            </w:pPr>
            <w:r>
              <w:t xml:space="preserve">2010</w:t>
            </w:r>
          </w:p>
        </w:tc>
        <w:tc>
          <w:tcPr/>
          <w:p>
            <w:pPr>
              <w:pStyle w:val="Compact"/>
              <w:jc w:val="right"/>
            </w:pPr>
            <w:r>
              <w:t xml:space="preserve">2012</w:t>
            </w:r>
          </w:p>
        </w:tc>
        <w:tc>
          <w:tcPr/>
          <w:p>
            <w:pPr>
              <w:pStyle w:val="Compact"/>
              <w:jc w:val="right"/>
            </w:pPr>
            <w:r>
              <w:t xml:space="preserve">2014</w:t>
            </w:r>
          </w:p>
        </w:tc>
        <w:tc>
          <w:tcPr/>
          <w:p>
            <w:pPr>
              <w:pStyle w:val="Compact"/>
              <w:jc w:val="right"/>
            </w:pPr>
            <w:r>
              <w:t xml:space="preserve">2016</w:t>
            </w:r>
          </w:p>
        </w:tc>
        <w:tc>
          <w:tcPr/>
          <w:p>
            <w:pPr>
              <w:pStyle w:val="Compact"/>
              <w:jc w:val="right"/>
            </w:pPr>
            <w:r>
              <w:t xml:space="preserve">2018</w:t>
            </w:r>
          </w:p>
        </w:tc>
        <w:tc>
          <w:tcPr/>
          <w:p>
            <w:pPr>
              <w:pStyle w:val="Compact"/>
              <w:jc w:val="right"/>
            </w:pPr>
            <w:r>
              <w:t xml:space="preserve">2020</w:t>
            </w:r>
          </w:p>
        </w:tc>
        <w:tc>
          <w:tcPr/>
          <w:p>
            <w:pPr>
              <w:pStyle w:val="Compact"/>
              <w:jc w:val="right"/>
            </w:pPr>
            <w:r>
              <w:t xml:space="preserve">2022</w:t>
            </w:r>
          </w:p>
        </w:tc>
        <w:tc>
          <w:tcPr/>
          <w:p>
            <w:pPr>
              <w:pStyle w:val="Compact"/>
              <w:jc w:val="right"/>
            </w:pPr>
            <w:r>
              <w:t xml:space="preserve">2024</w:t>
            </w:r>
          </w:p>
        </w:tc>
      </w:tr>
      <w:tr>
        <w:tc>
          <w:tcPr/>
          <w:p>
            <w:pPr>
              <w:pStyle w:val="Compact"/>
              <w:jc w:val="left"/>
            </w:pPr>
            <w:r>
              <w:t xml:space="preserve">Jan</w:t>
            </w:r>
          </w:p>
        </w:tc>
        <w:tc>
          <w:tcPr/>
          <w:p>
            <w:pPr>
              <w:pStyle w:val="Compact"/>
              <w:jc w:val="right"/>
            </w:pPr>
            <w:r>
              <w:t xml:space="preserve">97.6</w:t>
            </w:r>
          </w:p>
        </w:tc>
        <w:tc>
          <w:tcPr/>
          <w:p>
            <w:pPr>
              <w:pStyle w:val="Compact"/>
              <w:jc w:val="right"/>
            </w:pPr>
            <w:r>
              <w:t xml:space="preserve">97.4</w:t>
            </w:r>
          </w:p>
        </w:tc>
        <w:tc>
          <w:tcPr/>
          <w:p>
            <w:pPr>
              <w:pStyle w:val="Compact"/>
              <w:jc w:val="right"/>
            </w:pPr>
            <w:r>
              <w:t xml:space="preserve">94.9</w:t>
            </w:r>
          </w:p>
        </w:tc>
        <w:tc>
          <w:tcPr/>
          <w:p>
            <w:pPr>
              <w:pStyle w:val="Compact"/>
              <w:jc w:val="right"/>
            </w:pPr>
            <w:r>
              <w:t xml:space="preserve">94.7</w:t>
            </w:r>
          </w:p>
        </w:tc>
        <w:tc>
          <w:tcPr/>
          <w:p>
            <w:pPr>
              <w:pStyle w:val="Compact"/>
              <w:jc w:val="right"/>
            </w:pPr>
            <w:r>
              <w:t xml:space="preserve">79.1</w:t>
            </w:r>
          </w:p>
        </w:tc>
        <w:tc>
          <w:tcPr/>
          <w:p>
            <w:pPr>
              <w:pStyle w:val="Compact"/>
              <w:jc w:val="right"/>
            </w:pPr>
            <w:r>
              <w:t xml:space="preserve">56.4</w:t>
            </w:r>
          </w:p>
        </w:tc>
        <w:tc>
          <w:tcPr/>
          <w:p>
            <w:pPr>
              <w:pStyle w:val="Compact"/>
              <w:jc w:val="right"/>
            </w:pPr>
            <w:r>
              <w:t xml:space="preserve">78.8</w:t>
            </w:r>
          </w:p>
        </w:tc>
        <w:tc>
          <w:tcPr/>
          <w:p>
            <w:pPr>
              <w:pStyle w:val="Compact"/>
              <w:jc w:val="right"/>
            </w:pPr>
            <w:r>
              <w:t xml:space="preserve">77.5</w:t>
            </w:r>
          </w:p>
        </w:tc>
        <w:tc>
          <w:tcPr/>
          <w:p>
            <w:pPr>
              <w:pStyle w:val="Compact"/>
              <w:jc w:val="right"/>
            </w:pPr>
            <w:r>
              <w:t xml:space="preserve">55.9</w:t>
            </w:r>
          </w:p>
        </w:tc>
      </w:tr>
      <w:tr>
        <w:tc>
          <w:tcPr/>
          <w:p>
            <w:pPr>
              <w:pStyle w:val="Compact"/>
              <w:jc w:val="left"/>
            </w:pPr>
            <w:r>
              <w:t xml:space="preserve">Feb</w:t>
            </w:r>
          </w:p>
        </w:tc>
        <w:tc>
          <w:tcPr/>
          <w:p>
            <w:pPr>
              <w:pStyle w:val="Compact"/>
              <w:jc w:val="right"/>
            </w:pPr>
            <w:r>
              <w:t xml:space="preserve">97.9</w:t>
            </w:r>
          </w:p>
        </w:tc>
        <w:tc>
          <w:tcPr/>
          <w:p>
            <w:pPr>
              <w:pStyle w:val="Compact"/>
              <w:jc w:val="right"/>
            </w:pPr>
            <w:r>
              <w:t xml:space="preserve">97.7</w:t>
            </w:r>
          </w:p>
        </w:tc>
        <w:tc>
          <w:tcPr/>
          <w:p>
            <w:pPr>
              <w:pStyle w:val="Compact"/>
              <w:jc w:val="right"/>
            </w:pPr>
            <w:r>
              <w:t xml:space="preserve">95.5</w:t>
            </w:r>
          </w:p>
        </w:tc>
        <w:tc>
          <w:tcPr/>
          <w:p>
            <w:pPr>
              <w:pStyle w:val="Compact"/>
              <w:jc w:val="right"/>
            </w:pPr>
            <w:r>
              <w:t xml:space="preserve">95.2</w:t>
            </w:r>
          </w:p>
        </w:tc>
        <w:tc>
          <w:tcPr/>
          <w:p>
            <w:pPr>
              <w:pStyle w:val="Compact"/>
              <w:jc w:val="right"/>
            </w:pPr>
            <w:r>
              <w:t xml:space="preserve">81.0</w:t>
            </w:r>
          </w:p>
        </w:tc>
        <w:tc>
          <w:tcPr/>
          <w:p>
            <w:pPr>
              <w:pStyle w:val="Compact"/>
              <w:jc w:val="right"/>
            </w:pPr>
            <w:r>
              <w:t xml:space="preserve">59.3</w:t>
            </w:r>
          </w:p>
        </w:tc>
        <w:tc>
          <w:tcPr/>
          <w:p>
            <w:pPr>
              <w:pStyle w:val="Compact"/>
              <w:jc w:val="right"/>
            </w:pPr>
            <w:r>
              <w:t xml:space="preserve">80.7</w:t>
            </w:r>
          </w:p>
        </w:tc>
        <w:tc>
          <w:tcPr/>
          <w:p>
            <w:pPr>
              <w:pStyle w:val="Compact"/>
              <w:jc w:val="right"/>
            </w:pPr>
            <w:r>
              <w:t xml:space="preserve">79.6</w:t>
            </w:r>
          </w:p>
        </w:tc>
        <w:tc>
          <w:tcPr/>
          <w:p>
            <w:pPr>
              <w:pStyle w:val="Compact"/>
              <w:jc w:val="right"/>
            </w:pPr>
            <w:r>
              <w:t xml:space="preserve">58.8</w:t>
            </w:r>
          </w:p>
        </w:tc>
      </w:tr>
      <w:tr>
        <w:tc>
          <w:tcPr/>
          <w:p>
            <w:pPr>
              <w:pStyle w:val="Compact"/>
              <w:jc w:val="left"/>
            </w:pPr>
            <w:r>
              <w:t xml:space="preserve">Mar</w:t>
            </w:r>
          </w:p>
        </w:tc>
        <w:tc>
          <w:tcPr/>
          <w:p>
            <w:pPr>
              <w:pStyle w:val="Compact"/>
              <w:jc w:val="right"/>
            </w:pPr>
            <w:r>
              <w:t xml:space="preserve">98.8</w:t>
            </w:r>
          </w:p>
        </w:tc>
        <w:tc>
          <w:tcPr/>
          <w:p>
            <w:pPr>
              <w:pStyle w:val="Compact"/>
              <w:jc w:val="right"/>
            </w:pPr>
            <w:r>
              <w:t xml:space="preserve">98.7</w:t>
            </w:r>
          </w:p>
        </w:tc>
        <w:tc>
          <w:tcPr/>
          <w:p>
            <w:pPr>
              <w:pStyle w:val="Compact"/>
              <w:jc w:val="right"/>
            </w:pPr>
            <w:r>
              <w:t xml:space="preserve">97.5</w:t>
            </w:r>
          </w:p>
        </w:tc>
        <w:tc>
          <w:tcPr/>
          <w:p>
            <w:pPr>
              <w:pStyle w:val="Compact"/>
              <w:jc w:val="right"/>
            </w:pPr>
            <w:r>
              <w:t xml:space="preserve">97.3</w:t>
            </w:r>
          </w:p>
        </w:tc>
        <w:tc>
          <w:tcPr/>
          <w:p>
            <w:pPr>
              <w:pStyle w:val="Compact"/>
              <w:jc w:val="right"/>
            </w:pPr>
            <w:r>
              <w:t xml:space="preserve">88.6</w:t>
            </w:r>
          </w:p>
        </w:tc>
        <w:tc>
          <w:tcPr/>
          <w:p>
            <w:pPr>
              <w:pStyle w:val="Compact"/>
              <w:jc w:val="right"/>
            </w:pPr>
            <w:r>
              <w:t xml:space="preserve">72.6</w:t>
            </w:r>
          </w:p>
        </w:tc>
        <w:tc>
          <w:tcPr/>
          <w:p>
            <w:pPr>
              <w:pStyle w:val="Compact"/>
              <w:jc w:val="right"/>
            </w:pPr>
            <w:r>
              <w:t xml:space="preserve">88.4</w:t>
            </w:r>
          </w:p>
        </w:tc>
        <w:tc>
          <w:tcPr/>
          <w:p>
            <w:pPr>
              <w:pStyle w:val="Compact"/>
              <w:jc w:val="right"/>
            </w:pPr>
            <w:r>
              <w:t xml:space="preserve">87.7</w:t>
            </w:r>
          </w:p>
        </w:tc>
        <w:tc>
          <w:tcPr/>
          <w:p>
            <w:pPr>
              <w:pStyle w:val="Compact"/>
              <w:jc w:val="right"/>
            </w:pPr>
            <w:r>
              <w:t xml:space="preserve">72.3</w:t>
            </w:r>
          </w:p>
        </w:tc>
      </w:tr>
      <w:tr>
        <w:tc>
          <w:tcPr/>
          <w:p>
            <w:pPr>
              <w:pStyle w:val="Compact"/>
              <w:jc w:val="left"/>
            </w:pPr>
            <w:r>
              <w:t xml:space="preserve">Apr</w:t>
            </w:r>
          </w:p>
        </w:tc>
        <w:tc>
          <w:tcPr/>
          <w:p>
            <w:pPr>
              <w:pStyle w:val="Compact"/>
              <w:jc w:val="right"/>
            </w:pPr>
            <w:r>
              <w:t xml:space="preserve">97.3</w:t>
            </w:r>
          </w:p>
        </w:tc>
        <w:tc>
          <w:tcPr/>
          <w:p>
            <w:pPr>
              <w:pStyle w:val="Compact"/>
              <w:jc w:val="right"/>
            </w:pPr>
            <w:r>
              <w:t xml:space="preserve">97.1</w:t>
            </w:r>
          </w:p>
        </w:tc>
        <w:tc>
          <w:tcPr/>
          <w:p>
            <w:pPr>
              <w:pStyle w:val="Compact"/>
              <w:jc w:val="right"/>
            </w:pPr>
            <w:r>
              <w:t xml:space="preserve">94.4</w:t>
            </w:r>
          </w:p>
        </w:tc>
        <w:tc>
          <w:tcPr/>
          <w:p>
            <w:pPr>
              <w:pStyle w:val="Compact"/>
              <w:jc w:val="right"/>
            </w:pPr>
            <w:r>
              <w:t xml:space="preserve">94.1</w:t>
            </w:r>
          </w:p>
        </w:tc>
        <w:tc>
          <w:tcPr/>
          <w:p>
            <w:pPr>
              <w:pStyle w:val="Compact"/>
              <w:jc w:val="right"/>
            </w:pPr>
            <w:r>
              <w:t xml:space="preserve">77.2</w:t>
            </w:r>
          </w:p>
        </w:tc>
        <w:tc>
          <w:tcPr/>
          <w:p>
            <w:pPr>
              <w:pStyle w:val="Compact"/>
              <w:jc w:val="right"/>
            </w:pPr>
            <w:r>
              <w:t xml:space="preserve">53.6</w:t>
            </w:r>
          </w:p>
        </w:tc>
        <w:tc>
          <w:tcPr/>
          <w:p>
            <w:pPr>
              <w:pStyle w:val="Compact"/>
              <w:jc w:val="right"/>
            </w:pPr>
            <w:r>
              <w:t xml:space="preserve">76.8</w:t>
            </w:r>
          </w:p>
        </w:tc>
        <w:tc>
          <w:tcPr/>
          <w:p>
            <w:pPr>
              <w:pStyle w:val="Compact"/>
              <w:jc w:val="right"/>
            </w:pPr>
            <w:r>
              <w:t xml:space="preserve">75.5</w:t>
            </w:r>
          </w:p>
        </w:tc>
        <w:tc>
          <w:tcPr/>
          <w:p>
            <w:pPr>
              <w:pStyle w:val="Compact"/>
              <w:jc w:val="right"/>
            </w:pPr>
            <w:r>
              <w:t xml:space="preserve">53.2</w:t>
            </w:r>
          </w:p>
        </w:tc>
      </w:tr>
      <w:tr>
        <w:tc>
          <w:tcPr/>
          <w:p>
            <w:pPr>
              <w:pStyle w:val="Compact"/>
              <w:jc w:val="left"/>
            </w:pPr>
            <w:r>
              <w:t xml:space="preserve">May</w:t>
            </w:r>
          </w:p>
        </w:tc>
        <w:tc>
          <w:tcPr/>
          <w:p>
            <w:pPr>
              <w:pStyle w:val="Compact"/>
              <w:jc w:val="right"/>
            </w:pPr>
            <w:r>
              <w:t xml:space="preserve">85.8</w:t>
            </w:r>
          </w:p>
        </w:tc>
        <w:tc>
          <w:tcPr/>
          <w:p>
            <w:pPr>
              <w:pStyle w:val="Compact"/>
              <w:jc w:val="right"/>
            </w:pPr>
            <w:r>
              <w:t xml:space="preserve">84.7</w:t>
            </w:r>
          </w:p>
        </w:tc>
        <w:tc>
          <w:tcPr/>
          <w:p>
            <w:pPr>
              <w:pStyle w:val="Compact"/>
              <w:jc w:val="right"/>
            </w:pPr>
            <w:r>
              <w:t xml:space="preserve">73.5</w:t>
            </w:r>
          </w:p>
        </w:tc>
        <w:tc>
          <w:tcPr/>
          <w:p>
            <w:pPr>
              <w:pStyle w:val="Compact"/>
              <w:jc w:val="right"/>
            </w:pPr>
            <w:r>
              <w:t xml:space="preserve">72.4</w:t>
            </w:r>
          </w:p>
        </w:tc>
        <w:tc>
          <w:tcPr/>
          <w:p>
            <w:pPr>
              <w:pStyle w:val="Compact"/>
              <w:jc w:val="right"/>
            </w:pPr>
            <w:r>
              <w:t xml:space="preserve">35.8</w:t>
            </w:r>
          </w:p>
        </w:tc>
        <w:tc>
          <w:tcPr/>
          <w:p>
            <w:pPr>
              <w:pStyle w:val="Compact"/>
              <w:jc w:val="right"/>
            </w:pPr>
            <w:r>
              <w:t xml:space="preserve">16.0</w:t>
            </w:r>
          </w:p>
        </w:tc>
        <w:tc>
          <w:tcPr/>
          <w:p>
            <w:pPr>
              <w:pStyle w:val="Compact"/>
              <w:jc w:val="right"/>
            </w:pPr>
            <w:r>
              <w:t xml:space="preserve">35.4</w:t>
            </w:r>
          </w:p>
        </w:tc>
        <w:tc>
          <w:tcPr/>
          <w:p>
            <w:pPr>
              <w:pStyle w:val="Compact"/>
              <w:jc w:val="right"/>
            </w:pPr>
            <w:r>
              <w:t xml:space="preserve">33.8</w:t>
            </w:r>
          </w:p>
        </w:tc>
        <w:tc>
          <w:tcPr/>
          <w:p>
            <w:pPr>
              <w:pStyle w:val="Compact"/>
              <w:jc w:val="right"/>
            </w:pPr>
            <w:r>
              <w:t xml:space="preserve">15.8</w:t>
            </w:r>
          </w:p>
        </w:tc>
      </w:tr>
      <w:tr>
        <w:tc>
          <w:tcPr/>
          <w:p>
            <w:pPr>
              <w:pStyle w:val="Compact"/>
              <w:jc w:val="left"/>
            </w:pPr>
            <w:r>
              <w:t xml:space="preserve">Jun</w:t>
            </w:r>
          </w:p>
        </w:tc>
        <w:tc>
          <w:tcPr/>
          <w:p>
            <w:pPr>
              <w:pStyle w:val="Compact"/>
              <w:jc w:val="right"/>
            </w:pPr>
            <w:r>
              <w:t xml:space="preserve">89.7</w:t>
            </w:r>
          </w:p>
        </w:tc>
        <w:tc>
          <w:tcPr/>
          <w:p>
            <w:pPr>
              <w:pStyle w:val="Compact"/>
              <w:jc w:val="right"/>
            </w:pPr>
            <w:r>
              <w:t xml:space="preserve">88.8</w:t>
            </w:r>
          </w:p>
        </w:tc>
        <w:tc>
          <w:tcPr/>
          <w:p>
            <w:pPr>
              <w:pStyle w:val="Compact"/>
              <w:jc w:val="right"/>
            </w:pPr>
            <w:r>
              <w:t xml:space="preserve">79.9</w:t>
            </w:r>
          </w:p>
        </w:tc>
        <w:tc>
          <w:tcPr/>
          <w:p>
            <w:pPr>
              <w:pStyle w:val="Compact"/>
              <w:jc w:val="right"/>
            </w:pPr>
            <w:r>
              <w:t xml:space="preserve">79.0</w:t>
            </w:r>
          </w:p>
        </w:tc>
        <w:tc>
          <w:tcPr/>
          <w:p>
            <w:pPr>
              <w:pStyle w:val="Compact"/>
              <w:jc w:val="right"/>
            </w:pPr>
            <w:r>
              <w:t xml:space="preserve">44.5</w:t>
            </w:r>
          </w:p>
        </w:tc>
        <w:tc>
          <w:tcPr/>
          <w:p>
            <w:pPr>
              <w:pStyle w:val="Compact"/>
              <w:jc w:val="right"/>
            </w:pPr>
            <w:r>
              <w:t xml:space="preserve">21.5</w:t>
            </w:r>
          </w:p>
        </w:tc>
        <w:tc>
          <w:tcPr/>
          <w:p>
            <w:pPr>
              <w:pStyle w:val="Compact"/>
              <w:jc w:val="right"/>
            </w:pPr>
            <w:r>
              <w:t xml:space="preserve">44.0</w:t>
            </w:r>
          </w:p>
        </w:tc>
        <w:tc>
          <w:tcPr/>
          <w:p>
            <w:pPr>
              <w:pStyle w:val="Compact"/>
              <w:jc w:val="right"/>
            </w:pPr>
            <w:r>
              <w:t xml:space="preserve">42.3</w:t>
            </w:r>
          </w:p>
        </w:tc>
        <w:tc>
          <w:tcPr/>
          <w:p>
            <w:pPr>
              <w:pStyle w:val="Compact"/>
              <w:jc w:val="right"/>
            </w:pPr>
            <w:r>
              <w:t xml:space="preserve">21.2</w:t>
            </w:r>
          </w:p>
        </w:tc>
      </w:tr>
      <w:tr>
        <w:tc>
          <w:tcPr/>
          <w:p>
            <w:pPr>
              <w:pStyle w:val="Compact"/>
              <w:jc w:val="left"/>
            </w:pPr>
            <w:r>
              <w:t xml:space="preserve">Jul</w:t>
            </w:r>
          </w:p>
        </w:tc>
        <w:tc>
          <w:tcPr/>
          <w:p>
            <w:pPr>
              <w:pStyle w:val="Compact"/>
              <w:jc w:val="right"/>
            </w:pPr>
            <w:r>
              <w:t xml:space="preserve">96.7</w:t>
            </w:r>
          </w:p>
        </w:tc>
        <w:tc>
          <w:tcPr/>
          <w:p>
            <w:pPr>
              <w:pStyle w:val="Compact"/>
              <w:jc w:val="right"/>
            </w:pPr>
            <w:r>
              <w:t xml:space="preserve">96.4</w:t>
            </w:r>
          </w:p>
        </w:tc>
        <w:tc>
          <w:tcPr/>
          <w:p>
            <w:pPr>
              <w:pStyle w:val="Compact"/>
              <w:jc w:val="right"/>
            </w:pPr>
            <w:r>
              <w:t xml:space="preserve">93.1</w:t>
            </w:r>
          </w:p>
        </w:tc>
        <w:tc>
          <w:tcPr/>
          <w:p>
            <w:pPr>
              <w:pStyle w:val="Compact"/>
              <w:jc w:val="right"/>
            </w:pPr>
            <w:r>
              <w:t xml:space="preserve">92.8</w:t>
            </w:r>
          </w:p>
        </w:tc>
        <w:tc>
          <w:tcPr/>
          <w:p>
            <w:pPr>
              <w:pStyle w:val="Compact"/>
              <w:jc w:val="right"/>
            </w:pPr>
            <w:r>
              <w:t xml:space="preserve">73.2</w:t>
            </w:r>
          </w:p>
        </w:tc>
        <w:tc>
          <w:tcPr/>
          <w:p>
            <w:pPr>
              <w:pStyle w:val="Compact"/>
              <w:jc w:val="right"/>
            </w:pPr>
            <w:r>
              <w:t xml:space="preserve">48.3</w:t>
            </w:r>
          </w:p>
        </w:tc>
        <w:tc>
          <w:tcPr/>
          <w:p>
            <w:pPr>
              <w:pStyle w:val="Compact"/>
              <w:jc w:val="right"/>
            </w:pPr>
            <w:r>
              <w:t xml:space="preserve">72.8</w:t>
            </w:r>
          </w:p>
        </w:tc>
        <w:tc>
          <w:tcPr/>
          <w:p>
            <w:pPr>
              <w:pStyle w:val="Compact"/>
              <w:jc w:val="right"/>
            </w:pPr>
            <w:r>
              <w:t xml:space="preserve">71.4</w:t>
            </w:r>
          </w:p>
        </w:tc>
        <w:tc>
          <w:tcPr/>
          <w:p>
            <w:pPr>
              <w:pStyle w:val="Compact"/>
              <w:jc w:val="right"/>
            </w:pPr>
            <w:r>
              <w:t xml:space="preserve">47.8</w:t>
            </w:r>
          </w:p>
        </w:tc>
      </w:tr>
      <w:tr>
        <w:tc>
          <w:tcPr/>
          <w:p>
            <w:pPr>
              <w:pStyle w:val="Compact"/>
              <w:jc w:val="left"/>
            </w:pPr>
            <w:r>
              <w:t xml:space="preserve">Aug</w:t>
            </w:r>
          </w:p>
        </w:tc>
        <w:tc>
          <w:tcPr/>
          <w:p>
            <w:pPr>
              <w:pStyle w:val="Compact"/>
              <w:jc w:val="right"/>
            </w:pPr>
            <w:r>
              <w:t xml:space="preserve">97.9</w:t>
            </w:r>
          </w:p>
        </w:tc>
        <w:tc>
          <w:tcPr/>
          <w:p>
            <w:pPr>
              <w:pStyle w:val="Compact"/>
              <w:jc w:val="right"/>
            </w:pPr>
            <w:r>
              <w:t xml:space="preserve">97.7</w:t>
            </w:r>
          </w:p>
        </w:tc>
        <w:tc>
          <w:tcPr/>
          <w:p>
            <w:pPr>
              <w:pStyle w:val="Compact"/>
              <w:jc w:val="right"/>
            </w:pPr>
            <w:r>
              <w:t xml:space="preserve">95.5</w:t>
            </w:r>
          </w:p>
        </w:tc>
        <w:tc>
          <w:tcPr/>
          <w:p>
            <w:pPr>
              <w:pStyle w:val="Compact"/>
              <w:jc w:val="right"/>
            </w:pPr>
            <w:r>
              <w:t xml:space="preserve">95.3</w:t>
            </w:r>
          </w:p>
        </w:tc>
        <w:tc>
          <w:tcPr/>
          <w:p>
            <w:pPr>
              <w:pStyle w:val="Compact"/>
              <w:jc w:val="right"/>
            </w:pPr>
            <w:r>
              <w:t xml:space="preserve">81.1</w:t>
            </w:r>
          </w:p>
        </w:tc>
        <w:tc>
          <w:tcPr/>
          <w:p>
            <w:pPr>
              <w:pStyle w:val="Compact"/>
              <w:jc w:val="right"/>
            </w:pPr>
            <w:r>
              <w:t xml:space="preserve">59.5</w:t>
            </w:r>
          </w:p>
        </w:tc>
        <w:tc>
          <w:tcPr/>
          <w:p>
            <w:pPr>
              <w:pStyle w:val="Compact"/>
              <w:jc w:val="right"/>
            </w:pPr>
            <w:r>
              <w:t xml:space="preserve">80.8</w:t>
            </w:r>
          </w:p>
        </w:tc>
        <w:tc>
          <w:tcPr/>
          <w:p>
            <w:pPr>
              <w:pStyle w:val="Compact"/>
              <w:jc w:val="right"/>
            </w:pPr>
            <w:r>
              <w:t xml:space="preserve">79.7</w:t>
            </w:r>
          </w:p>
        </w:tc>
        <w:tc>
          <w:tcPr/>
          <w:p>
            <w:pPr>
              <w:pStyle w:val="Compact"/>
              <w:jc w:val="right"/>
            </w:pPr>
            <w:r>
              <w:t xml:space="preserve">59.0</w:t>
            </w:r>
          </w:p>
        </w:tc>
      </w:tr>
      <w:tr>
        <w:tc>
          <w:tcPr/>
          <w:p>
            <w:pPr>
              <w:pStyle w:val="Compact"/>
              <w:jc w:val="left"/>
            </w:pPr>
            <w:r>
              <w:t xml:space="preserve">Sep</w:t>
            </w:r>
          </w:p>
        </w:tc>
        <w:tc>
          <w:tcPr/>
          <w:p>
            <w:pPr>
              <w:pStyle w:val="Compact"/>
              <w:jc w:val="right"/>
            </w:pPr>
            <w:r>
              <w:t xml:space="preserve">93.4</w:t>
            </w:r>
          </w:p>
        </w:tc>
        <w:tc>
          <w:tcPr/>
          <w:p>
            <w:pPr>
              <w:pStyle w:val="Compact"/>
              <w:jc w:val="right"/>
            </w:pPr>
            <w:r>
              <w:t xml:space="preserve">92.8</w:t>
            </w:r>
          </w:p>
        </w:tc>
        <w:tc>
          <w:tcPr/>
          <w:p>
            <w:pPr>
              <w:pStyle w:val="Compact"/>
              <w:jc w:val="right"/>
            </w:pPr>
            <w:r>
              <w:t xml:space="preserve">86.6</w:t>
            </w:r>
          </w:p>
        </w:tc>
        <w:tc>
          <w:tcPr/>
          <w:p>
            <w:pPr>
              <w:pStyle w:val="Compact"/>
              <w:jc w:val="right"/>
            </w:pPr>
            <w:r>
              <w:t xml:space="preserve">85.9</w:t>
            </w:r>
          </w:p>
        </w:tc>
        <w:tc>
          <w:tcPr/>
          <w:p>
            <w:pPr>
              <w:pStyle w:val="Compact"/>
              <w:jc w:val="right"/>
            </w:pPr>
            <w:r>
              <w:t xml:space="preserve">56.6</w:t>
            </w:r>
          </w:p>
        </w:tc>
        <w:tc>
          <w:tcPr/>
          <w:p>
            <w:pPr>
              <w:pStyle w:val="Compact"/>
              <w:jc w:val="right"/>
            </w:pPr>
            <w:r>
              <w:t xml:space="preserve">30.8</w:t>
            </w:r>
          </w:p>
        </w:tc>
        <w:tc>
          <w:tcPr/>
          <w:p>
            <w:pPr>
              <w:pStyle w:val="Compact"/>
              <w:jc w:val="right"/>
            </w:pPr>
            <w:r>
              <w:t xml:space="preserve">56.1</w:t>
            </w:r>
          </w:p>
        </w:tc>
        <w:tc>
          <w:tcPr/>
          <w:p>
            <w:pPr>
              <w:pStyle w:val="Compact"/>
              <w:jc w:val="right"/>
            </w:pPr>
            <w:r>
              <w:t xml:space="preserve">54.3</w:t>
            </w:r>
          </w:p>
        </w:tc>
        <w:tc>
          <w:tcPr/>
          <w:p>
            <w:pPr>
              <w:pStyle w:val="Compact"/>
              <w:jc w:val="right"/>
            </w:pPr>
            <w:r>
              <w:t xml:space="preserve">30.4</w:t>
            </w:r>
          </w:p>
        </w:tc>
      </w:tr>
      <w:tr>
        <w:tc>
          <w:tcPr/>
          <w:p>
            <w:pPr>
              <w:pStyle w:val="Compact"/>
              <w:jc w:val="left"/>
            </w:pPr>
            <w:r>
              <w:t xml:space="preserve">Oct</w:t>
            </w:r>
          </w:p>
        </w:tc>
        <w:tc>
          <w:tcPr/>
          <w:p>
            <w:pPr>
              <w:pStyle w:val="Compact"/>
              <w:jc w:val="right"/>
            </w:pPr>
            <w:r>
              <w:t xml:space="preserve">96.9</w:t>
            </w:r>
          </w:p>
        </w:tc>
        <w:tc>
          <w:tcPr/>
          <w:p>
            <w:pPr>
              <w:pStyle w:val="Compact"/>
              <w:jc w:val="right"/>
            </w:pPr>
            <w:r>
              <w:t xml:space="preserve">96.7</w:t>
            </w:r>
          </w:p>
        </w:tc>
        <w:tc>
          <w:tcPr/>
          <w:p>
            <w:pPr>
              <w:pStyle w:val="Compact"/>
              <w:jc w:val="right"/>
            </w:pPr>
            <w:r>
              <w:t xml:space="preserve">93.6</w:t>
            </w:r>
          </w:p>
        </w:tc>
        <w:tc>
          <w:tcPr/>
          <w:p>
            <w:pPr>
              <w:pStyle w:val="Compact"/>
              <w:jc w:val="right"/>
            </w:pPr>
            <w:r>
              <w:t xml:space="preserve">93.2</w:t>
            </w:r>
          </w:p>
        </w:tc>
        <w:tc>
          <w:tcPr/>
          <w:p>
            <w:pPr>
              <w:pStyle w:val="Compact"/>
              <w:jc w:val="right"/>
            </w:pPr>
            <w:r>
              <w:t xml:space="preserve">74.5</w:t>
            </w:r>
          </w:p>
        </w:tc>
        <w:tc>
          <w:tcPr/>
          <w:p>
            <w:pPr>
              <w:pStyle w:val="Compact"/>
              <w:jc w:val="right"/>
            </w:pPr>
            <w:r>
              <w:t xml:space="preserve">50.0</w:t>
            </w:r>
          </w:p>
        </w:tc>
        <w:tc>
          <w:tcPr/>
          <w:p>
            <w:pPr>
              <w:pStyle w:val="Compact"/>
              <w:jc w:val="right"/>
            </w:pPr>
            <w:r>
              <w:t xml:space="preserve">74.2</w:t>
            </w:r>
          </w:p>
        </w:tc>
        <w:tc>
          <w:tcPr/>
          <w:p>
            <w:pPr>
              <w:pStyle w:val="Compact"/>
              <w:jc w:val="right"/>
            </w:pPr>
            <w:r>
              <w:t xml:space="preserve">72.8</w:t>
            </w:r>
          </w:p>
        </w:tc>
        <w:tc>
          <w:tcPr/>
          <w:p>
            <w:pPr>
              <w:pStyle w:val="Compact"/>
              <w:jc w:val="right"/>
            </w:pPr>
            <w:r>
              <w:t xml:space="preserve">49.6</w:t>
            </w:r>
          </w:p>
        </w:tc>
      </w:tr>
      <w:tr>
        <w:tc>
          <w:tcPr/>
          <w:p>
            <w:pPr>
              <w:pStyle w:val="Compact"/>
              <w:jc w:val="left"/>
            </w:pPr>
            <w:r>
              <w:t xml:space="preserve">Nov</w:t>
            </w:r>
          </w:p>
        </w:tc>
        <w:tc>
          <w:tcPr/>
          <w:p>
            <w:pPr>
              <w:pStyle w:val="Compact"/>
              <w:jc w:val="right"/>
            </w:pPr>
            <w:r>
              <w:t xml:space="preserve">98.4</w:t>
            </w:r>
          </w:p>
        </w:tc>
        <w:tc>
          <w:tcPr/>
          <w:p>
            <w:pPr>
              <w:pStyle w:val="Compact"/>
              <w:jc w:val="right"/>
            </w:pPr>
            <w:r>
              <w:t xml:space="preserve">98.3</w:t>
            </w:r>
          </w:p>
        </w:tc>
        <w:tc>
          <w:tcPr/>
          <w:p>
            <w:pPr>
              <w:pStyle w:val="Compact"/>
              <w:jc w:val="right"/>
            </w:pPr>
            <w:r>
              <w:t xml:space="preserve">96.6</w:t>
            </w:r>
          </w:p>
        </w:tc>
        <w:tc>
          <w:tcPr/>
          <w:p>
            <w:pPr>
              <w:pStyle w:val="Compact"/>
              <w:jc w:val="right"/>
            </w:pPr>
            <w:r>
              <w:t xml:space="preserve">96.5</w:t>
            </w:r>
          </w:p>
        </w:tc>
        <w:tc>
          <w:tcPr/>
          <w:p>
            <w:pPr>
              <w:pStyle w:val="Compact"/>
              <w:jc w:val="right"/>
            </w:pPr>
            <w:r>
              <w:t xml:space="preserve">85.3</w:t>
            </w:r>
          </w:p>
        </w:tc>
        <w:tc>
          <w:tcPr/>
          <w:p>
            <w:pPr>
              <w:pStyle w:val="Compact"/>
              <w:jc w:val="right"/>
            </w:pPr>
            <w:r>
              <w:t xml:space="preserve">66.4</w:t>
            </w:r>
          </w:p>
        </w:tc>
        <w:tc>
          <w:tcPr/>
          <w:p>
            <w:pPr>
              <w:pStyle w:val="Compact"/>
              <w:jc w:val="right"/>
            </w:pPr>
            <w:r>
              <w:t xml:space="preserve">85.1</w:t>
            </w:r>
          </w:p>
        </w:tc>
        <w:tc>
          <w:tcPr/>
          <w:p>
            <w:pPr>
              <w:pStyle w:val="Compact"/>
              <w:jc w:val="right"/>
            </w:pPr>
            <w:r>
              <w:t xml:space="preserve">84.1</w:t>
            </w:r>
          </w:p>
        </w:tc>
        <w:tc>
          <w:tcPr/>
          <w:p>
            <w:pPr>
              <w:pStyle w:val="Compact"/>
              <w:jc w:val="right"/>
            </w:pPr>
            <w:r>
              <w:t xml:space="preserve">66.1</w:t>
            </w:r>
          </w:p>
        </w:tc>
      </w:tr>
      <w:tr>
        <w:tc>
          <w:tcPr/>
          <w:p>
            <w:pPr>
              <w:pStyle w:val="Compact"/>
              <w:jc w:val="left"/>
            </w:pPr>
            <w:r>
              <w:t xml:space="preserve">Dec</w:t>
            </w:r>
          </w:p>
        </w:tc>
        <w:tc>
          <w:tcPr/>
          <w:p>
            <w:pPr>
              <w:pStyle w:val="Compact"/>
              <w:jc w:val="right"/>
            </w:pPr>
            <w:r>
              <w:t xml:space="preserve">98.0</w:t>
            </w:r>
          </w:p>
        </w:tc>
        <w:tc>
          <w:tcPr/>
          <w:p>
            <w:pPr>
              <w:pStyle w:val="Compact"/>
              <w:jc w:val="right"/>
            </w:pPr>
            <w:r>
              <w:t xml:space="preserve">97.8</w:t>
            </w:r>
          </w:p>
        </w:tc>
        <w:tc>
          <w:tcPr/>
          <w:p>
            <w:pPr>
              <w:pStyle w:val="Compact"/>
              <w:jc w:val="right"/>
            </w:pPr>
            <w:r>
              <w:t xml:space="preserve">95.8</w:t>
            </w:r>
          </w:p>
        </w:tc>
        <w:tc>
          <w:tcPr/>
          <w:p>
            <w:pPr>
              <w:pStyle w:val="Compact"/>
              <w:jc w:val="right"/>
            </w:pPr>
            <w:r>
              <w:t xml:space="preserve">95.5</w:t>
            </w:r>
          </w:p>
        </w:tc>
        <w:tc>
          <w:tcPr/>
          <w:p>
            <w:pPr>
              <w:pStyle w:val="Compact"/>
              <w:jc w:val="right"/>
            </w:pPr>
            <w:r>
              <w:t xml:space="preserve">82.1</w:t>
            </w:r>
          </w:p>
        </w:tc>
        <w:tc>
          <w:tcPr/>
          <w:p>
            <w:pPr>
              <w:pStyle w:val="Compact"/>
              <w:jc w:val="right"/>
            </w:pPr>
            <w:r>
              <w:t xml:space="preserve">61.0</w:t>
            </w:r>
          </w:p>
        </w:tc>
        <w:tc>
          <w:tcPr/>
          <w:p>
            <w:pPr>
              <w:pStyle w:val="Compact"/>
              <w:jc w:val="right"/>
            </w:pPr>
            <w:r>
              <w:t xml:space="preserve">81.8</w:t>
            </w:r>
          </w:p>
        </w:tc>
        <w:tc>
          <w:tcPr/>
          <w:p>
            <w:pPr>
              <w:pStyle w:val="Compact"/>
              <w:jc w:val="right"/>
            </w:pPr>
            <w:r>
              <w:t xml:space="preserve">80.7</w:t>
            </w:r>
          </w:p>
        </w:tc>
        <w:tc>
          <w:tcPr/>
          <w:p>
            <w:pPr>
              <w:pStyle w:val="Compact"/>
              <w:jc w:val="right"/>
            </w:pPr>
            <w:r>
              <w:t xml:space="preserve">60.5</w:t>
            </w:r>
          </w:p>
        </w:tc>
      </w:tr>
    </w:tbl>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Efficiency at Methow, Okanogan, and Entiat River Gateway PIT Arrays</dc:title>
  <dc:creator/>
  <cp:keywords/>
  <dcterms:created xsi:type="dcterms:W3CDTF">2026-04-16T16:08:16Z</dcterms:created>
  <dcterms:modified xsi:type="dcterms:W3CDTF">2026-04-16T16:08:16Z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16, 2026</vt:lpwstr>
  </property>
  <property fmtid="{D5CDD505-2E9C-101B-9397-08002B2CF9AE}" pid="3" name="output">
    <vt:lpwstr/>
  </property>
  <property fmtid="{D5CDD505-2E9C-101B-9397-08002B2CF9AE}" pid="4" name="subtitle">
    <vt:lpwstr>Wells Dam and Rocky Reach Dam Adult Steelhead — 2005 to 2025</vt:lpwstr>
  </property>
</Properties>
</file>