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71edf5f4479da3a0b9c7eba99714e986b6ef7a"/>
    <w:p>
      <w:pPr>
        <w:pStyle w:val="Heading1"/>
      </w:pPr>
      <w:r>
        <w:t xml:space="preserve">Summary of Changes: Updated vs. Original Harvest Exposure Analysis Report</w:t>
      </w:r>
    </w:p>
    <w:bookmarkStart w:id="20" w:name="X7e11402c78dce0c1589340e91f8acaaa033812d"/>
    <w:p>
      <w:pPr>
        <w:pStyle w:val="Heading2"/>
      </w:pPr>
      <w:r>
        <w:t xml:space="preserve">Steelhead Overshoot Analysis — March 2026 Update</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The updated analysis excludes a set of censored PIT tags (listed in</w:t>
      </w:r>
      <w:r>
        <w:t xml:space="preserve"> </w:t>
      </w:r>
      <w:r>
        <w:rPr>
          <w:rStyle w:val="VerbatimChar"/>
        </w:rPr>
        <w:t xml:space="preserve">SteelheadOvershootCensoredTags.csv</w:t>
      </w:r>
      <w:r>
        <w:t xml:space="preserve">) that were identified as potentially problematic after the original report was completed. These tags were removed from the fish detection dataset prior to re-running the hierarchical models. All other methods, model structure, priors, and MCMC settings remain identical to the original analysis.</w:t>
      </w:r>
    </w:p>
    <w:p>
      <w:r>
        <w:pict>
          <v:rect style="width:0;height:1.5pt" o:hralign="center" o:hrstd="t" o:hr="t"/>
        </w:pict>
      </w:r>
    </w:p>
    <w:bookmarkEnd w:id="21"/>
    <w:bookmarkStart w:id="23" w:name="sample-size-changes"/>
    <w:p>
      <w:pPr>
        <w:pStyle w:val="Heading2"/>
      </w:pPr>
      <w:r>
        <w:t xml:space="preserve">Sample Size Changes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Original</w:t>
            </w:r>
          </w:p>
        </w:tc>
        <w:tc>
          <w:tcPr/>
          <w:p>
            <w:pPr>
              <w:pStyle w:val="Compact"/>
              <w:jc w:val="left"/>
            </w:pPr>
            <w:r>
              <w:t xml:space="preserve">Updated</w:t>
            </w:r>
          </w:p>
        </w:tc>
        <w:tc>
          <w:tcPr/>
          <w:p>
            <w:pPr>
              <w:pStyle w:val="Compact"/>
              <w:jc w:val="left"/>
            </w:pPr>
            <w:r>
              <w:t xml:space="preserve">Difference</w:t>
            </w:r>
          </w:p>
        </w:tc>
      </w:tr>
      <w:tr>
        <w:tc>
          <w:tcPr/>
          <w:p>
            <w:pPr>
              <w:pStyle w:val="Compact"/>
              <w:jc w:val="left"/>
            </w:pPr>
            <w:r>
              <w:t xml:space="preserve">Total fish analyzed</w:t>
            </w:r>
          </w:p>
        </w:tc>
        <w:tc>
          <w:tcPr/>
          <w:p>
            <w:pPr>
              <w:pStyle w:val="Compact"/>
              <w:jc w:val="left"/>
            </w:pPr>
            <w:r>
              <w:t xml:space="preserve">1,355</w:t>
            </w:r>
          </w:p>
        </w:tc>
        <w:tc>
          <w:tcPr/>
          <w:p>
            <w:pPr>
              <w:pStyle w:val="Compact"/>
              <w:jc w:val="left"/>
            </w:pPr>
            <w:r>
              <w:t xml:space="preserve">1,321</w:t>
            </w:r>
          </w:p>
        </w:tc>
        <w:tc>
          <w:tcPr/>
          <w:p>
            <w:pPr>
              <w:pStyle w:val="Compact"/>
              <w:jc w:val="left"/>
            </w:pPr>
            <w:r>
              <w:t xml:space="preserve">−34</w:t>
            </w:r>
          </w:p>
        </w:tc>
      </w:tr>
      <w:tr>
        <w:tc>
          <w:tcPr/>
          <w:p>
            <w:pPr>
              <w:pStyle w:val="Compact"/>
              <w:jc w:val="left"/>
            </w:pPr>
            <w:r>
              <w:t xml:space="preserve">Fish returning downstream</w:t>
            </w:r>
          </w:p>
        </w:tc>
        <w:tc>
          <w:tcPr/>
          <w:p>
            <w:pPr>
              <w:pStyle w:val="Compact"/>
              <w:jc w:val="left"/>
            </w:pPr>
            <w:r>
              <w:t xml:space="preserve">388</w:t>
            </w:r>
          </w:p>
        </w:tc>
        <w:tc>
          <w:tcPr/>
          <w:p>
            <w:pPr>
              <w:pStyle w:val="Compact"/>
              <w:jc w:val="left"/>
            </w:pPr>
            <w:r>
              <w:t xml:space="preserve">381</w:t>
            </w:r>
          </w:p>
        </w:tc>
        <w:tc>
          <w:tcPr/>
          <w:p>
            <w:pPr>
              <w:pStyle w:val="Compact"/>
              <w:jc w:val="left"/>
            </w:pPr>
            <w:r>
              <w:t xml:space="preserve">−7</w:t>
            </w:r>
          </w:p>
        </w:tc>
      </w:tr>
      <w:tr>
        <w:tc>
          <w:tcPr/>
          <w:p>
            <w:pPr>
              <w:pStyle w:val="Compact"/>
              <w:jc w:val="left"/>
            </w:pPr>
            <w:r>
              <w:t xml:space="preserve">Fish remaining at Wells</w:t>
            </w:r>
          </w:p>
        </w:tc>
        <w:tc>
          <w:tcPr/>
          <w:p>
            <w:pPr>
              <w:pStyle w:val="Compact"/>
              <w:jc w:val="left"/>
            </w:pPr>
            <w:r>
              <w:t xml:space="preserve">967</w:t>
            </w:r>
          </w:p>
        </w:tc>
        <w:tc>
          <w:tcPr/>
          <w:p>
            <w:pPr>
              <w:pStyle w:val="Compact"/>
              <w:jc w:val="left"/>
            </w:pPr>
            <w:r>
              <w:t xml:space="preserve">940</w:t>
            </w:r>
          </w:p>
        </w:tc>
        <w:tc>
          <w:tcPr/>
          <w:p>
            <w:pPr>
              <w:pStyle w:val="Compact"/>
              <w:jc w:val="left"/>
            </w:pPr>
            <w:r>
              <w:t xml:space="preserve">−27</w:t>
            </w:r>
          </w:p>
        </w:tc>
      </w:tr>
      <w:tr>
        <w:tc>
          <w:tcPr/>
          <w:p>
            <w:pPr>
              <w:pStyle w:val="Compact"/>
              <w:jc w:val="left"/>
            </w:pPr>
            <w:r>
              <w:t xml:space="preserve">% returning downstream</w:t>
            </w:r>
          </w:p>
        </w:tc>
        <w:tc>
          <w:tcPr/>
          <w:p>
            <w:pPr>
              <w:pStyle w:val="Compact"/>
              <w:jc w:val="left"/>
            </w:pPr>
            <w:r>
              <w:t xml:space="preserve">28.6%</w:t>
            </w:r>
          </w:p>
        </w:tc>
        <w:tc>
          <w:tcPr/>
          <w:p>
            <w:pPr>
              <w:pStyle w:val="Compact"/>
              <w:jc w:val="left"/>
            </w:pPr>
            <w:r>
              <w:t xml:space="preserve">28.8%</w:t>
            </w:r>
          </w:p>
        </w:tc>
        <w:tc>
          <w:tcPr/>
          <w:p>
            <w:pPr>
              <w:pStyle w:val="Compact"/>
              <w:jc w:val="left"/>
            </w:pPr>
            <w:r>
              <w:t xml:space="preserve">+0.2 pp</w:t>
            </w:r>
          </w:p>
        </w:tc>
      </w:tr>
      <w:tr>
        <w:tc>
          <w:tcPr/>
          <w:p>
            <w:pPr>
              <w:pStyle w:val="Compact"/>
              <w:jc w:val="left"/>
            </w:pPr>
            <w:r>
              <w:t xml:space="preserve">Harvest-exposed fish</w:t>
            </w:r>
          </w:p>
        </w:tc>
        <w:tc>
          <w:tcPr/>
          <w:p>
            <w:pPr>
              <w:pStyle w:val="Compact"/>
              <w:jc w:val="left"/>
            </w:pPr>
            <w:r>
              <w:t xml:space="preserve">1,149</w:t>
            </w:r>
          </w:p>
        </w:tc>
        <w:tc>
          <w:tcPr/>
          <w:p>
            <w:pPr>
              <w:pStyle w:val="Compact"/>
              <w:jc w:val="left"/>
            </w:pPr>
            <w:r>
              <w:t xml:space="preserve">1,126</w:t>
            </w:r>
          </w:p>
        </w:tc>
        <w:tc>
          <w:tcPr/>
          <w:p>
            <w:pPr>
              <w:pStyle w:val="Compact"/>
              <w:jc w:val="left"/>
            </w:pPr>
            <w:r>
              <w:t xml:space="preserve">−23</w:t>
            </w:r>
          </w:p>
        </w:tc>
      </w:tr>
      <w:tr>
        <w:tc>
          <w:tcPr/>
          <w:p>
            <w:pPr>
              <w:pStyle w:val="Compact"/>
              <w:jc w:val="left"/>
            </w:pPr>
            <w:r>
              <w:t xml:space="preserve">% harvest-exposed</w:t>
            </w:r>
          </w:p>
        </w:tc>
        <w:tc>
          <w:tcPr/>
          <w:p>
            <w:pPr>
              <w:pStyle w:val="Compact"/>
              <w:jc w:val="left"/>
            </w:pPr>
            <w:r>
              <w:t xml:space="preserve">84.8%</w:t>
            </w:r>
          </w:p>
        </w:tc>
        <w:tc>
          <w:tcPr/>
          <w:p>
            <w:pPr>
              <w:pStyle w:val="Compact"/>
              <w:jc w:val="left"/>
            </w:pPr>
            <w:r>
              <w:t xml:space="preserve">85.2%</w:t>
            </w:r>
          </w:p>
        </w:tc>
        <w:tc>
          <w:tcPr/>
          <w:p>
            <w:pPr>
              <w:pStyle w:val="Compact"/>
              <w:jc w:val="left"/>
            </w:pPr>
            <w:r>
              <w:t xml:space="preserve">+0.4 pp</w:t>
            </w:r>
          </w:p>
        </w:tc>
      </w:tr>
    </w:tbl>
    <w:p>
      <w:pPr>
        <w:pStyle w:val="BodyText"/>
      </w:pPr>
      <w:r>
        <w:t xml:space="preserve">The 34 removed fish were distributed across multiple years, with the largest reductions in 2011 (5 fish), 2007 (4 fish), 2009 (4 fish), 2012 (4 fish), and 2006 (3 fish). Nearly all removed fish were hatchery fish present during open harvest years (i.e., harvest-exposed). The proportional composition of the dataset is essentially unchanged.</w:t>
      </w:r>
    </w:p>
    <w:bookmarkStart w:id="22" w:name="year-level-changes"/>
    <w:p>
      <w:pPr>
        <w:pStyle w:val="Heading3"/>
      </w:pPr>
      <w:r>
        <w:t xml:space="preserve">Year-Level Changes</w:t>
      </w:r>
    </w:p>
    <w:p>
      <w:pPr>
        <w:pStyle w:val="FirstParagraph"/>
      </w:pPr>
      <w:r>
        <w:t xml:space="preserve">The table below summarizes per-year differences in total fish counts between the original and updated analyses. Years not listed had no change.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Original Total</w:t>
            </w:r>
          </w:p>
        </w:tc>
        <w:tc>
          <w:tcPr/>
          <w:p>
            <w:pPr>
              <w:pStyle w:val="Compact"/>
              <w:jc w:val="left"/>
            </w:pPr>
            <w:r>
              <w:t xml:space="preserve">Updated Total</w:t>
            </w:r>
          </w:p>
        </w:tc>
        <w:tc>
          <w:tcPr/>
          <w:p>
            <w:pPr>
              <w:pStyle w:val="Compact"/>
              <w:jc w:val="left"/>
            </w:pPr>
            <w:r>
              <w:t xml:space="preserve">Difference</w:t>
            </w:r>
          </w:p>
        </w:tc>
      </w:tr>
      <w:tr>
        <w:tc>
          <w:tcPr/>
          <w:p>
            <w:pPr>
              <w:pStyle w:val="Compact"/>
              <w:jc w:val="left"/>
            </w:pPr>
            <w:r>
              <w:t xml:space="preserve">2005</w:t>
            </w:r>
          </w:p>
        </w:tc>
        <w:tc>
          <w:tcPr/>
          <w:p>
            <w:pPr>
              <w:pStyle w:val="Compact"/>
              <w:jc w:val="left"/>
            </w:pPr>
            <w:r>
              <w:t xml:space="preserve">26</w:t>
            </w:r>
          </w:p>
        </w:tc>
        <w:tc>
          <w:tcPr/>
          <w:p>
            <w:pPr>
              <w:pStyle w:val="Compact"/>
              <w:jc w:val="left"/>
            </w:pPr>
            <w:r>
              <w:t xml:space="preserve">25</w:t>
            </w:r>
          </w:p>
        </w:tc>
        <w:tc>
          <w:tcPr/>
          <w:p>
            <w:pPr>
              <w:pStyle w:val="Compact"/>
              <w:jc w:val="left"/>
            </w:pPr>
            <w:r>
              <w:t xml:space="preserve">−1</w:t>
            </w:r>
          </w:p>
        </w:tc>
      </w:tr>
      <w:tr>
        <w:tc>
          <w:tcPr/>
          <w:p>
            <w:pPr>
              <w:pStyle w:val="Compact"/>
              <w:jc w:val="left"/>
            </w:pPr>
            <w:r>
              <w:t xml:space="preserve">2006</w:t>
            </w:r>
          </w:p>
        </w:tc>
        <w:tc>
          <w:tcPr/>
          <w:p>
            <w:pPr>
              <w:pStyle w:val="Compact"/>
              <w:jc w:val="left"/>
            </w:pPr>
            <w:r>
              <w:t xml:space="preserve">60</w:t>
            </w:r>
          </w:p>
        </w:tc>
        <w:tc>
          <w:tcPr/>
          <w:p>
            <w:pPr>
              <w:pStyle w:val="Compact"/>
              <w:jc w:val="left"/>
            </w:pPr>
            <w:r>
              <w:t xml:space="preserve">57</w:t>
            </w:r>
          </w:p>
        </w:tc>
        <w:tc>
          <w:tcPr/>
          <w:p>
            <w:pPr>
              <w:pStyle w:val="Compact"/>
              <w:jc w:val="left"/>
            </w:pPr>
            <w:r>
              <w:t xml:space="preserve">−3</w:t>
            </w:r>
          </w:p>
        </w:tc>
      </w:tr>
      <w:tr>
        <w:tc>
          <w:tcPr/>
          <w:p>
            <w:pPr>
              <w:pStyle w:val="Compact"/>
              <w:jc w:val="left"/>
            </w:pPr>
            <w:r>
              <w:t xml:space="preserve">2007</w:t>
            </w:r>
          </w:p>
        </w:tc>
        <w:tc>
          <w:tcPr/>
          <w:p>
            <w:pPr>
              <w:pStyle w:val="Compact"/>
              <w:jc w:val="left"/>
            </w:pPr>
            <w:r>
              <w:t xml:space="preserve">111</w:t>
            </w:r>
          </w:p>
        </w:tc>
        <w:tc>
          <w:tcPr/>
          <w:p>
            <w:pPr>
              <w:pStyle w:val="Compact"/>
              <w:jc w:val="left"/>
            </w:pPr>
            <w:r>
              <w:t xml:space="preserve">107</w:t>
            </w:r>
          </w:p>
        </w:tc>
        <w:tc>
          <w:tcPr/>
          <w:p>
            <w:pPr>
              <w:pStyle w:val="Compact"/>
              <w:jc w:val="left"/>
            </w:pPr>
            <w:r>
              <w:t xml:space="preserve">−4</w:t>
            </w:r>
          </w:p>
        </w:tc>
      </w:tr>
      <w:tr>
        <w:tc>
          <w:tcPr/>
          <w:p>
            <w:pPr>
              <w:pStyle w:val="Compact"/>
              <w:jc w:val="left"/>
            </w:pPr>
            <w:r>
              <w:t xml:space="preserve">2008</w:t>
            </w:r>
          </w:p>
        </w:tc>
        <w:tc>
          <w:tcPr/>
          <w:p>
            <w:pPr>
              <w:pStyle w:val="Compact"/>
              <w:jc w:val="left"/>
            </w:pPr>
            <w:r>
              <w:t xml:space="preserve">92</w:t>
            </w:r>
          </w:p>
        </w:tc>
        <w:tc>
          <w:tcPr/>
          <w:p>
            <w:pPr>
              <w:pStyle w:val="Compact"/>
              <w:jc w:val="left"/>
            </w:pPr>
            <w:r>
              <w:t xml:space="preserve">91</w:t>
            </w:r>
          </w:p>
        </w:tc>
        <w:tc>
          <w:tcPr/>
          <w:p>
            <w:pPr>
              <w:pStyle w:val="Compact"/>
              <w:jc w:val="left"/>
            </w:pPr>
            <w:r>
              <w:t xml:space="preserve">−1</w:t>
            </w:r>
          </w:p>
        </w:tc>
      </w:tr>
      <w:tr>
        <w:tc>
          <w:tcPr/>
          <w:p>
            <w:pPr>
              <w:pStyle w:val="Compact"/>
              <w:jc w:val="left"/>
            </w:pPr>
            <w:r>
              <w:t xml:space="preserve">2009</w:t>
            </w:r>
          </w:p>
        </w:tc>
        <w:tc>
          <w:tcPr/>
          <w:p>
            <w:pPr>
              <w:pStyle w:val="Compact"/>
              <w:jc w:val="left"/>
            </w:pPr>
            <w:r>
              <w:t xml:space="preserve">134</w:t>
            </w:r>
          </w:p>
        </w:tc>
        <w:tc>
          <w:tcPr/>
          <w:p>
            <w:pPr>
              <w:pStyle w:val="Compact"/>
              <w:jc w:val="left"/>
            </w:pPr>
            <w:r>
              <w:t xml:space="preserve">130</w:t>
            </w:r>
          </w:p>
        </w:tc>
        <w:tc>
          <w:tcPr/>
          <w:p>
            <w:pPr>
              <w:pStyle w:val="Compact"/>
              <w:jc w:val="left"/>
            </w:pPr>
            <w:r>
              <w:t xml:space="preserve">−4</w:t>
            </w:r>
          </w:p>
        </w:tc>
      </w:tr>
      <w:tr>
        <w:tc>
          <w:tcPr/>
          <w:p>
            <w:pPr>
              <w:pStyle w:val="Compact"/>
              <w:jc w:val="left"/>
            </w:pPr>
            <w:r>
              <w:t xml:space="preserve">2010</w:t>
            </w:r>
          </w:p>
        </w:tc>
        <w:tc>
          <w:tcPr/>
          <w:p>
            <w:pPr>
              <w:pStyle w:val="Compact"/>
              <w:jc w:val="left"/>
            </w:pPr>
            <w:r>
              <w:t xml:space="preserve">289</w:t>
            </w:r>
          </w:p>
        </w:tc>
        <w:tc>
          <w:tcPr/>
          <w:p>
            <w:pPr>
              <w:pStyle w:val="Compact"/>
              <w:jc w:val="left"/>
            </w:pPr>
            <w:r>
              <w:t xml:space="preserve">286</w:t>
            </w:r>
          </w:p>
        </w:tc>
        <w:tc>
          <w:tcPr/>
          <w:p>
            <w:pPr>
              <w:pStyle w:val="Compact"/>
              <w:jc w:val="left"/>
            </w:pPr>
            <w:r>
              <w:t xml:space="preserve">−3</w:t>
            </w:r>
          </w:p>
        </w:tc>
      </w:tr>
      <w:tr>
        <w:tc>
          <w:tcPr/>
          <w:p>
            <w:pPr>
              <w:pStyle w:val="Compact"/>
              <w:jc w:val="left"/>
            </w:pPr>
            <w:r>
              <w:t xml:space="preserve">2011</w:t>
            </w:r>
          </w:p>
        </w:tc>
        <w:tc>
          <w:tcPr/>
          <w:p>
            <w:pPr>
              <w:pStyle w:val="Compact"/>
              <w:jc w:val="left"/>
            </w:pPr>
            <w:r>
              <w:t xml:space="preserve">196</w:t>
            </w:r>
          </w:p>
        </w:tc>
        <w:tc>
          <w:tcPr/>
          <w:p>
            <w:pPr>
              <w:pStyle w:val="Compact"/>
              <w:jc w:val="left"/>
            </w:pPr>
            <w:r>
              <w:t xml:space="preserve">191</w:t>
            </w:r>
          </w:p>
        </w:tc>
        <w:tc>
          <w:tcPr/>
          <w:p>
            <w:pPr>
              <w:pStyle w:val="Compact"/>
              <w:jc w:val="left"/>
            </w:pPr>
            <w:r>
              <w:t xml:space="preserve">−5</w:t>
            </w:r>
          </w:p>
        </w:tc>
      </w:tr>
      <w:tr>
        <w:tc>
          <w:tcPr/>
          <w:p>
            <w:pPr>
              <w:pStyle w:val="Compact"/>
              <w:jc w:val="left"/>
            </w:pPr>
            <w:r>
              <w:t xml:space="preserve">2012</w:t>
            </w:r>
          </w:p>
        </w:tc>
        <w:tc>
          <w:tcPr/>
          <w:p>
            <w:pPr>
              <w:pStyle w:val="Compact"/>
              <w:jc w:val="left"/>
            </w:pPr>
            <w:r>
              <w:t xml:space="preserve">134</w:t>
            </w:r>
          </w:p>
        </w:tc>
        <w:tc>
          <w:tcPr/>
          <w:p>
            <w:pPr>
              <w:pStyle w:val="Compact"/>
              <w:jc w:val="left"/>
            </w:pPr>
            <w:r>
              <w:t xml:space="preserve">130</w:t>
            </w:r>
          </w:p>
        </w:tc>
        <w:tc>
          <w:tcPr/>
          <w:p>
            <w:pPr>
              <w:pStyle w:val="Compact"/>
              <w:jc w:val="left"/>
            </w:pPr>
            <w:r>
              <w:t xml:space="preserve">−4</w:t>
            </w:r>
          </w:p>
        </w:tc>
      </w:tr>
      <w:tr>
        <w:tc>
          <w:tcPr/>
          <w:p>
            <w:pPr>
              <w:pStyle w:val="Compact"/>
              <w:jc w:val="left"/>
            </w:pPr>
            <w:r>
              <w:t xml:space="preserve">2013</w:t>
            </w:r>
          </w:p>
        </w:tc>
        <w:tc>
          <w:tcPr/>
          <w:p>
            <w:pPr>
              <w:pStyle w:val="Compact"/>
              <w:jc w:val="left"/>
            </w:pPr>
            <w:r>
              <w:t xml:space="preserve">115</w:t>
            </w:r>
          </w:p>
        </w:tc>
        <w:tc>
          <w:tcPr/>
          <w:p>
            <w:pPr>
              <w:pStyle w:val="Compact"/>
              <w:jc w:val="left"/>
            </w:pPr>
            <w:r>
              <w:t xml:space="preserve">114</w:t>
            </w:r>
          </w:p>
        </w:tc>
        <w:tc>
          <w:tcPr/>
          <w:p>
            <w:pPr>
              <w:pStyle w:val="Compact"/>
              <w:jc w:val="left"/>
            </w:pPr>
            <w:r>
              <w:t xml:space="preserve">−1</w:t>
            </w:r>
          </w:p>
        </w:tc>
      </w:tr>
      <w:tr>
        <w:tc>
          <w:tcPr/>
          <w:p>
            <w:pPr>
              <w:pStyle w:val="Compact"/>
              <w:jc w:val="left"/>
            </w:pPr>
            <w:r>
              <w:t xml:space="preserve">2014</w:t>
            </w:r>
          </w:p>
        </w:tc>
        <w:tc>
          <w:tcPr/>
          <w:p>
            <w:pPr>
              <w:pStyle w:val="Compact"/>
              <w:jc w:val="left"/>
            </w:pPr>
            <w:r>
              <w:t xml:space="preserve">38</w:t>
            </w:r>
          </w:p>
        </w:tc>
        <w:tc>
          <w:tcPr/>
          <w:p>
            <w:pPr>
              <w:pStyle w:val="Compact"/>
              <w:jc w:val="left"/>
            </w:pPr>
            <w:r>
              <w:t xml:space="preserve">35</w:t>
            </w:r>
          </w:p>
        </w:tc>
        <w:tc>
          <w:tcPr/>
          <w:p>
            <w:pPr>
              <w:pStyle w:val="Compact"/>
              <w:jc w:val="left"/>
            </w:pPr>
            <w:r>
              <w:t xml:space="preserve">−3</w:t>
            </w:r>
          </w:p>
        </w:tc>
      </w:tr>
      <w:tr>
        <w:tc>
          <w:tcPr/>
          <w:p>
            <w:pPr>
              <w:pStyle w:val="Compact"/>
              <w:jc w:val="left"/>
            </w:pPr>
            <w:r>
              <w:t xml:space="preserve">2015</w:t>
            </w:r>
          </w:p>
        </w:tc>
        <w:tc>
          <w:tcPr/>
          <w:p>
            <w:pPr>
              <w:pStyle w:val="Compact"/>
              <w:jc w:val="left"/>
            </w:pPr>
            <w:r>
              <w:t xml:space="preserve">39</w:t>
            </w:r>
          </w:p>
        </w:tc>
        <w:tc>
          <w:tcPr/>
          <w:p>
            <w:pPr>
              <w:pStyle w:val="Compact"/>
              <w:jc w:val="left"/>
            </w:pPr>
            <w:r>
              <w:t xml:space="preserve">37</w:t>
            </w:r>
          </w:p>
        </w:tc>
        <w:tc>
          <w:tcPr/>
          <w:p>
            <w:pPr>
              <w:pStyle w:val="Compact"/>
              <w:jc w:val="left"/>
            </w:pPr>
            <w:r>
              <w:t xml:space="preserve">−2</w:t>
            </w:r>
          </w:p>
        </w:tc>
      </w:tr>
      <w:tr>
        <w:tc>
          <w:tcPr/>
          <w:p>
            <w:pPr>
              <w:pStyle w:val="Compact"/>
              <w:jc w:val="left"/>
            </w:pPr>
            <w:r>
              <w:t xml:space="preserve">2016</w:t>
            </w:r>
          </w:p>
        </w:tc>
        <w:tc>
          <w:tcPr/>
          <w:p>
            <w:pPr>
              <w:pStyle w:val="Compact"/>
              <w:jc w:val="left"/>
            </w:pPr>
            <w:r>
              <w:t xml:space="preserve">64</w:t>
            </w:r>
          </w:p>
        </w:tc>
        <w:tc>
          <w:tcPr/>
          <w:p>
            <w:pPr>
              <w:pStyle w:val="Compact"/>
              <w:jc w:val="left"/>
            </w:pPr>
            <w:r>
              <w:t xml:space="preserve">62</w:t>
            </w:r>
          </w:p>
        </w:tc>
        <w:tc>
          <w:tcPr/>
          <w:p>
            <w:pPr>
              <w:pStyle w:val="Compact"/>
              <w:jc w:val="left"/>
            </w:pPr>
            <w:r>
              <w:t xml:space="preserve">−2</w:t>
            </w:r>
          </w:p>
        </w:tc>
      </w:tr>
      <w:tr>
        <w:tc>
          <w:tcPr/>
          <w:p>
            <w:pPr>
              <w:pStyle w:val="Compact"/>
              <w:jc w:val="left"/>
            </w:pPr>
            <w:r>
              <w:t xml:space="preserve">2022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bl>
    <w:p>
      <w:r>
        <w:pict>
          <v:rect style="width:0;height:1.5pt" o:hralign="center" o:hrstd="t" o:hr="t"/>
        </w:pict>
      </w:r>
    </w:p>
    <w:bookmarkEnd w:id="22"/>
    <w:bookmarkEnd w:id="23"/>
    <w:bookmarkStart w:id="27" w:name="model-results-changes"/>
    <w:p>
      <w:pPr>
        <w:pStyle w:val="Heading2"/>
      </w:pPr>
      <w:r>
        <w:t xml:space="preserve">Model Results Changes</w:t>
      </w:r>
    </w:p>
    <w:bookmarkStart w:id="24" w:name="harvest-exposure-effect"/>
    <w:p>
      <w:pPr>
        <w:pStyle w:val="Heading3"/>
      </w:pPr>
      <w:r>
        <w:t xml:space="preserve">Harvest Exposure Effect</w:t>
      </w:r>
    </w:p>
    <w:p>
      <w:pPr>
        <w:pStyle w:val="FirstParagraph"/>
      </w:pPr>
      <w:r>
        <w:t xml:space="preserve">The harvest exposure coefficient is marginally stronger in the updated analysis (slightly more negative), consistent with the observation that the removed fish were predominantly harvest-exposed fish that remained at Wells Dam. Removing them slightly reduces the number of harvest-exposed fish with</w:t>
      </w:r>
      <w:r>
        <w:t xml:space="preserve"> </w:t>
      </w:r>
      <w:r>
        <w:t xml:space="preserve">“</w:t>
      </w:r>
      <w:r>
        <w:t xml:space="preserve">At Wells</w:t>
      </w:r>
      <w:r>
        <w:t xml:space="preserve">”</w:t>
      </w:r>
      <w:r>
        <w:t xml:space="preserve"> </w:t>
      </w:r>
      <w:r>
        <w:t xml:space="preserve">fates, which modestly increases the estimated difference between harvest-exposed and non-exposed fish.</w:t>
      </w:r>
    </w:p>
    <w:tbl>
      <w:tblPr>
        <w:tblStyle w:val="Table"/>
        <w:tblW w:type="pct" w:w="5000"/>
        <w:tblLook w:firstRow="1" w:lastRow="0" w:firstColumn="0" w:lastColumn="0" w:noHBand="0" w:noVBand="0" w:val="0020"/>
        <w:jc w:val="start"/>
      </w:tblPr>
      <w:tblGrid>
        <w:gridCol w:w="739"/>
        <w:gridCol w:w="3168"/>
        <w:gridCol w:w="3168"/>
        <w:gridCol w:w="844"/>
      </w:tblGrid>
      <w:tr>
        <w:trPr>
          <w:tblHeader w:val="true"/>
        </w:trPr>
        <w:tc>
          <w:tcPr/>
          <w:p>
            <w:pPr>
              <w:pStyle w:val="Compact"/>
              <w:jc w:val="left"/>
            </w:pPr>
            <w:r>
              <w:t xml:space="preserve">Model</w:t>
            </w:r>
          </w:p>
        </w:tc>
        <w:tc>
          <w:tcPr/>
          <w:p>
            <w:pPr>
              <w:pStyle w:val="Compact"/>
              <w:jc w:val="left"/>
            </w:pPr>
            <w:r>
              <w:t xml:space="preserve">Original β_harvest (95% HDI)</w:t>
            </w:r>
          </w:p>
        </w:tc>
        <w:tc>
          <w:tcPr/>
          <w:p>
            <w:pPr>
              <w:pStyle w:val="Compact"/>
              <w:jc w:val="left"/>
            </w:pPr>
            <w:r>
              <w:t xml:space="preserve">Updated β_harvest (95% HDI)</w:t>
            </w:r>
          </w:p>
        </w:tc>
        <w:tc>
          <w:tcPr/>
          <w:p>
            <w:pPr>
              <w:pStyle w:val="Compact"/>
              <w:jc w:val="left"/>
            </w:pPr>
            <w:r>
              <w:t xml:space="preserve">Change</w:t>
            </w:r>
          </w:p>
        </w:tc>
      </w:tr>
      <w:tr>
        <w:tc>
          <w:tcPr/>
          <w:p>
            <w:pPr>
              <w:pStyle w:val="Compact"/>
              <w:jc w:val="left"/>
            </w:pPr>
            <w:r>
              <w:t xml:space="preserve">Fall TotalSpill</w:t>
            </w:r>
          </w:p>
        </w:tc>
        <w:tc>
          <w:tcPr/>
          <w:p>
            <w:pPr>
              <w:pStyle w:val="Compact"/>
              <w:jc w:val="left"/>
            </w:pPr>
            <w:r>
              <w:t xml:space="preserve">−2.18 (−2.60, −1.79)</w:t>
            </w:r>
          </w:p>
        </w:tc>
        <w:tc>
          <w:tcPr/>
          <w:p>
            <w:pPr>
              <w:pStyle w:val="Compact"/>
              <w:jc w:val="left"/>
            </w:pPr>
            <w:r>
              <w:t xml:space="preserve">−2.29 (−2.71, −1.88)</w:t>
            </w:r>
          </w:p>
        </w:tc>
        <w:tc>
          <w:tcPr/>
          <w:p>
            <w:pPr>
              <w:pStyle w:val="Compact"/>
              <w:jc w:val="left"/>
            </w:pPr>
            <w:r>
              <w:t xml:space="preserve">−0.11</w:t>
            </w:r>
          </w:p>
        </w:tc>
      </w:tr>
      <w:tr>
        <w:tc>
          <w:tcPr/>
          <w:p>
            <w:pPr>
              <w:pStyle w:val="Compact"/>
              <w:jc w:val="left"/>
            </w:pPr>
            <w:r>
              <w:t xml:space="preserve">Spring TotalSpill</w:t>
            </w:r>
          </w:p>
        </w:tc>
        <w:tc>
          <w:tcPr/>
          <w:p>
            <w:pPr>
              <w:pStyle w:val="Compact"/>
              <w:jc w:val="left"/>
            </w:pPr>
            <w:r>
              <w:t xml:space="preserve">−2.17 (−2.59, −1.77)</w:t>
            </w:r>
          </w:p>
        </w:tc>
        <w:tc>
          <w:tcPr/>
          <w:p>
            <w:pPr>
              <w:pStyle w:val="Compact"/>
              <w:jc w:val="left"/>
            </w:pPr>
            <w:r>
              <w:t xml:space="preserve">−2.28 (−2.72, −1.87)</w:t>
            </w:r>
          </w:p>
        </w:tc>
        <w:tc>
          <w:tcPr/>
          <w:p>
            <w:pPr>
              <w:pStyle w:val="Compact"/>
              <w:jc w:val="left"/>
            </w:pPr>
            <w:r>
              <w:t xml:space="preserve">−0.11</w:t>
            </w:r>
          </w:p>
        </w:tc>
      </w:tr>
    </w:tbl>
    <w:p>
      <w:pPr>
        <w:pStyle w:val="BodyText"/>
      </w:pPr>
      <w:r>
        <w:rPr>
          <w:bCs/>
          <w:b/>
        </w:rPr>
        <w:t xml:space="preserve">Odds ratio</w:t>
      </w:r>
      <w:r>
        <w:t xml:space="preserve">: The odds ratio for harvest-exposed fish changed from approximately 0.11 (original; ~89% lower odds) to approximately 0.10 (updated; ~90% lower odds). This difference is negligible in practical terms.</w:t>
      </w:r>
    </w:p>
    <w:p>
      <w:pPr>
        <w:pStyle w:val="BodyText"/>
      </w:pPr>
      <w:r>
        <w:rPr>
          <w:bCs/>
          <w:b/>
        </w:rPr>
        <w:t xml:space="preserve">Posterior certainty</w:t>
      </w:r>
      <w:r>
        <w:t xml:space="preserve">: The probability of a negative harvest effect remained P(β &lt; 0) = 1.000 in both analyses.</w:t>
      </w:r>
    </w:p>
    <w:bookmarkEnd w:id="24"/>
    <w:bookmarkStart w:id="25" w:name="spill-effects"/>
    <w:p>
      <w:pPr>
        <w:pStyle w:val="Heading3"/>
      </w:pPr>
      <w:r>
        <w:t xml:space="preserve">Spill Effects</w:t>
      </w:r>
    </w:p>
    <w:p>
      <w:pPr>
        <w:pStyle w:val="FirstParagraph"/>
      </w:pPr>
      <w:r>
        <w:t xml:space="preserve">Spill effect estimates are essentially unchanged between the original and updated analyses. The marginally negative Fall SpillHours effect and the near-zero spring spill effects are consistent across both versions.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Original β_Spill (95% HDI)</w:t>
            </w:r>
          </w:p>
        </w:tc>
        <w:tc>
          <w:tcPr/>
          <w:p>
            <w:pPr>
              <w:pStyle w:val="Compact"/>
              <w:jc w:val="left"/>
            </w:pPr>
            <w:r>
              <w:t xml:space="preserve">Updated β_Spill (95% HDI)</w:t>
            </w:r>
          </w:p>
        </w:tc>
      </w:tr>
      <w:tr>
        <w:tc>
          <w:tcPr/>
          <w:p>
            <w:pPr>
              <w:pStyle w:val="Compact"/>
              <w:jc w:val="left"/>
            </w:pPr>
            <w:r>
              <w:t xml:space="preserve">Fall SpillHours</w:t>
            </w:r>
          </w:p>
        </w:tc>
        <w:tc>
          <w:tcPr/>
          <w:p>
            <w:pPr>
              <w:pStyle w:val="Compact"/>
              <w:jc w:val="left"/>
            </w:pPr>
            <w:r>
              <w:t xml:space="preserve">−0.29 (−0.53, −0.06)</w:t>
            </w:r>
          </w:p>
        </w:tc>
        <w:tc>
          <w:tcPr/>
          <w:p>
            <w:pPr>
              <w:pStyle w:val="Compact"/>
              <w:jc w:val="left"/>
            </w:pPr>
            <w:r>
              <w:t xml:space="preserve">−0.30 (−0.54, −0.07)</w:t>
            </w:r>
          </w:p>
        </w:tc>
      </w:tr>
      <w:tr>
        <w:tc>
          <w:tcPr/>
          <w:p>
            <w:pPr>
              <w:pStyle w:val="Compact"/>
              <w:jc w:val="left"/>
            </w:pPr>
            <w:r>
              <w:t xml:space="preserve">Fall TotalSpill</w:t>
            </w:r>
          </w:p>
        </w:tc>
        <w:tc>
          <w:tcPr/>
          <w:p>
            <w:pPr>
              <w:pStyle w:val="Compact"/>
              <w:jc w:val="left"/>
            </w:pPr>
            <w:r>
              <w:t xml:space="preserve">−0.02 (−0.39, 0.35)</w:t>
            </w:r>
          </w:p>
        </w:tc>
        <w:tc>
          <w:tcPr/>
          <w:p>
            <w:pPr>
              <w:pStyle w:val="Compact"/>
              <w:jc w:val="left"/>
            </w:pPr>
            <w:r>
              <w:t xml:space="preserve">−0.03 (−0.39, 0.33)</w:t>
            </w:r>
          </w:p>
        </w:tc>
      </w:tr>
      <w:tr>
        <w:tc>
          <w:tcPr/>
          <w:p>
            <w:pPr>
              <w:pStyle w:val="Compact"/>
              <w:jc w:val="left"/>
            </w:pPr>
            <w:r>
              <w:t xml:space="preserve">Spring TotalSpill</w:t>
            </w:r>
          </w:p>
        </w:tc>
        <w:tc>
          <w:tcPr/>
          <w:p>
            <w:pPr>
              <w:pStyle w:val="Compact"/>
              <w:jc w:val="left"/>
            </w:pPr>
            <w:r>
              <w:t xml:space="preserve">0.03 (−0.22, 0.28)</w:t>
            </w:r>
          </w:p>
        </w:tc>
        <w:tc>
          <w:tcPr/>
          <w:p>
            <w:pPr>
              <w:pStyle w:val="Compact"/>
              <w:jc w:val="left"/>
            </w:pPr>
            <w:r>
              <w:t xml:space="preserve">0.03 (−0.22, 0.28)</w:t>
            </w:r>
          </w:p>
        </w:tc>
      </w:tr>
    </w:tbl>
    <w:bookmarkEnd w:id="25"/>
    <w:bookmarkStart w:id="26" w:name="year-random-effect-standard-deviation"/>
    <w:p>
      <w:pPr>
        <w:pStyle w:val="Heading3"/>
      </w:pPr>
      <w:r>
        <w:t xml:space="preserve">Year Random Effect Standard Deviation</w:t>
      </w:r>
    </w:p>
    <w:p>
      <w:pPr>
        <w:pStyle w:val="FirstParagraph"/>
      </w:pPr>
      <w:r>
        <w:t xml:space="preserve">The estimated year-level standard deviation (σ_year) is slightly smaller in the updated analysis for some models (e.g., Fall SpillHours: 0.52 → 0.49), indicating marginally less unexplained inter-annual variation after removing the censored tags.</w:t>
      </w:r>
    </w:p>
    <w:p>
      <w:r>
        <w:pict>
          <v:rect style="width:0;height:1.5pt" o:hralign="center" o:hrstd="t" o:hr="t"/>
        </w:pict>
      </w:r>
    </w:p>
    <w:bookmarkEnd w:id="26"/>
    <w:bookmarkEnd w:id="27"/>
    <w:bookmarkStart w:id="28" w:name="impact-on-conclusions"/>
    <w:p>
      <w:pPr>
        <w:pStyle w:val="Heading2"/>
      </w:pPr>
      <w:r>
        <w:t xml:space="preserve">Impact on Conclusions</w:t>
      </w:r>
    </w:p>
    <w:p>
      <w:pPr>
        <w:pStyle w:val="FirstParagraph"/>
      </w:pPr>
      <w:r>
        <w:rPr>
          <w:bCs/>
          <w:b/>
        </w:rPr>
        <w:t xml:space="preserve">The main conclusions of the analysis are unchanged.</w:t>
      </w:r>
      <w:r>
        <w:t xml:space="preserve"> </w:t>
      </w:r>
      <w:r>
        <w:t xml:space="preserve">All five key conclusions from the original report hold in the updated analysis:</w:t>
      </w:r>
    </w:p>
    <w:p>
      <w:pPr>
        <w:numPr>
          <w:ilvl w:val="0"/>
          <w:numId w:val="1001"/>
        </w:numPr>
        <w:pStyle w:val="Compact"/>
      </w:pPr>
      <w:r>
        <w:t xml:space="preserve">Harvest exposure remains the dominant predictor of overshoot fate (~90% lower odds of downstream return; unchanged from ~89%).</w:t>
      </w:r>
    </w:p>
    <w:p>
      <w:pPr>
        <w:numPr>
          <w:ilvl w:val="0"/>
          <w:numId w:val="1001"/>
        </w:numPr>
        <w:pStyle w:val="Compact"/>
      </w:pPr>
      <w:r>
        <w:t xml:space="preserve">Neither fall nor spring spill has a detectable effect on downstream return probability.</w:t>
      </w:r>
    </w:p>
    <w:p>
      <w:pPr>
        <w:numPr>
          <w:ilvl w:val="0"/>
          <w:numId w:val="1001"/>
        </w:numPr>
        <w:pStyle w:val="Compact"/>
      </w:pPr>
      <w:r>
        <w:t xml:space="preserve">Results remain robust across all six spill metrics.</w:t>
      </w:r>
    </w:p>
    <w:p>
      <w:pPr>
        <w:numPr>
          <w:ilvl w:val="0"/>
          <w:numId w:val="1001"/>
        </w:numPr>
        <w:pStyle w:val="Compact"/>
      </w:pPr>
      <w:r>
        <w:t xml:space="preserve">Substantial unexplained year-to-year variation persists.</w:t>
      </w:r>
    </w:p>
    <w:p>
      <w:pPr>
        <w:numPr>
          <w:ilvl w:val="0"/>
          <w:numId w:val="1001"/>
        </w:numPr>
        <w:pStyle w:val="Compact"/>
      </w:pPr>
      <w:r>
        <w:t xml:space="preserve">Bayesian hierarchical modeling remains the appropriate inferential framework.</w:t>
      </w:r>
    </w:p>
    <w:p>
      <w:pPr>
        <w:pStyle w:val="FirstParagraph"/>
      </w:pPr>
      <w:r>
        <w:t xml:space="preserve">The only material change is a slight strengthening of the already dominant and highly certain harvest exposure effect. The removal of 34 censored tags had no meaningful effect on the qualitative interpretation of any result.</w:t>
      </w:r>
    </w:p>
    <w:p>
      <w:r>
        <w:pict>
          <v:rect style="width:0;height:1.5pt" o:hralign="center" o:hrstd="t" o:hr="t"/>
        </w:pict>
      </w:r>
    </w:p>
    <w:p>
      <w:pPr>
        <w:pStyle w:val="FirstParagraph"/>
      </w:pPr>
      <w:r>
        <w:rPr>
          <w:iCs/>
          <w:i/>
        </w:rPr>
        <w:t xml:space="preserve">Original analysis: February 2026</w:t>
      </w:r>
    </w:p>
    <w:p>
      <w:pPr>
        <w:pStyle w:val="BodyText"/>
      </w:pPr>
      <w:r>
        <w:rPr>
          <w:iCs/>
          <w:i/>
        </w:rPr>
        <w:t xml:space="preserve">Updated analysis: March 2026</w:t>
      </w:r>
    </w:p>
    <w:p>
      <w:pPr>
        <w:pStyle w:val="BodyText"/>
      </w:pPr>
      <w:r>
        <w:rPr>
          <w:iCs/>
          <w:i/>
        </w:rPr>
        <w:t xml:space="preserve">Change: Removal of censored tags listed in SteelheadOvershootCensoredTags.csv</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2026-03-09T16:26:13Z</dcterms:created>
  <dcterms:modified xsi:type="dcterms:W3CDTF">2026-03-09T16:26:13Z</dcterms:modified>
</cp:coreProperties>
</file>

<file path=docProps/custom.xml><?xml version="1.0" encoding="utf-8"?>
<Properties xmlns="http://schemas.openxmlformats.org/officeDocument/2006/custom-properties" xmlns:vt="http://schemas.openxmlformats.org/officeDocument/2006/docPropsVTypes"/>
</file>