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5718CE5B"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F20DBA">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4FEF91D" w14:textId="77777777" w:rsidR="006D1551" w:rsidRDefault="006D1551" w:rsidP="00D24330">
      <w:pPr>
        <w:pStyle w:val="MIndHeader"/>
        <w:rPr>
          <w:color w:val="333333"/>
          <w:sz w:val="21"/>
          <w:szCs w:val="21"/>
        </w:rPr>
      </w:pPr>
      <w:r w:rsidRPr="006D1551">
        <w:rPr>
          <w:color w:val="333333"/>
          <w:sz w:val="21"/>
          <w:szCs w:val="21"/>
        </w:rPr>
        <w:t>Goal 1: End poverty in all its forms everywhere</w:t>
      </w:r>
    </w:p>
    <w:p w14:paraId="084142D2" w14:textId="5B505CA4" w:rsidR="00D24330" w:rsidRPr="00A96255" w:rsidRDefault="00D24330" w:rsidP="00D24330">
      <w:pPr>
        <w:pStyle w:val="MIndHeader"/>
      </w:pPr>
      <w:r w:rsidRPr="00A96255">
        <w:t xml:space="preserve">0.b. Target </w:t>
      </w:r>
      <w:r>
        <w:rPr>
          <w:color w:val="B4B4B4"/>
          <w:sz w:val="20"/>
        </w:rPr>
        <w:t>(SDG_TARGET)</w:t>
      </w:r>
    </w:p>
    <w:p w14:paraId="1C9F38A3" w14:textId="7E5111B8" w:rsidR="006D1551" w:rsidRPr="00A96255" w:rsidRDefault="006D1551" w:rsidP="00D24330">
      <w:pPr>
        <w:pStyle w:val="MGTHeader"/>
      </w:pPr>
      <w:r w:rsidRPr="006D1551">
        <w:t xml:space="preserve">Target 1.a: Ensure significant mobilization of resources from a variety of sources, including through enhanced development cooperation, in order to provide adequate and predictable means for developing countries, in particular least developed countries, to implement programmes and policies to end poverty in all its </w:t>
      </w:r>
      <w:proofErr w:type="gramStart"/>
      <w:r w:rsidRPr="006D1551">
        <w:t>dimensions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2E047F7" w14:textId="15F1F3C9" w:rsidR="006D1551" w:rsidRDefault="006D1551" w:rsidP="006D1551">
      <w:pPr>
        <w:pStyle w:val="MGTHeader"/>
      </w:pPr>
      <w:r>
        <w:t xml:space="preserve">Indicator 1.a.2: Proportion of total government spending on essential services (education, </w:t>
      </w:r>
      <w:proofErr w:type="gramStart"/>
      <w:r>
        <w:t>health</w:t>
      </w:r>
      <w:proofErr w:type="gramEnd"/>
      <w:r>
        <w:t xml:space="preserve"> and social protection)</w:t>
      </w:r>
    </w:p>
    <w:p w14:paraId="37E5E4F6" w14:textId="11102B91" w:rsidR="00D24330" w:rsidRPr="00787FBB" w:rsidRDefault="00D24330" w:rsidP="00D24330">
      <w:pPr>
        <w:pStyle w:val="MIndHeader"/>
        <w:rPr>
          <w:lang w:val="en-US"/>
        </w:rPr>
      </w:pPr>
      <w:r w:rsidRPr="00787FBB">
        <w:rPr>
          <w:lang w:val="en-US"/>
        </w:rPr>
        <w:t xml:space="preserve">0.d. Series </w:t>
      </w:r>
      <w:r>
        <w:rPr>
          <w:color w:val="B4B4B4"/>
          <w:sz w:val="20"/>
        </w:rPr>
        <w:t>(SDG_SERIES_DESCR)</w:t>
      </w:r>
    </w:p>
    <w:p w14:paraId="69EE6FB3" w14:textId="77777777" w:rsidR="00787FBB" w:rsidRPr="00787FBB" w:rsidRDefault="00787FBB" w:rsidP="00787FBB">
      <w:pPr>
        <w:pStyle w:val="MGTHeader"/>
        <w:rPr>
          <w:lang w:val="en-US"/>
        </w:rPr>
      </w:pPr>
      <w:r w:rsidRPr="00787FBB">
        <w:rPr>
          <w:lang w:val="en-US"/>
        </w:rPr>
        <w:t>SG_XPD_EDUC - Proportion of total government spending on essential services, education [1.a.2]</w:t>
      </w:r>
    </w:p>
    <w:p w14:paraId="7B400FAC" w14:textId="77777777" w:rsidR="00787FBB" w:rsidRPr="00787FBB" w:rsidRDefault="00787FBB" w:rsidP="00787FBB">
      <w:pPr>
        <w:pStyle w:val="MGTHeader"/>
        <w:rPr>
          <w:lang w:val="en-US"/>
        </w:rPr>
      </w:pPr>
      <w:r w:rsidRPr="00787FBB">
        <w:rPr>
          <w:lang w:val="en-US"/>
        </w:rPr>
        <w:t>SG_XPD_ESSRV - Proportion of total government spending on essential services [1.a.2]</w:t>
      </w:r>
    </w:p>
    <w:p w14:paraId="7BA69F2E" w14:textId="77777777" w:rsidR="00787FBB" w:rsidRPr="00787FBB" w:rsidRDefault="00787FBB" w:rsidP="00787FBB">
      <w:pPr>
        <w:pStyle w:val="MGTHeader"/>
        <w:rPr>
          <w:lang w:val="en-US"/>
        </w:rPr>
      </w:pPr>
      <w:r w:rsidRPr="00787FBB">
        <w:rPr>
          <w:lang w:val="en-US"/>
        </w:rPr>
        <w:t>SG_XPD_HLTH - Proportion of total government spending on essential services, health [1.a.2]</w:t>
      </w:r>
    </w:p>
    <w:p w14:paraId="34640D74" w14:textId="4235A597" w:rsidR="00504261" w:rsidRPr="00787FBB" w:rsidRDefault="00787FBB" w:rsidP="00787FBB">
      <w:pPr>
        <w:pStyle w:val="MGTHeader"/>
        <w:rPr>
          <w:lang w:val="en-US"/>
        </w:rPr>
      </w:pPr>
      <w:r w:rsidRPr="00787FBB">
        <w:rPr>
          <w:lang w:val="en-US"/>
        </w:rPr>
        <w:t>SG_XPD_PROT - Proportion of total government spending on essential services, social protection [1.a.2]</w:t>
      </w:r>
    </w:p>
    <w:p w14:paraId="157DACE7" w14:textId="77777777" w:rsidR="00D24330" w:rsidRPr="00787FBB" w:rsidRDefault="00D24330" w:rsidP="00D24330">
      <w:pPr>
        <w:pStyle w:val="MIndHeader"/>
        <w:rPr>
          <w:lang w:val="en-US"/>
        </w:rPr>
      </w:pPr>
      <w:r w:rsidRPr="00787FBB">
        <w:rPr>
          <w:lang w:val="en-US"/>
        </w:rPr>
        <w:t xml:space="preserve">0.e. Metadata update </w:t>
      </w:r>
      <w:r>
        <w:rPr>
          <w:color w:val="B4B4B4"/>
          <w:sz w:val="20"/>
        </w:rPr>
        <w:t>(META_LAST_UPDATE)</w:t>
      </w:r>
    </w:p>
    <w:sdt>
      <w:sdtPr>
        <w:rPr>
          <w:lang w:val="en-US"/>
        </w:rPr>
        <w:id w:val="409432231"/>
        <w:placeholder>
          <w:docPart w:val="DefaultPlaceholder_-1854013437"/>
        </w:placeholder>
        <w:date w:fullDate="2024-06-28T00:00:00Z">
          <w:dateFormat w:val="yyyy-MM-dd"/>
          <w:lid w:val="en-US"/>
          <w:storeMappedDataAs w:val="dateTime"/>
          <w:calendar w:val="gregorian"/>
        </w:date>
      </w:sdtPr>
      <w:sdtContent>
        <w:p w14:paraId="4831CCBE" w14:textId="43F7A57B" w:rsidR="006D1551" w:rsidRPr="00787FBB" w:rsidRDefault="00784434" w:rsidP="00D24330">
          <w:pPr>
            <w:pStyle w:val="MGTHeader"/>
            <w:rPr>
              <w:lang w:val="en-US"/>
            </w:rPr>
          </w:pPr>
          <w:r w:rsidRPr="00784434">
            <w:rPr>
              <w:lang w:val="en-US"/>
            </w:rPr>
            <w:t>2024-06-28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45A234AB" w14:textId="04C311CF" w:rsidR="00725552" w:rsidRPr="00A96255" w:rsidRDefault="00725552" w:rsidP="00D24330">
      <w:pPr>
        <w:pStyle w:val="MGTHeader"/>
      </w:pPr>
      <w:r w:rsidRPr="00725552">
        <w:t>4.a.1, 4.b.1</w:t>
      </w:r>
    </w:p>
    <w:p w14:paraId="077BC49E" w14:textId="6260638C"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448D825A" w14:textId="5E1C8067" w:rsidR="006D1551" w:rsidRDefault="001E2B47" w:rsidP="00D24330">
      <w:pPr>
        <w:pStyle w:val="MGTHeader"/>
      </w:pPr>
      <w:r>
        <w:t>International Monetary Fund (</w:t>
      </w:r>
      <w:r w:rsidR="001830C0" w:rsidRPr="00176F65">
        <w:t>IMF</w:t>
      </w:r>
      <w:r>
        <w:t>)</w:t>
      </w:r>
      <w:r w:rsidR="001830C0" w:rsidRPr="00176F65">
        <w:t xml:space="preserve"> Statistics Department (Government Finance Division)</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7B057EB" w14:textId="5645BEA5" w:rsidR="006D1551" w:rsidRDefault="001E2B47" w:rsidP="00576CFA">
      <w:pPr>
        <w:pStyle w:val="MText"/>
      </w:pPr>
      <w:r>
        <w:t>International Monetary Fund (</w:t>
      </w:r>
      <w:r w:rsidR="001830C0" w:rsidRPr="00176F65">
        <w:t>IMF</w:t>
      </w:r>
      <w:r>
        <w:t>)</w:t>
      </w:r>
      <w:r w:rsidR="001830C0" w:rsidRPr="00176F65">
        <w:t xml:space="preserve"> Statistics Department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7F3CA9" w14:paraId="0876C7A0" w14:textId="77777777" w:rsidTr="001968D1">
        <w:tc>
          <w:tcPr>
            <w:tcW w:w="9016" w:type="dxa"/>
          </w:tcPr>
          <w:p w14:paraId="18477596" w14:textId="3EE1B276" w:rsidR="007F3CA9" w:rsidRPr="00C6003C" w:rsidRDefault="007F3CA9" w:rsidP="00C6003C">
            <w:pPr>
              <w:pStyle w:val="MText"/>
              <w:spacing w:line="276" w:lineRule="auto"/>
              <w:rPr>
                <w:rStyle w:val="Strong"/>
                <w:b w:val="0"/>
                <w:bCs w:val="0"/>
              </w:rPr>
            </w:pPr>
            <w:r w:rsidRPr="00EE316B">
              <w:rPr>
                <w:rStyle w:val="Strong"/>
                <w:b w:val="0"/>
                <w:bCs w:val="0"/>
              </w:rPr>
              <w:t xml:space="preserve">As agreed by the Inter-agency and Expert Group on SDG Indicators (IAEG-SDGs), data for the </w:t>
            </w:r>
            <w:r w:rsidRPr="0021657A">
              <w:rPr>
                <w:rStyle w:val="Strong"/>
              </w:rPr>
              <w:t>education component only</w:t>
            </w:r>
            <w:r w:rsidRPr="00EE316B">
              <w:rPr>
                <w:rStyle w:val="Strong"/>
                <w:b w:val="0"/>
                <w:bCs w:val="0"/>
              </w:rPr>
              <w:t xml:space="preserve"> of indicator 1.a.2 are provided by two custodian agencies (co-custodians IMF and UNESCO-UIS) to provide maximum country coverage. Therefore, the Global SDG Indicators Database includes two distinct data series for the education component, supplied by these different data providers (the co-custodians). Each provider employs unique data collection and calculation </w:t>
            </w:r>
            <w:r w:rsidRPr="00EE316B">
              <w:rPr>
                <w:rStyle w:val="Strong"/>
                <w:b w:val="0"/>
                <w:bCs w:val="0"/>
              </w:rPr>
              <w:lastRenderedPageBreak/>
              <w:t xml:space="preserve">methods. Consequently, variations may arise when comparing the datasets: SG_XPD_EDUC (provided by IMF as part of a set that contains </w:t>
            </w:r>
            <w:proofErr w:type="gramStart"/>
            <w:r w:rsidRPr="00EE316B">
              <w:rPr>
                <w:rStyle w:val="Strong"/>
                <w:b w:val="0"/>
                <w:bCs w:val="0"/>
              </w:rPr>
              <w:t>all  components</w:t>
            </w:r>
            <w:proofErr w:type="gramEnd"/>
            <w:r w:rsidRPr="00EE316B">
              <w:rPr>
                <w:rStyle w:val="Strong"/>
                <w:b w:val="0"/>
                <w:bCs w:val="0"/>
              </w:rPr>
              <w:t xml:space="preserve"> of indicator 1.a.2 and the total) and SD_XPD_ESED (provided by UNESCO-UIS for the education component only). To gain insight into the methodologies used by each provider, please review the additional metadata file associated with indicator </w:t>
            </w:r>
            <w:proofErr w:type="gramStart"/>
            <w:r w:rsidRPr="00EE316B">
              <w:rPr>
                <w:rStyle w:val="Strong"/>
                <w:b w:val="0"/>
                <w:bCs w:val="0"/>
              </w:rPr>
              <w:t>1.a.</w:t>
            </w:r>
            <w:proofErr w:type="gramEnd"/>
            <w:r w:rsidRPr="00EE316B">
              <w:rPr>
                <w:rStyle w:val="Strong"/>
                <w:b w:val="0"/>
                <w:bCs w:val="0"/>
              </w:rPr>
              <w:t>2.</w:t>
            </w:r>
          </w:p>
        </w:tc>
      </w:tr>
    </w:tbl>
    <w:p w14:paraId="064D7E0C" w14:textId="771465EF" w:rsidR="00D7197F" w:rsidRDefault="00D7197F" w:rsidP="006D1551">
      <w:pPr>
        <w:shd w:val="clear" w:color="auto" w:fill="FFFFFF"/>
        <w:spacing w:after="0"/>
        <w:rPr>
          <w:rStyle w:val="Strong"/>
          <w:rFonts w:cs="Times New Roman"/>
          <w:color w:val="4A4A4A"/>
          <w:sz w:val="21"/>
          <w:szCs w:val="21"/>
        </w:rPr>
      </w:pPr>
    </w:p>
    <w:p w14:paraId="75DCF708" w14:textId="56D3616D" w:rsidR="006D1551" w:rsidRDefault="006D1551" w:rsidP="006D1551">
      <w:pPr>
        <w:shd w:val="clear" w:color="auto" w:fill="FFFFFF"/>
        <w:spacing w:after="0"/>
        <w:rPr>
          <w:rStyle w:val="Strong"/>
          <w:rFonts w:cs="Times New Roman"/>
          <w:color w:val="4A4A4A"/>
          <w:sz w:val="21"/>
          <w:szCs w:val="21"/>
        </w:rPr>
      </w:pPr>
      <w:r w:rsidRPr="00BE3399">
        <w:rPr>
          <w:rStyle w:val="Strong"/>
          <w:rFonts w:cs="Times New Roman"/>
          <w:color w:val="4A4A4A"/>
          <w:sz w:val="21"/>
          <w:szCs w:val="21"/>
        </w:rPr>
        <w:t>Definition:</w:t>
      </w:r>
    </w:p>
    <w:p w14:paraId="1ED7A6DE" w14:textId="0A534B6B" w:rsidR="006D1551" w:rsidRPr="0002569B" w:rsidRDefault="00A366BB" w:rsidP="006D155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Expenditure</w:t>
      </w:r>
      <w:r w:rsidRPr="002A7A1D">
        <w:rPr>
          <w:rFonts w:eastAsia="Times New Roman" w:cs="Times New Roman"/>
          <w:color w:val="4A4A4A"/>
          <w:sz w:val="21"/>
          <w:szCs w:val="21"/>
          <w:lang w:eastAsia="en-GB"/>
        </w:rPr>
        <w:t xml:space="preserve"> </w:t>
      </w:r>
      <w:r w:rsidR="00D151DB" w:rsidRPr="002A7A1D">
        <w:rPr>
          <w:rFonts w:eastAsia="Times New Roman" w:cs="Times New Roman"/>
          <w:color w:val="4A4A4A"/>
          <w:sz w:val="21"/>
          <w:szCs w:val="21"/>
          <w:lang w:eastAsia="en-GB"/>
        </w:rPr>
        <w:t>is defined in Chapter 4 (paragraph</w:t>
      </w:r>
      <w:r w:rsidR="00B274FC" w:rsidRPr="002A7A1D">
        <w:rPr>
          <w:rFonts w:eastAsia="Times New Roman" w:cs="Times New Roman"/>
          <w:color w:val="4A4A4A"/>
          <w:sz w:val="21"/>
          <w:szCs w:val="21"/>
          <w:lang w:eastAsia="en-GB"/>
        </w:rPr>
        <w:t>s</w:t>
      </w:r>
      <w:r w:rsidR="00D151DB" w:rsidRPr="002A7A1D">
        <w:rPr>
          <w:rFonts w:eastAsia="Times New Roman" w:cs="Times New Roman"/>
          <w:color w:val="4A4A4A"/>
          <w:sz w:val="21"/>
          <w:szCs w:val="21"/>
          <w:lang w:eastAsia="en-GB"/>
        </w:rPr>
        <w:t xml:space="preserve"> 4.2</w:t>
      </w:r>
      <w:r w:rsidR="00B274FC" w:rsidRPr="002A7A1D">
        <w:rPr>
          <w:rFonts w:eastAsia="Times New Roman" w:cs="Times New Roman"/>
          <w:color w:val="4A4A4A"/>
          <w:sz w:val="21"/>
          <w:szCs w:val="21"/>
          <w:lang w:eastAsia="en-GB"/>
        </w:rPr>
        <w:t>4 and 6.1</w:t>
      </w:r>
      <w:r w:rsidR="00D151DB" w:rsidRPr="002A7A1D">
        <w:rPr>
          <w:rFonts w:eastAsia="Times New Roman" w:cs="Times New Roman"/>
          <w:color w:val="4A4A4A"/>
          <w:sz w:val="21"/>
          <w:szCs w:val="21"/>
          <w:lang w:eastAsia="en-GB"/>
        </w:rPr>
        <w:t xml:space="preserve">) of </w:t>
      </w:r>
      <w:r w:rsidR="00B274FC" w:rsidRPr="002A7A1D">
        <w:rPr>
          <w:rFonts w:eastAsia="Times New Roman" w:cs="Times New Roman"/>
          <w:color w:val="4A4A4A"/>
          <w:sz w:val="21"/>
          <w:szCs w:val="21"/>
          <w:lang w:eastAsia="en-GB"/>
        </w:rPr>
        <w:t xml:space="preserve">the </w:t>
      </w:r>
      <w:r w:rsidR="00753DF3" w:rsidRPr="00AB30EB">
        <w:rPr>
          <w:rFonts w:eastAsia="Times New Roman" w:cs="Times New Roman"/>
          <w:i/>
          <w:iCs/>
          <w:color w:val="4A4A4A"/>
          <w:sz w:val="21"/>
          <w:szCs w:val="21"/>
          <w:lang w:eastAsia="en-GB"/>
        </w:rPr>
        <w:t>Government Finance Statistics Manual 2014</w:t>
      </w:r>
      <w:r w:rsidR="00AB30EB" w:rsidRPr="00AB30EB">
        <w:rPr>
          <w:rFonts w:eastAsia="Times New Roman" w:cs="Times New Roman"/>
          <w:i/>
          <w:iCs/>
          <w:color w:val="4A4A4A"/>
          <w:sz w:val="21"/>
          <w:szCs w:val="21"/>
          <w:lang w:eastAsia="en-GB"/>
        </w:rPr>
        <w:t xml:space="preserve"> </w:t>
      </w:r>
      <w:r w:rsidR="00AB30EB">
        <w:rPr>
          <w:rFonts w:eastAsia="Times New Roman" w:cs="Times New Roman"/>
          <w:color w:val="4A4A4A"/>
          <w:sz w:val="21"/>
          <w:szCs w:val="21"/>
          <w:lang w:eastAsia="en-GB"/>
        </w:rPr>
        <w:t>(</w:t>
      </w:r>
      <w:r w:rsidR="00D151DB" w:rsidRPr="002A7A1D">
        <w:rPr>
          <w:rFonts w:eastAsia="Times New Roman" w:cs="Times New Roman"/>
          <w:i/>
          <w:iCs/>
          <w:color w:val="4A4A4A"/>
          <w:sz w:val="21"/>
          <w:szCs w:val="21"/>
          <w:lang w:eastAsia="en-GB"/>
        </w:rPr>
        <w:t>GFSM 2014</w:t>
      </w:r>
      <w:r w:rsidR="00AB30EB">
        <w:rPr>
          <w:rFonts w:eastAsia="Times New Roman" w:cs="Times New Roman"/>
          <w:i/>
          <w:iCs/>
          <w:color w:val="4A4A4A"/>
          <w:sz w:val="21"/>
          <w:szCs w:val="21"/>
          <w:lang w:eastAsia="en-GB"/>
        </w:rPr>
        <w:t>)</w:t>
      </w:r>
      <w:r w:rsidR="00D151DB" w:rsidRPr="002A7A1D">
        <w:rPr>
          <w:rFonts w:eastAsia="Times New Roman" w:cs="Times New Roman"/>
          <w:color w:val="4A4A4A"/>
          <w:sz w:val="21"/>
          <w:szCs w:val="21"/>
          <w:lang w:eastAsia="en-GB"/>
        </w:rPr>
        <w:t xml:space="preserve"> </w:t>
      </w:r>
      <w:r w:rsidR="00B274FC" w:rsidRPr="002A7A1D">
        <w:rPr>
          <w:rFonts w:eastAsia="Times New Roman" w:cs="Times New Roman"/>
          <w:color w:val="4A4A4A"/>
          <w:sz w:val="21"/>
          <w:szCs w:val="21"/>
          <w:lang w:eastAsia="en-GB"/>
        </w:rPr>
        <w:t>as a</w:t>
      </w:r>
      <w:r w:rsidR="00D151DB" w:rsidRPr="002A7A1D">
        <w:rPr>
          <w:rFonts w:eastAsia="Times New Roman" w:cs="Times New Roman"/>
          <w:color w:val="4A4A4A"/>
          <w:sz w:val="21"/>
          <w:szCs w:val="21"/>
          <w:lang w:eastAsia="en-GB"/>
        </w:rPr>
        <w:t xml:space="preserve"> </w:t>
      </w:r>
      <w:r w:rsidR="00B274FC" w:rsidRPr="002A7A1D">
        <w:rPr>
          <w:rFonts w:eastAsia="Times New Roman" w:cs="Times New Roman"/>
          <w:color w:val="4A4A4A"/>
          <w:sz w:val="21"/>
          <w:szCs w:val="21"/>
          <w:lang w:eastAsia="en-GB"/>
        </w:rPr>
        <w:t>de</w:t>
      </w:r>
      <w:r w:rsidR="00D151DB" w:rsidRPr="002A7A1D">
        <w:rPr>
          <w:rFonts w:eastAsia="Times New Roman" w:cs="Times New Roman"/>
          <w:color w:val="4A4A4A"/>
          <w:sz w:val="21"/>
          <w:szCs w:val="21"/>
          <w:lang w:eastAsia="en-GB"/>
        </w:rPr>
        <w:t xml:space="preserve">crease in net worth resulting from a transaction. It is a fiscal indicator for assessing the sustainability of fiscal activities. </w:t>
      </w:r>
      <w:r w:rsidR="008F2405" w:rsidRPr="002A7A1D">
        <w:rPr>
          <w:rFonts w:eastAsia="Times New Roman" w:cs="Times New Roman"/>
          <w:color w:val="4A4A4A"/>
          <w:sz w:val="21"/>
          <w:szCs w:val="21"/>
          <w:lang w:eastAsia="en-GB"/>
        </w:rPr>
        <w:t xml:space="preserve">The </w:t>
      </w:r>
      <w:r w:rsidR="008F2405" w:rsidRPr="002A7A1D">
        <w:rPr>
          <w:rFonts w:eastAsia="Times New Roman" w:cs="Times New Roman"/>
          <w:i/>
          <w:iCs/>
          <w:color w:val="4A4A4A"/>
          <w:sz w:val="21"/>
          <w:szCs w:val="21"/>
          <w:lang w:eastAsia="en-GB"/>
        </w:rPr>
        <w:t>GFSM 2014</w:t>
      </w:r>
      <w:r w:rsidR="008F2405" w:rsidRPr="002A7A1D">
        <w:rPr>
          <w:rFonts w:eastAsia="Times New Roman" w:cs="Times New Roman"/>
          <w:color w:val="4A4A4A"/>
          <w:sz w:val="21"/>
          <w:szCs w:val="21"/>
          <w:lang w:eastAsia="en-GB"/>
        </w:rPr>
        <w:t xml:space="preserve"> presents </w:t>
      </w:r>
      <w:r w:rsidR="006C0CFA" w:rsidRPr="002A7A1D">
        <w:rPr>
          <w:rFonts w:eastAsia="Times New Roman" w:cs="Times New Roman"/>
          <w:color w:val="4A4A4A"/>
          <w:sz w:val="21"/>
          <w:szCs w:val="21"/>
          <w:lang w:eastAsia="en-GB"/>
        </w:rPr>
        <w:t>e</w:t>
      </w:r>
      <w:r w:rsidR="006C0CFA">
        <w:rPr>
          <w:rFonts w:eastAsia="Times New Roman" w:cs="Times New Roman"/>
          <w:color w:val="4A4A4A"/>
          <w:sz w:val="21"/>
          <w:szCs w:val="21"/>
          <w:lang w:eastAsia="en-GB"/>
        </w:rPr>
        <w:t>x</w:t>
      </w:r>
      <w:r w:rsidR="006C0CFA" w:rsidRPr="002A7A1D">
        <w:rPr>
          <w:rFonts w:eastAsia="Times New Roman" w:cs="Times New Roman"/>
          <w:color w:val="4A4A4A"/>
          <w:sz w:val="21"/>
          <w:szCs w:val="21"/>
          <w:lang w:eastAsia="en-GB"/>
        </w:rPr>
        <w:t xml:space="preserve">pense </w:t>
      </w:r>
      <w:r w:rsidR="008F2405" w:rsidRPr="002A7A1D">
        <w:rPr>
          <w:rFonts w:eastAsia="Times New Roman" w:cs="Times New Roman"/>
          <w:color w:val="4A4A4A"/>
          <w:sz w:val="21"/>
          <w:szCs w:val="21"/>
          <w:lang w:eastAsia="en-GB"/>
        </w:rPr>
        <w:t xml:space="preserve">according to the economic classification (paragraphs 6.8-6.11) and as functions of government (paragraphs 6.126-6.132). </w:t>
      </w:r>
      <w:r w:rsidR="00D151DB" w:rsidRPr="002A7A1D">
        <w:rPr>
          <w:rFonts w:eastAsia="Times New Roman" w:cs="Times New Roman"/>
          <w:color w:val="4A4A4A"/>
          <w:sz w:val="21"/>
          <w:szCs w:val="21"/>
          <w:lang w:eastAsia="en-GB"/>
        </w:rPr>
        <w:t xml:space="preserve">General government units have </w:t>
      </w:r>
      <w:r w:rsidR="009C56AE" w:rsidRPr="002A7A1D">
        <w:rPr>
          <w:rFonts w:eastAsia="Times New Roman" w:cs="Times New Roman"/>
          <w:color w:val="4A4A4A"/>
          <w:sz w:val="21"/>
          <w:szCs w:val="21"/>
          <w:lang w:eastAsia="en-GB"/>
        </w:rPr>
        <w:t>ten distinct types of expense according to functions of governme</w:t>
      </w:r>
      <w:r w:rsidR="00652A27">
        <w:rPr>
          <w:rFonts w:eastAsia="Times New Roman" w:cs="Times New Roman"/>
          <w:color w:val="4A4A4A"/>
          <w:sz w:val="21"/>
          <w:szCs w:val="21"/>
          <w:lang w:eastAsia="en-GB"/>
        </w:rPr>
        <w:t>n</w:t>
      </w:r>
      <w:r w:rsidR="009C56AE" w:rsidRPr="002A7A1D">
        <w:rPr>
          <w:rFonts w:eastAsia="Times New Roman" w:cs="Times New Roman"/>
          <w:color w:val="4A4A4A"/>
          <w:sz w:val="21"/>
          <w:szCs w:val="21"/>
          <w:lang w:eastAsia="en-GB"/>
        </w:rPr>
        <w:t>t</w:t>
      </w:r>
      <w:r w:rsidR="00D151DB" w:rsidRPr="002A7A1D">
        <w:rPr>
          <w:rFonts w:eastAsia="Times New Roman" w:cs="Times New Roman"/>
          <w:color w:val="4A4A4A"/>
          <w:sz w:val="21"/>
          <w:szCs w:val="21"/>
          <w:lang w:eastAsia="en-GB"/>
        </w:rPr>
        <w:t xml:space="preserve">. </w:t>
      </w:r>
      <w:r w:rsidR="00B268B5" w:rsidRPr="002A7A1D">
        <w:rPr>
          <w:rFonts w:eastAsia="Times New Roman" w:cs="Times New Roman"/>
          <w:color w:val="4A4A4A"/>
          <w:sz w:val="21"/>
          <w:szCs w:val="21"/>
          <w:lang w:eastAsia="en-GB"/>
        </w:rPr>
        <w:t xml:space="preserve">Among them there are expense on health (code 707), on education (code 709) and on social protection (code 710). </w:t>
      </w:r>
    </w:p>
    <w:p w14:paraId="52294CA4" w14:textId="77777777" w:rsidR="006D1551" w:rsidRPr="00BE3399"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p>
    <w:p w14:paraId="156E200C" w14:textId="77777777" w:rsidR="006D1551" w:rsidRPr="00BE3399" w:rsidRDefault="006D1551" w:rsidP="006D1551">
      <w:pPr>
        <w:shd w:val="clear" w:color="auto" w:fill="FFFFFF"/>
        <w:spacing w:after="0"/>
        <w:rPr>
          <w:rFonts w:cs="Times New Roman"/>
          <w:color w:val="4A4A4A"/>
          <w:sz w:val="21"/>
          <w:szCs w:val="21"/>
        </w:rPr>
      </w:pPr>
      <w:r w:rsidRPr="00BE3399">
        <w:rPr>
          <w:rStyle w:val="Strong"/>
          <w:rFonts w:cs="Times New Roman"/>
          <w:color w:val="4A4A4A"/>
          <w:sz w:val="21"/>
          <w:szCs w:val="21"/>
        </w:rPr>
        <w:t>Concepts:</w:t>
      </w:r>
    </w:p>
    <w:p w14:paraId="16294123" w14:textId="0AFD69CC" w:rsidR="003D159F" w:rsidRDefault="003D159F" w:rsidP="007913ED">
      <w:pPr>
        <w:pStyle w:val="form-control-static"/>
        <w:shd w:val="clear" w:color="auto" w:fill="FFFFFF"/>
        <w:spacing w:before="120" w:beforeAutospacing="0" w:after="0" w:afterAutospacing="0"/>
        <w:rPr>
          <w:rFonts w:asciiTheme="minorHAnsi" w:hAnsiTheme="minorHAnsi"/>
          <w:color w:val="4A4A4A"/>
          <w:sz w:val="21"/>
          <w:szCs w:val="21"/>
        </w:rPr>
      </w:pPr>
      <w:r w:rsidRPr="003D159F">
        <w:rPr>
          <w:rFonts w:asciiTheme="minorHAnsi" w:hAnsiTheme="minorHAnsi"/>
          <w:color w:val="4A4A4A"/>
          <w:sz w:val="21"/>
          <w:szCs w:val="21"/>
        </w:rPr>
        <w:t xml:space="preserve">The key concepts and terms associated with the indicator are outlined in </w:t>
      </w:r>
      <w:r w:rsidR="00553258" w:rsidRPr="00553258">
        <w:rPr>
          <w:rFonts w:asciiTheme="minorHAnsi" w:hAnsiTheme="minorHAnsi" w:cstheme="minorHAnsi"/>
          <w:i/>
          <w:iCs/>
          <w:color w:val="4A4A4A"/>
          <w:sz w:val="21"/>
          <w:szCs w:val="21"/>
        </w:rPr>
        <w:t>Government Finance Statistics Manual</w:t>
      </w:r>
      <w:r w:rsidR="00553258" w:rsidRPr="00AB30EB">
        <w:rPr>
          <w:i/>
          <w:iCs/>
          <w:color w:val="4A4A4A"/>
          <w:sz w:val="21"/>
          <w:szCs w:val="21"/>
        </w:rPr>
        <w:t xml:space="preserve"> </w:t>
      </w:r>
      <w:r w:rsidR="00553258">
        <w:rPr>
          <w:i/>
          <w:iCs/>
          <w:color w:val="4A4A4A"/>
          <w:sz w:val="21"/>
          <w:szCs w:val="21"/>
        </w:rPr>
        <w:t>(</w:t>
      </w:r>
      <w:r w:rsidRPr="003D159F">
        <w:rPr>
          <w:rFonts w:asciiTheme="minorHAnsi" w:hAnsiTheme="minorHAnsi"/>
          <w:i/>
          <w:iCs/>
          <w:color w:val="4A4A4A"/>
          <w:sz w:val="21"/>
          <w:szCs w:val="21"/>
        </w:rPr>
        <w:t>GFSM</w:t>
      </w:r>
      <w:r w:rsidR="00553258">
        <w:rPr>
          <w:rFonts w:asciiTheme="minorHAnsi" w:hAnsiTheme="minorHAnsi"/>
          <w:i/>
          <w:iCs/>
          <w:color w:val="4A4A4A"/>
          <w:sz w:val="21"/>
          <w:szCs w:val="21"/>
        </w:rPr>
        <w:t>)</w:t>
      </w:r>
      <w:r w:rsidRPr="003D159F">
        <w:rPr>
          <w:rFonts w:asciiTheme="minorHAnsi" w:hAnsiTheme="minorHAnsi"/>
          <w:i/>
          <w:iCs/>
          <w:color w:val="4A4A4A"/>
          <w:sz w:val="21"/>
          <w:szCs w:val="21"/>
        </w:rPr>
        <w:t xml:space="preserve"> 2014</w:t>
      </w:r>
      <w:r w:rsidRPr="003D159F">
        <w:rPr>
          <w:rFonts w:asciiTheme="minorHAnsi" w:hAnsiTheme="minorHAnsi"/>
          <w:color w:val="4A4A4A"/>
          <w:sz w:val="21"/>
          <w:szCs w:val="21"/>
        </w:rPr>
        <w:t xml:space="preserve">, as are the associated classifications. </w:t>
      </w:r>
      <w:r>
        <w:rPr>
          <w:rFonts w:asciiTheme="minorHAnsi" w:hAnsiTheme="minorHAnsi"/>
          <w:color w:val="4A4A4A"/>
          <w:sz w:val="21"/>
          <w:szCs w:val="21"/>
        </w:rPr>
        <w:t>As stated in paragraph 6.126, th</w:t>
      </w:r>
      <w:r w:rsidRPr="003D159F">
        <w:rPr>
          <w:rFonts w:asciiTheme="minorHAnsi" w:hAnsiTheme="minorHAnsi"/>
          <w:color w:val="4A4A4A"/>
          <w:sz w:val="21"/>
          <w:szCs w:val="21"/>
        </w:rPr>
        <w:t>e Classification of Functions of Government</w:t>
      </w:r>
      <w:r>
        <w:rPr>
          <w:rFonts w:asciiTheme="minorHAnsi" w:hAnsiTheme="minorHAnsi"/>
          <w:color w:val="4A4A4A"/>
          <w:sz w:val="21"/>
          <w:szCs w:val="21"/>
        </w:rPr>
        <w:t xml:space="preserve"> </w:t>
      </w:r>
      <w:r w:rsidRPr="003D159F">
        <w:rPr>
          <w:rFonts w:asciiTheme="minorHAnsi" w:hAnsiTheme="minorHAnsi"/>
          <w:color w:val="4A4A4A"/>
          <w:sz w:val="21"/>
          <w:szCs w:val="21"/>
        </w:rPr>
        <w:t>(COFOG) is a detailed classification of the</w:t>
      </w:r>
      <w:r>
        <w:rPr>
          <w:rFonts w:asciiTheme="minorHAnsi" w:hAnsiTheme="minorHAnsi"/>
          <w:color w:val="4A4A4A"/>
          <w:sz w:val="21"/>
          <w:szCs w:val="21"/>
        </w:rPr>
        <w:t xml:space="preserve"> </w:t>
      </w:r>
      <w:r w:rsidRPr="003D159F">
        <w:rPr>
          <w:rFonts w:asciiTheme="minorHAnsi" w:hAnsiTheme="minorHAnsi"/>
          <w:color w:val="4A4A4A"/>
          <w:sz w:val="21"/>
          <w:szCs w:val="21"/>
        </w:rPr>
        <w:t>functions, or socioeconomic objectives, that general</w:t>
      </w:r>
      <w:r>
        <w:rPr>
          <w:rFonts w:asciiTheme="minorHAnsi" w:hAnsiTheme="minorHAnsi"/>
          <w:color w:val="4A4A4A"/>
          <w:sz w:val="21"/>
          <w:szCs w:val="21"/>
        </w:rPr>
        <w:t xml:space="preserve"> </w:t>
      </w:r>
      <w:r w:rsidRPr="003D159F">
        <w:rPr>
          <w:rFonts w:asciiTheme="minorHAnsi" w:hAnsiTheme="minorHAnsi"/>
          <w:color w:val="4A4A4A"/>
          <w:sz w:val="21"/>
          <w:szCs w:val="21"/>
        </w:rPr>
        <w:t>government units aim to achieve through various</w:t>
      </w:r>
      <w:r>
        <w:rPr>
          <w:rFonts w:asciiTheme="minorHAnsi" w:hAnsiTheme="minorHAnsi"/>
          <w:color w:val="4A4A4A"/>
          <w:sz w:val="21"/>
          <w:szCs w:val="21"/>
        </w:rPr>
        <w:t xml:space="preserve"> </w:t>
      </w:r>
      <w:r w:rsidRPr="003D159F">
        <w:rPr>
          <w:rFonts w:asciiTheme="minorHAnsi" w:hAnsiTheme="minorHAnsi"/>
          <w:color w:val="4A4A4A"/>
          <w:sz w:val="21"/>
          <w:szCs w:val="21"/>
        </w:rPr>
        <w:t>kinds of expenditure.</w:t>
      </w:r>
      <w:r w:rsidR="00423146">
        <w:rPr>
          <w:rFonts w:asciiTheme="minorHAnsi" w:hAnsiTheme="minorHAnsi"/>
          <w:color w:val="4A4A4A"/>
          <w:sz w:val="21"/>
          <w:szCs w:val="21"/>
        </w:rPr>
        <w:t xml:space="preserve"> </w:t>
      </w:r>
      <w:r w:rsidR="00423146" w:rsidRPr="00423146">
        <w:rPr>
          <w:rFonts w:asciiTheme="minorHAnsi" w:hAnsiTheme="minorHAnsi"/>
          <w:color w:val="4A4A4A"/>
          <w:sz w:val="21"/>
          <w:szCs w:val="21"/>
        </w:rPr>
        <w:t>While the COFOG as used in</w:t>
      </w:r>
      <w:r w:rsidR="00423146">
        <w:rPr>
          <w:rFonts w:asciiTheme="minorHAnsi" w:hAnsiTheme="minorHAnsi"/>
          <w:color w:val="4A4A4A"/>
          <w:sz w:val="21"/>
          <w:szCs w:val="21"/>
        </w:rPr>
        <w:t xml:space="preserve"> the </w:t>
      </w:r>
      <w:r w:rsidR="00423146" w:rsidRPr="00423146">
        <w:rPr>
          <w:rFonts w:asciiTheme="minorHAnsi" w:hAnsiTheme="minorHAnsi"/>
          <w:i/>
          <w:iCs/>
          <w:color w:val="4A4A4A"/>
          <w:sz w:val="21"/>
          <w:szCs w:val="21"/>
        </w:rPr>
        <w:t>GFSM 2014</w:t>
      </w:r>
      <w:r w:rsidR="00423146">
        <w:rPr>
          <w:rFonts w:asciiTheme="minorHAnsi" w:hAnsiTheme="minorHAnsi"/>
          <w:color w:val="4A4A4A"/>
          <w:sz w:val="21"/>
          <w:szCs w:val="21"/>
        </w:rPr>
        <w:t xml:space="preserve"> </w:t>
      </w:r>
      <w:r w:rsidR="00423146" w:rsidRPr="00423146">
        <w:rPr>
          <w:rFonts w:asciiTheme="minorHAnsi" w:hAnsiTheme="minorHAnsi"/>
          <w:color w:val="4A4A4A"/>
          <w:sz w:val="21"/>
          <w:szCs w:val="21"/>
        </w:rPr>
        <w:t xml:space="preserve">fully agrees with the </w:t>
      </w:r>
      <w:proofErr w:type="spellStart"/>
      <w:r w:rsidR="00074925" w:rsidRPr="00074925">
        <w:rPr>
          <w:rFonts w:asciiTheme="minorHAnsi" w:hAnsiTheme="minorHAnsi"/>
          <w:color w:val="4A4A4A"/>
          <w:sz w:val="21"/>
          <w:szCs w:val="21"/>
        </w:rPr>
        <w:t>The</w:t>
      </w:r>
      <w:proofErr w:type="spellEnd"/>
      <w:r w:rsidR="00074925" w:rsidRPr="00074925">
        <w:rPr>
          <w:rFonts w:asciiTheme="minorHAnsi" w:hAnsiTheme="minorHAnsi"/>
          <w:color w:val="4A4A4A"/>
          <w:sz w:val="21"/>
          <w:szCs w:val="21"/>
        </w:rPr>
        <w:t xml:space="preserve"> Organisation for Economic Co-operation and Development</w:t>
      </w:r>
      <w:r w:rsidR="00074925">
        <w:rPr>
          <w:rFonts w:asciiTheme="minorHAnsi" w:hAnsiTheme="minorHAnsi"/>
          <w:color w:val="4A4A4A"/>
          <w:sz w:val="21"/>
          <w:szCs w:val="21"/>
        </w:rPr>
        <w:t xml:space="preserve"> (</w:t>
      </w:r>
      <w:r w:rsidR="00423146" w:rsidRPr="00423146">
        <w:rPr>
          <w:rFonts w:asciiTheme="minorHAnsi" w:hAnsiTheme="minorHAnsi"/>
          <w:color w:val="4A4A4A"/>
          <w:sz w:val="21"/>
          <w:szCs w:val="21"/>
        </w:rPr>
        <w:t>OECD</w:t>
      </w:r>
      <w:r w:rsidR="00074925">
        <w:rPr>
          <w:rFonts w:asciiTheme="minorHAnsi" w:hAnsiTheme="minorHAnsi"/>
          <w:color w:val="4A4A4A"/>
          <w:sz w:val="21"/>
          <w:szCs w:val="21"/>
        </w:rPr>
        <w:t>)</w:t>
      </w:r>
      <w:r w:rsidR="00423146" w:rsidRPr="00423146">
        <w:rPr>
          <w:rFonts w:asciiTheme="minorHAnsi" w:hAnsiTheme="minorHAnsi"/>
          <w:color w:val="4A4A4A"/>
          <w:sz w:val="21"/>
          <w:szCs w:val="21"/>
        </w:rPr>
        <w:t>/UN classification, the</w:t>
      </w:r>
      <w:r w:rsidR="00423146">
        <w:rPr>
          <w:rFonts w:asciiTheme="minorHAnsi" w:hAnsiTheme="minorHAnsi"/>
          <w:color w:val="4A4A4A"/>
          <w:sz w:val="21"/>
          <w:szCs w:val="21"/>
        </w:rPr>
        <w:t xml:space="preserve"> </w:t>
      </w:r>
      <w:r w:rsidR="00423146" w:rsidRPr="00423146">
        <w:rPr>
          <w:rFonts w:asciiTheme="minorHAnsi" w:hAnsiTheme="minorHAnsi"/>
          <w:color w:val="4A4A4A"/>
          <w:sz w:val="21"/>
          <w:szCs w:val="21"/>
        </w:rPr>
        <w:t xml:space="preserve">concept is applied slightly differently in </w:t>
      </w:r>
      <w:r w:rsidR="00423146">
        <w:rPr>
          <w:rFonts w:asciiTheme="minorHAnsi" w:hAnsiTheme="minorHAnsi"/>
          <w:color w:val="4A4A4A"/>
          <w:sz w:val="21"/>
          <w:szCs w:val="21"/>
        </w:rPr>
        <w:t>government finance statistics (</w:t>
      </w:r>
      <w:r w:rsidR="00423146" w:rsidRPr="00423146">
        <w:rPr>
          <w:rFonts w:asciiTheme="minorHAnsi" w:hAnsiTheme="minorHAnsi"/>
          <w:color w:val="4A4A4A"/>
          <w:sz w:val="21"/>
          <w:szCs w:val="21"/>
        </w:rPr>
        <w:t>GFS</w:t>
      </w:r>
      <w:r w:rsidR="00423146">
        <w:rPr>
          <w:rFonts w:asciiTheme="minorHAnsi" w:hAnsiTheme="minorHAnsi"/>
          <w:color w:val="4A4A4A"/>
          <w:sz w:val="21"/>
          <w:szCs w:val="21"/>
        </w:rPr>
        <w:t>)</w:t>
      </w:r>
      <w:r w:rsidR="00423146" w:rsidRPr="00423146">
        <w:rPr>
          <w:rFonts w:asciiTheme="minorHAnsi" w:hAnsiTheme="minorHAnsi"/>
          <w:color w:val="4A4A4A"/>
          <w:sz w:val="21"/>
          <w:szCs w:val="21"/>
        </w:rPr>
        <w:t>. Final</w:t>
      </w:r>
      <w:r w:rsidR="00423146">
        <w:rPr>
          <w:rFonts w:asciiTheme="minorHAnsi" w:hAnsiTheme="minorHAnsi"/>
          <w:color w:val="4A4A4A"/>
          <w:sz w:val="21"/>
          <w:szCs w:val="21"/>
        </w:rPr>
        <w:t xml:space="preserve"> </w:t>
      </w:r>
      <w:r w:rsidR="00423146" w:rsidRPr="00423146">
        <w:rPr>
          <w:rFonts w:asciiTheme="minorHAnsi" w:hAnsiTheme="minorHAnsi"/>
          <w:color w:val="4A4A4A"/>
          <w:sz w:val="21"/>
          <w:szCs w:val="21"/>
        </w:rPr>
        <w:t>outlays are referred to in a general sense by the OECD/UN, and therefore include grants, loans, and/or subsidies.</w:t>
      </w:r>
      <w:r w:rsidR="00423146">
        <w:rPr>
          <w:rFonts w:asciiTheme="minorHAnsi" w:hAnsiTheme="minorHAnsi"/>
          <w:color w:val="4A4A4A"/>
          <w:sz w:val="21"/>
          <w:szCs w:val="21"/>
        </w:rPr>
        <w:t xml:space="preserve"> </w:t>
      </w:r>
      <w:r w:rsidR="00423146" w:rsidRPr="00423146">
        <w:rPr>
          <w:rFonts w:asciiTheme="minorHAnsi" w:hAnsiTheme="minorHAnsi"/>
          <w:color w:val="4A4A4A"/>
          <w:sz w:val="21"/>
          <w:szCs w:val="21"/>
        </w:rPr>
        <w:t>In GFS, COFOG is applied only to expenditure,</w:t>
      </w:r>
      <w:r w:rsidR="00423146">
        <w:rPr>
          <w:rFonts w:asciiTheme="minorHAnsi" w:hAnsiTheme="minorHAnsi"/>
          <w:color w:val="4A4A4A"/>
          <w:sz w:val="21"/>
          <w:szCs w:val="21"/>
        </w:rPr>
        <w:t xml:space="preserve"> </w:t>
      </w:r>
      <w:r w:rsidR="00423146" w:rsidRPr="00423146">
        <w:rPr>
          <w:rFonts w:asciiTheme="minorHAnsi" w:hAnsiTheme="minorHAnsi"/>
          <w:color w:val="4A4A4A"/>
          <w:sz w:val="21"/>
          <w:szCs w:val="21"/>
        </w:rPr>
        <w:t>comprising expense and the net investment in nonfinancial assets. Transactions in financial assets and</w:t>
      </w:r>
      <w:r w:rsidR="00423146">
        <w:rPr>
          <w:rFonts w:asciiTheme="minorHAnsi" w:hAnsiTheme="minorHAnsi"/>
          <w:color w:val="4A4A4A"/>
          <w:sz w:val="21"/>
          <w:szCs w:val="21"/>
        </w:rPr>
        <w:t xml:space="preserve"> </w:t>
      </w:r>
      <w:r w:rsidR="00423146" w:rsidRPr="00423146">
        <w:rPr>
          <w:rFonts w:asciiTheme="minorHAnsi" w:hAnsiTheme="minorHAnsi"/>
          <w:color w:val="4A4A4A"/>
          <w:sz w:val="21"/>
          <w:szCs w:val="21"/>
        </w:rPr>
        <w:t>liabilities, such as loans, are excluded when compiling</w:t>
      </w:r>
      <w:r w:rsidR="00423146">
        <w:rPr>
          <w:rFonts w:asciiTheme="minorHAnsi" w:hAnsiTheme="minorHAnsi"/>
          <w:color w:val="4A4A4A"/>
          <w:sz w:val="21"/>
          <w:szCs w:val="21"/>
        </w:rPr>
        <w:t xml:space="preserve"> </w:t>
      </w:r>
      <w:r w:rsidR="00423146" w:rsidRPr="00423146">
        <w:rPr>
          <w:rFonts w:asciiTheme="minorHAnsi" w:hAnsiTheme="minorHAnsi"/>
          <w:color w:val="4A4A4A"/>
          <w:sz w:val="21"/>
          <w:szCs w:val="21"/>
        </w:rPr>
        <w:t>COFOG data for GFS reporting purposes.</w:t>
      </w:r>
    </w:p>
    <w:p w14:paraId="6E54D3D6" w14:textId="44B5730E" w:rsidR="00EC2915" w:rsidRDefault="00221F84" w:rsidP="007913ED">
      <w:pPr>
        <w:pStyle w:val="form-control-static"/>
        <w:shd w:val="clear" w:color="auto" w:fill="FFFFFF"/>
        <w:spacing w:before="120" w:beforeAutospacing="0" w:after="0" w:afterAutospacing="0"/>
        <w:rPr>
          <w:rFonts w:asciiTheme="minorHAnsi" w:hAnsiTheme="minorHAnsi"/>
          <w:color w:val="4A4A4A"/>
          <w:sz w:val="21"/>
          <w:szCs w:val="21"/>
        </w:rPr>
      </w:pPr>
      <w:r w:rsidRPr="00221F84">
        <w:rPr>
          <w:rFonts w:asciiTheme="minorHAnsi" w:hAnsiTheme="minorHAnsi"/>
          <w:color w:val="4A4A4A"/>
          <w:sz w:val="21"/>
          <w:szCs w:val="21"/>
        </w:rPr>
        <w:t>Government expenditure on health includes expenditure on services provided to individual persons</w:t>
      </w:r>
      <w:r>
        <w:rPr>
          <w:rFonts w:asciiTheme="minorHAnsi" w:hAnsiTheme="minorHAnsi"/>
          <w:color w:val="4A4A4A"/>
          <w:sz w:val="21"/>
          <w:szCs w:val="21"/>
        </w:rPr>
        <w:t xml:space="preserve"> </w:t>
      </w:r>
      <w:r w:rsidRPr="00221F84">
        <w:rPr>
          <w:rFonts w:asciiTheme="minorHAnsi" w:hAnsiTheme="minorHAnsi"/>
          <w:color w:val="4A4A4A"/>
          <w:sz w:val="21"/>
          <w:szCs w:val="21"/>
        </w:rPr>
        <w:t>and services provided on a collective basis. Collective health services are concerned with</w:t>
      </w:r>
      <w:r>
        <w:rPr>
          <w:rFonts w:asciiTheme="minorHAnsi" w:hAnsiTheme="minorHAnsi"/>
          <w:color w:val="4A4A4A"/>
          <w:sz w:val="21"/>
          <w:szCs w:val="21"/>
        </w:rPr>
        <w:t xml:space="preserve"> </w:t>
      </w:r>
      <w:r w:rsidRPr="00221F84">
        <w:rPr>
          <w:rFonts w:asciiTheme="minorHAnsi" w:hAnsiTheme="minorHAnsi"/>
          <w:color w:val="4A4A4A"/>
          <w:sz w:val="21"/>
          <w:szCs w:val="21"/>
        </w:rPr>
        <w:t>matters such as formulation and administration</w:t>
      </w:r>
      <w:r>
        <w:rPr>
          <w:rFonts w:asciiTheme="minorHAnsi" w:hAnsiTheme="minorHAnsi"/>
          <w:color w:val="4A4A4A"/>
          <w:sz w:val="21"/>
          <w:szCs w:val="21"/>
        </w:rPr>
        <w:t xml:space="preserve"> </w:t>
      </w:r>
      <w:r w:rsidRPr="00221F84">
        <w:rPr>
          <w:rFonts w:asciiTheme="minorHAnsi" w:hAnsiTheme="minorHAnsi"/>
          <w:color w:val="4A4A4A"/>
          <w:sz w:val="21"/>
          <w:szCs w:val="21"/>
        </w:rPr>
        <w:t>of government policy; setting and enforcement of</w:t>
      </w:r>
      <w:r>
        <w:rPr>
          <w:rFonts w:asciiTheme="minorHAnsi" w:hAnsiTheme="minorHAnsi"/>
          <w:color w:val="4A4A4A"/>
          <w:sz w:val="21"/>
          <w:szCs w:val="21"/>
        </w:rPr>
        <w:t xml:space="preserve"> </w:t>
      </w:r>
      <w:r w:rsidRPr="00221F84">
        <w:rPr>
          <w:rFonts w:asciiTheme="minorHAnsi" w:hAnsiTheme="minorHAnsi"/>
          <w:color w:val="4A4A4A"/>
          <w:sz w:val="21"/>
          <w:szCs w:val="21"/>
        </w:rPr>
        <w:t>standards for medical and paramedical personnel</w:t>
      </w:r>
      <w:r>
        <w:rPr>
          <w:rFonts w:asciiTheme="minorHAnsi" w:hAnsiTheme="minorHAnsi"/>
          <w:color w:val="4A4A4A"/>
          <w:sz w:val="21"/>
          <w:szCs w:val="21"/>
        </w:rPr>
        <w:t xml:space="preserve"> </w:t>
      </w:r>
      <w:r w:rsidRPr="00221F84">
        <w:rPr>
          <w:rFonts w:asciiTheme="minorHAnsi" w:hAnsiTheme="minorHAnsi"/>
          <w:color w:val="4A4A4A"/>
          <w:sz w:val="21"/>
          <w:szCs w:val="21"/>
        </w:rPr>
        <w:t>and for hospitals, clinics, surgeries, etc.; regulation</w:t>
      </w:r>
      <w:r>
        <w:rPr>
          <w:rFonts w:asciiTheme="minorHAnsi" w:hAnsiTheme="minorHAnsi"/>
          <w:color w:val="4A4A4A"/>
          <w:sz w:val="21"/>
          <w:szCs w:val="21"/>
        </w:rPr>
        <w:t xml:space="preserve"> </w:t>
      </w:r>
      <w:r w:rsidRPr="00221F84">
        <w:rPr>
          <w:rFonts w:asciiTheme="minorHAnsi" w:hAnsiTheme="minorHAnsi"/>
          <w:color w:val="4A4A4A"/>
          <w:sz w:val="21"/>
          <w:szCs w:val="21"/>
        </w:rPr>
        <w:t>and licensing of providers of health services; and applied</w:t>
      </w:r>
      <w:r>
        <w:rPr>
          <w:rFonts w:asciiTheme="minorHAnsi" w:hAnsiTheme="minorHAnsi"/>
          <w:color w:val="4A4A4A"/>
          <w:sz w:val="21"/>
          <w:szCs w:val="21"/>
        </w:rPr>
        <w:t xml:space="preserve"> </w:t>
      </w:r>
      <w:r w:rsidRPr="00221F84">
        <w:rPr>
          <w:rFonts w:asciiTheme="minorHAnsi" w:hAnsiTheme="minorHAnsi"/>
          <w:color w:val="4A4A4A"/>
          <w:sz w:val="21"/>
          <w:szCs w:val="21"/>
        </w:rPr>
        <w:t>research and experimental development into</w:t>
      </w:r>
      <w:r>
        <w:rPr>
          <w:rFonts w:asciiTheme="minorHAnsi" w:hAnsiTheme="minorHAnsi"/>
          <w:color w:val="4A4A4A"/>
          <w:sz w:val="21"/>
          <w:szCs w:val="21"/>
        </w:rPr>
        <w:t xml:space="preserve"> </w:t>
      </w:r>
      <w:r w:rsidRPr="00221F84">
        <w:rPr>
          <w:rFonts w:asciiTheme="minorHAnsi" w:hAnsiTheme="minorHAnsi"/>
          <w:color w:val="4A4A4A"/>
          <w:sz w:val="21"/>
          <w:szCs w:val="21"/>
        </w:rPr>
        <w:t>medical and health-related matters. However, overhead</w:t>
      </w:r>
      <w:r>
        <w:rPr>
          <w:rFonts w:asciiTheme="minorHAnsi" w:hAnsiTheme="minorHAnsi"/>
          <w:color w:val="4A4A4A"/>
          <w:sz w:val="21"/>
          <w:szCs w:val="21"/>
        </w:rPr>
        <w:t xml:space="preserve"> </w:t>
      </w:r>
      <w:r w:rsidRPr="00221F84">
        <w:rPr>
          <w:rFonts w:asciiTheme="minorHAnsi" w:hAnsiTheme="minorHAnsi"/>
          <w:color w:val="4A4A4A"/>
          <w:sz w:val="21"/>
          <w:szCs w:val="21"/>
        </w:rPr>
        <w:t>expenditure connected with administration or</w:t>
      </w:r>
      <w:r>
        <w:rPr>
          <w:rFonts w:asciiTheme="minorHAnsi" w:hAnsiTheme="minorHAnsi"/>
          <w:color w:val="4A4A4A"/>
          <w:sz w:val="21"/>
          <w:szCs w:val="21"/>
        </w:rPr>
        <w:t xml:space="preserve"> </w:t>
      </w:r>
      <w:r w:rsidRPr="00221F84">
        <w:rPr>
          <w:rFonts w:asciiTheme="minorHAnsi" w:hAnsiTheme="minorHAnsi"/>
          <w:color w:val="4A4A4A"/>
          <w:sz w:val="21"/>
          <w:szCs w:val="21"/>
        </w:rPr>
        <w:t>functioning of a group of hospitals, clinics, surgeries,</w:t>
      </w:r>
      <w:r>
        <w:rPr>
          <w:rFonts w:asciiTheme="minorHAnsi" w:hAnsiTheme="minorHAnsi"/>
          <w:color w:val="4A4A4A"/>
          <w:sz w:val="21"/>
          <w:szCs w:val="21"/>
        </w:rPr>
        <w:t xml:space="preserve"> </w:t>
      </w:r>
      <w:r w:rsidRPr="00221F84">
        <w:rPr>
          <w:rFonts w:asciiTheme="minorHAnsi" w:hAnsiTheme="minorHAnsi"/>
          <w:color w:val="4A4A4A"/>
          <w:sz w:val="21"/>
          <w:szCs w:val="21"/>
        </w:rPr>
        <w:t xml:space="preserve">etc. </w:t>
      </w:r>
      <w:proofErr w:type="gramStart"/>
      <w:r w:rsidRPr="00221F84">
        <w:rPr>
          <w:rFonts w:asciiTheme="minorHAnsi" w:hAnsiTheme="minorHAnsi"/>
          <w:color w:val="4A4A4A"/>
          <w:sz w:val="21"/>
          <w:szCs w:val="21"/>
        </w:rPr>
        <w:t>is considered to be</w:t>
      </w:r>
      <w:proofErr w:type="gramEnd"/>
      <w:r w:rsidRPr="00221F84">
        <w:rPr>
          <w:rFonts w:asciiTheme="minorHAnsi" w:hAnsiTheme="minorHAnsi"/>
          <w:color w:val="4A4A4A"/>
          <w:sz w:val="21"/>
          <w:szCs w:val="21"/>
        </w:rPr>
        <w:t xml:space="preserve"> individual expenditure</w:t>
      </w:r>
      <w:r>
        <w:rPr>
          <w:rFonts w:asciiTheme="minorHAnsi" w:hAnsiTheme="minorHAnsi"/>
          <w:color w:val="4A4A4A"/>
          <w:sz w:val="21"/>
          <w:szCs w:val="21"/>
        </w:rPr>
        <w:t>.</w:t>
      </w:r>
    </w:p>
    <w:p w14:paraId="000BAA32" w14:textId="296BEC74" w:rsidR="00C70969" w:rsidRDefault="00C70969" w:rsidP="008E58CF">
      <w:pPr>
        <w:pStyle w:val="form-control-static"/>
        <w:shd w:val="clear" w:color="auto" w:fill="FFFFFF"/>
        <w:spacing w:before="120" w:after="0"/>
        <w:rPr>
          <w:rFonts w:asciiTheme="minorHAnsi" w:hAnsiTheme="minorHAnsi"/>
          <w:color w:val="4A4A4A"/>
          <w:sz w:val="21"/>
          <w:szCs w:val="21"/>
        </w:rPr>
      </w:pPr>
      <w:r w:rsidRPr="00C70969">
        <w:rPr>
          <w:rFonts w:asciiTheme="minorHAnsi" w:hAnsiTheme="minorHAnsi"/>
          <w:color w:val="4A4A4A"/>
          <w:sz w:val="21"/>
          <w:szCs w:val="21"/>
        </w:rPr>
        <w:t>Government expenditure on education</w:t>
      </w:r>
      <w:r w:rsidR="00E41691">
        <w:rPr>
          <w:rFonts w:asciiTheme="minorHAnsi" w:hAnsiTheme="minorHAnsi"/>
          <w:color w:val="4A4A4A"/>
          <w:sz w:val="21"/>
          <w:szCs w:val="21"/>
        </w:rPr>
        <w:t xml:space="preserve"> </w:t>
      </w:r>
      <w:r w:rsidRPr="00C70969">
        <w:rPr>
          <w:rFonts w:asciiTheme="minorHAnsi" w:hAnsiTheme="minorHAnsi"/>
          <w:color w:val="4A4A4A"/>
          <w:sz w:val="21"/>
          <w:szCs w:val="21"/>
        </w:rPr>
        <w:t>includes expenditure</w:t>
      </w:r>
      <w:r>
        <w:rPr>
          <w:rFonts w:asciiTheme="minorHAnsi" w:hAnsiTheme="minorHAnsi"/>
          <w:color w:val="4A4A4A"/>
          <w:sz w:val="21"/>
          <w:szCs w:val="21"/>
        </w:rPr>
        <w:t xml:space="preserve"> </w:t>
      </w:r>
      <w:r w:rsidRPr="00C70969">
        <w:rPr>
          <w:rFonts w:asciiTheme="minorHAnsi" w:hAnsiTheme="minorHAnsi"/>
          <w:color w:val="4A4A4A"/>
          <w:sz w:val="21"/>
          <w:szCs w:val="21"/>
        </w:rPr>
        <w:t>on services provided to individual pupils</w:t>
      </w:r>
      <w:r>
        <w:rPr>
          <w:rFonts w:asciiTheme="minorHAnsi" w:hAnsiTheme="minorHAnsi"/>
          <w:color w:val="4A4A4A"/>
          <w:sz w:val="21"/>
          <w:szCs w:val="21"/>
        </w:rPr>
        <w:t xml:space="preserve"> </w:t>
      </w:r>
      <w:r w:rsidRPr="00C70969">
        <w:rPr>
          <w:rFonts w:asciiTheme="minorHAnsi" w:hAnsiTheme="minorHAnsi"/>
          <w:color w:val="4A4A4A"/>
          <w:sz w:val="21"/>
          <w:szCs w:val="21"/>
        </w:rPr>
        <w:t>and students and expenditure on services provided on</w:t>
      </w:r>
      <w:r>
        <w:rPr>
          <w:rFonts w:asciiTheme="minorHAnsi" w:hAnsiTheme="minorHAnsi"/>
          <w:color w:val="4A4A4A"/>
          <w:sz w:val="21"/>
          <w:szCs w:val="21"/>
        </w:rPr>
        <w:t xml:space="preserve"> </w:t>
      </w:r>
      <w:r w:rsidRPr="00C70969">
        <w:rPr>
          <w:rFonts w:asciiTheme="minorHAnsi" w:hAnsiTheme="minorHAnsi"/>
          <w:color w:val="4A4A4A"/>
          <w:sz w:val="21"/>
          <w:szCs w:val="21"/>
        </w:rPr>
        <w:t>a collective basis.</w:t>
      </w:r>
      <w:r>
        <w:rPr>
          <w:rFonts w:asciiTheme="minorHAnsi" w:hAnsiTheme="minorHAnsi"/>
          <w:color w:val="4A4A4A"/>
          <w:sz w:val="21"/>
          <w:szCs w:val="21"/>
        </w:rPr>
        <w:t xml:space="preserve"> </w:t>
      </w:r>
      <w:r w:rsidRPr="00C70969">
        <w:rPr>
          <w:rFonts w:asciiTheme="minorHAnsi" w:hAnsiTheme="minorHAnsi"/>
          <w:color w:val="4A4A4A"/>
          <w:sz w:val="21"/>
          <w:szCs w:val="21"/>
        </w:rPr>
        <w:t>Collective educational services are concerned with</w:t>
      </w:r>
      <w:r w:rsidR="003E5C11">
        <w:rPr>
          <w:rFonts w:asciiTheme="minorHAnsi" w:hAnsiTheme="minorHAnsi"/>
          <w:color w:val="4A4A4A"/>
          <w:sz w:val="21"/>
          <w:szCs w:val="21"/>
        </w:rPr>
        <w:t xml:space="preserve"> </w:t>
      </w:r>
      <w:r w:rsidRPr="00C70969">
        <w:rPr>
          <w:rFonts w:asciiTheme="minorHAnsi" w:hAnsiTheme="minorHAnsi"/>
          <w:color w:val="4A4A4A"/>
          <w:sz w:val="21"/>
          <w:szCs w:val="21"/>
        </w:rPr>
        <w:t>matters such as formulation and administration of</w:t>
      </w:r>
      <w:r w:rsidR="003E5C11">
        <w:rPr>
          <w:rFonts w:asciiTheme="minorHAnsi" w:hAnsiTheme="minorHAnsi"/>
          <w:color w:val="4A4A4A"/>
          <w:sz w:val="21"/>
          <w:szCs w:val="21"/>
        </w:rPr>
        <w:t xml:space="preserve"> </w:t>
      </w:r>
      <w:r w:rsidRPr="00C70969">
        <w:rPr>
          <w:rFonts w:asciiTheme="minorHAnsi" w:hAnsiTheme="minorHAnsi"/>
          <w:color w:val="4A4A4A"/>
          <w:sz w:val="21"/>
          <w:szCs w:val="21"/>
        </w:rPr>
        <w:t>government policy; setting and enforcement of standards;</w:t>
      </w:r>
      <w:r w:rsidR="003E5C11">
        <w:rPr>
          <w:rFonts w:asciiTheme="minorHAnsi" w:hAnsiTheme="minorHAnsi"/>
          <w:color w:val="4A4A4A"/>
          <w:sz w:val="21"/>
          <w:szCs w:val="21"/>
        </w:rPr>
        <w:t xml:space="preserve"> </w:t>
      </w:r>
      <w:r w:rsidRPr="00C70969">
        <w:rPr>
          <w:rFonts w:asciiTheme="minorHAnsi" w:hAnsiTheme="minorHAnsi"/>
          <w:color w:val="4A4A4A"/>
          <w:sz w:val="21"/>
          <w:szCs w:val="21"/>
        </w:rPr>
        <w:t>regulation, licensing, and supervision of educational</w:t>
      </w:r>
      <w:r w:rsidR="003E5C11">
        <w:rPr>
          <w:rFonts w:asciiTheme="minorHAnsi" w:hAnsiTheme="minorHAnsi"/>
          <w:color w:val="4A4A4A"/>
          <w:sz w:val="21"/>
          <w:szCs w:val="21"/>
        </w:rPr>
        <w:t xml:space="preserve"> </w:t>
      </w:r>
      <w:r w:rsidRPr="00C70969">
        <w:rPr>
          <w:rFonts w:asciiTheme="minorHAnsi" w:hAnsiTheme="minorHAnsi"/>
          <w:color w:val="4A4A4A"/>
          <w:sz w:val="21"/>
          <w:szCs w:val="21"/>
        </w:rPr>
        <w:t>establishments; and applied research and</w:t>
      </w:r>
      <w:r w:rsidR="003E5C11">
        <w:rPr>
          <w:rFonts w:asciiTheme="minorHAnsi" w:hAnsiTheme="minorHAnsi"/>
          <w:color w:val="4A4A4A"/>
          <w:sz w:val="21"/>
          <w:szCs w:val="21"/>
        </w:rPr>
        <w:t xml:space="preserve"> </w:t>
      </w:r>
      <w:r w:rsidRPr="00C70969">
        <w:rPr>
          <w:rFonts w:asciiTheme="minorHAnsi" w:hAnsiTheme="minorHAnsi"/>
          <w:color w:val="4A4A4A"/>
          <w:sz w:val="21"/>
          <w:szCs w:val="21"/>
        </w:rPr>
        <w:t>experimental development into education affairs and</w:t>
      </w:r>
      <w:r w:rsidR="003E5C11">
        <w:rPr>
          <w:rFonts w:asciiTheme="minorHAnsi" w:hAnsiTheme="minorHAnsi"/>
          <w:color w:val="4A4A4A"/>
          <w:sz w:val="21"/>
          <w:szCs w:val="21"/>
        </w:rPr>
        <w:t xml:space="preserve"> </w:t>
      </w:r>
      <w:r w:rsidRPr="00C70969">
        <w:rPr>
          <w:rFonts w:asciiTheme="minorHAnsi" w:hAnsiTheme="minorHAnsi"/>
          <w:color w:val="4A4A4A"/>
          <w:sz w:val="21"/>
          <w:szCs w:val="21"/>
        </w:rPr>
        <w:t>services. However, overhead expenditure connected</w:t>
      </w:r>
      <w:r w:rsidR="003E5C11">
        <w:rPr>
          <w:rFonts w:asciiTheme="minorHAnsi" w:hAnsiTheme="minorHAnsi"/>
          <w:color w:val="4A4A4A"/>
          <w:sz w:val="21"/>
          <w:szCs w:val="21"/>
        </w:rPr>
        <w:t xml:space="preserve"> </w:t>
      </w:r>
      <w:r w:rsidRPr="00C70969">
        <w:rPr>
          <w:rFonts w:asciiTheme="minorHAnsi" w:hAnsiTheme="minorHAnsi"/>
          <w:color w:val="4A4A4A"/>
          <w:sz w:val="21"/>
          <w:szCs w:val="21"/>
        </w:rPr>
        <w:t>with administration or functioning of a group of</w:t>
      </w:r>
      <w:r w:rsidR="003E5C11">
        <w:rPr>
          <w:rFonts w:asciiTheme="minorHAnsi" w:hAnsiTheme="minorHAnsi"/>
          <w:color w:val="4A4A4A"/>
          <w:sz w:val="21"/>
          <w:szCs w:val="21"/>
        </w:rPr>
        <w:t xml:space="preserve"> </w:t>
      </w:r>
      <w:r w:rsidRPr="00C70969">
        <w:rPr>
          <w:rFonts w:asciiTheme="minorHAnsi" w:hAnsiTheme="minorHAnsi"/>
          <w:color w:val="4A4A4A"/>
          <w:sz w:val="21"/>
          <w:szCs w:val="21"/>
        </w:rPr>
        <w:t xml:space="preserve">schools, colleges, etc. </w:t>
      </w:r>
      <w:proofErr w:type="gramStart"/>
      <w:r w:rsidRPr="00C70969">
        <w:rPr>
          <w:rFonts w:asciiTheme="minorHAnsi" w:hAnsiTheme="minorHAnsi"/>
          <w:color w:val="4A4A4A"/>
          <w:sz w:val="21"/>
          <w:szCs w:val="21"/>
        </w:rPr>
        <w:t>is considered to be</w:t>
      </w:r>
      <w:proofErr w:type="gramEnd"/>
      <w:r w:rsidRPr="00C70969">
        <w:rPr>
          <w:rFonts w:asciiTheme="minorHAnsi" w:hAnsiTheme="minorHAnsi"/>
          <w:color w:val="4A4A4A"/>
          <w:sz w:val="21"/>
          <w:szCs w:val="21"/>
        </w:rPr>
        <w:t xml:space="preserve"> individual</w:t>
      </w:r>
      <w:r w:rsidR="003E5C11">
        <w:rPr>
          <w:rFonts w:asciiTheme="minorHAnsi" w:hAnsiTheme="minorHAnsi"/>
          <w:color w:val="4A4A4A"/>
          <w:sz w:val="21"/>
          <w:szCs w:val="21"/>
        </w:rPr>
        <w:t xml:space="preserve"> </w:t>
      </w:r>
      <w:r w:rsidRPr="00C70969">
        <w:rPr>
          <w:rFonts w:asciiTheme="minorHAnsi" w:hAnsiTheme="minorHAnsi"/>
          <w:color w:val="4A4A4A"/>
          <w:sz w:val="21"/>
          <w:szCs w:val="21"/>
        </w:rPr>
        <w:t>expenditure</w:t>
      </w:r>
      <w:r w:rsidR="003E5C11">
        <w:rPr>
          <w:rFonts w:asciiTheme="minorHAnsi" w:hAnsiTheme="minorHAnsi"/>
          <w:color w:val="4A4A4A"/>
          <w:sz w:val="21"/>
          <w:szCs w:val="21"/>
        </w:rPr>
        <w:t>.</w:t>
      </w:r>
    </w:p>
    <w:p w14:paraId="27DF0D44" w14:textId="75936228" w:rsidR="00F44748" w:rsidRPr="006D1551" w:rsidRDefault="0065174D" w:rsidP="008E58CF">
      <w:pPr>
        <w:pStyle w:val="form-control-static"/>
        <w:shd w:val="clear" w:color="auto" w:fill="FFFFFF"/>
        <w:spacing w:after="0"/>
        <w:rPr>
          <w:rFonts w:asciiTheme="minorHAnsi" w:hAnsiTheme="minorHAnsi"/>
          <w:color w:val="4A4A4A"/>
          <w:sz w:val="21"/>
          <w:szCs w:val="21"/>
        </w:rPr>
      </w:pPr>
      <w:r w:rsidRPr="0065174D">
        <w:rPr>
          <w:rFonts w:asciiTheme="minorHAnsi" w:hAnsiTheme="minorHAnsi"/>
          <w:color w:val="4A4A4A"/>
          <w:sz w:val="21"/>
          <w:szCs w:val="21"/>
        </w:rPr>
        <w:t>Government expenditure on social protection includes</w:t>
      </w:r>
      <w:r>
        <w:rPr>
          <w:rFonts w:asciiTheme="minorHAnsi" w:hAnsiTheme="minorHAnsi"/>
          <w:color w:val="4A4A4A"/>
          <w:sz w:val="21"/>
          <w:szCs w:val="21"/>
        </w:rPr>
        <w:t xml:space="preserve"> </w:t>
      </w:r>
      <w:r w:rsidRPr="0065174D">
        <w:rPr>
          <w:rFonts w:asciiTheme="minorHAnsi" w:hAnsiTheme="minorHAnsi"/>
          <w:color w:val="4A4A4A"/>
          <w:sz w:val="21"/>
          <w:szCs w:val="21"/>
        </w:rPr>
        <w:t>expenditure on services and transfers provided</w:t>
      </w:r>
      <w:r>
        <w:rPr>
          <w:rFonts w:asciiTheme="minorHAnsi" w:hAnsiTheme="minorHAnsi"/>
          <w:color w:val="4A4A4A"/>
          <w:sz w:val="21"/>
          <w:szCs w:val="21"/>
        </w:rPr>
        <w:t xml:space="preserve"> </w:t>
      </w:r>
      <w:r w:rsidRPr="0065174D">
        <w:rPr>
          <w:rFonts w:asciiTheme="minorHAnsi" w:hAnsiTheme="minorHAnsi"/>
          <w:color w:val="4A4A4A"/>
          <w:sz w:val="21"/>
          <w:szCs w:val="21"/>
        </w:rPr>
        <w:t>to individual persons and households and expenditure</w:t>
      </w:r>
      <w:r>
        <w:rPr>
          <w:rFonts w:asciiTheme="minorHAnsi" w:hAnsiTheme="minorHAnsi"/>
          <w:color w:val="4A4A4A"/>
          <w:sz w:val="21"/>
          <w:szCs w:val="21"/>
        </w:rPr>
        <w:t xml:space="preserve"> </w:t>
      </w:r>
      <w:r w:rsidRPr="0065174D">
        <w:rPr>
          <w:rFonts w:asciiTheme="minorHAnsi" w:hAnsiTheme="minorHAnsi"/>
          <w:color w:val="4A4A4A"/>
          <w:sz w:val="21"/>
          <w:szCs w:val="21"/>
        </w:rPr>
        <w:t>on services provided on a collective basis.</w:t>
      </w:r>
      <w:r w:rsidR="00D32D56">
        <w:rPr>
          <w:rFonts w:asciiTheme="minorHAnsi" w:hAnsiTheme="minorHAnsi"/>
          <w:color w:val="4A4A4A"/>
          <w:sz w:val="21"/>
          <w:szCs w:val="21"/>
        </w:rPr>
        <w:t xml:space="preserve"> </w:t>
      </w:r>
      <w:r w:rsidR="00D32D56" w:rsidRPr="00D32D56">
        <w:rPr>
          <w:rFonts w:asciiTheme="minorHAnsi" w:hAnsiTheme="minorHAnsi"/>
          <w:color w:val="4A4A4A"/>
          <w:sz w:val="21"/>
          <w:szCs w:val="21"/>
        </w:rPr>
        <w:t>Collective social protection services are concerned</w:t>
      </w:r>
      <w:r w:rsidR="00D32D56">
        <w:rPr>
          <w:rFonts w:asciiTheme="minorHAnsi" w:hAnsiTheme="minorHAnsi"/>
          <w:color w:val="4A4A4A"/>
          <w:sz w:val="21"/>
          <w:szCs w:val="21"/>
        </w:rPr>
        <w:t xml:space="preserve"> </w:t>
      </w:r>
      <w:r w:rsidR="00D32D56" w:rsidRPr="00D32D56">
        <w:rPr>
          <w:rFonts w:asciiTheme="minorHAnsi" w:hAnsiTheme="minorHAnsi"/>
          <w:color w:val="4A4A4A"/>
          <w:sz w:val="21"/>
          <w:szCs w:val="21"/>
        </w:rPr>
        <w:t>with matters such as formulation and administration</w:t>
      </w:r>
      <w:r w:rsidR="00D32D56">
        <w:rPr>
          <w:rFonts w:asciiTheme="minorHAnsi" w:hAnsiTheme="minorHAnsi"/>
          <w:color w:val="4A4A4A"/>
          <w:sz w:val="21"/>
          <w:szCs w:val="21"/>
        </w:rPr>
        <w:t xml:space="preserve"> </w:t>
      </w:r>
      <w:r w:rsidR="00D32D56" w:rsidRPr="00D32D56">
        <w:rPr>
          <w:rFonts w:asciiTheme="minorHAnsi" w:hAnsiTheme="minorHAnsi"/>
          <w:color w:val="4A4A4A"/>
          <w:sz w:val="21"/>
          <w:szCs w:val="21"/>
        </w:rPr>
        <w:t>of government policy; formulation and enforcement</w:t>
      </w:r>
      <w:r w:rsidR="00D32D56">
        <w:rPr>
          <w:rFonts w:asciiTheme="minorHAnsi" w:hAnsiTheme="minorHAnsi"/>
          <w:color w:val="4A4A4A"/>
          <w:sz w:val="21"/>
          <w:szCs w:val="21"/>
        </w:rPr>
        <w:t xml:space="preserve"> </w:t>
      </w:r>
      <w:r w:rsidR="00D32D56" w:rsidRPr="00D32D56">
        <w:rPr>
          <w:rFonts w:asciiTheme="minorHAnsi" w:hAnsiTheme="minorHAnsi"/>
          <w:color w:val="4A4A4A"/>
          <w:sz w:val="21"/>
          <w:szCs w:val="21"/>
        </w:rPr>
        <w:t>of legislation and standards for providing social protection;</w:t>
      </w:r>
      <w:r w:rsidR="00D32D56">
        <w:rPr>
          <w:rFonts w:asciiTheme="minorHAnsi" w:hAnsiTheme="minorHAnsi"/>
          <w:color w:val="4A4A4A"/>
          <w:sz w:val="21"/>
          <w:szCs w:val="21"/>
        </w:rPr>
        <w:t xml:space="preserve"> </w:t>
      </w:r>
      <w:r w:rsidR="00D32D56" w:rsidRPr="00D32D56">
        <w:rPr>
          <w:rFonts w:asciiTheme="minorHAnsi" w:hAnsiTheme="minorHAnsi"/>
          <w:color w:val="4A4A4A"/>
          <w:sz w:val="21"/>
          <w:szCs w:val="21"/>
        </w:rPr>
        <w:t>and applied research and experimental development</w:t>
      </w:r>
      <w:r w:rsidR="00D32D56">
        <w:rPr>
          <w:rFonts w:asciiTheme="minorHAnsi" w:hAnsiTheme="minorHAnsi"/>
          <w:color w:val="4A4A4A"/>
          <w:sz w:val="21"/>
          <w:szCs w:val="21"/>
        </w:rPr>
        <w:t xml:space="preserve"> </w:t>
      </w:r>
      <w:r w:rsidR="00D32D56" w:rsidRPr="00D32D56">
        <w:rPr>
          <w:rFonts w:asciiTheme="minorHAnsi" w:hAnsiTheme="minorHAnsi"/>
          <w:color w:val="4A4A4A"/>
          <w:sz w:val="21"/>
          <w:szCs w:val="21"/>
        </w:rPr>
        <w:t>into social protection affairs and services.</w:t>
      </w:r>
      <w:r w:rsidR="00D32D56">
        <w:rPr>
          <w:rFonts w:asciiTheme="minorHAnsi" w:hAnsiTheme="minorHAnsi"/>
          <w:color w:val="4A4A4A"/>
          <w:sz w:val="21"/>
          <w:szCs w:val="21"/>
        </w:rPr>
        <w:t xml:space="preserve"> </w:t>
      </w:r>
      <w:r w:rsidR="00D32D56" w:rsidRPr="00D32D56">
        <w:rPr>
          <w:rFonts w:asciiTheme="minorHAnsi" w:hAnsiTheme="minorHAnsi"/>
          <w:color w:val="4A4A4A"/>
          <w:sz w:val="21"/>
          <w:szCs w:val="21"/>
        </w:rPr>
        <w:t>Expenditure</w:t>
      </w:r>
      <w:r w:rsidR="00D32D56">
        <w:rPr>
          <w:rFonts w:asciiTheme="minorHAnsi" w:hAnsiTheme="minorHAnsi"/>
          <w:color w:val="4A4A4A"/>
          <w:sz w:val="21"/>
          <w:szCs w:val="21"/>
        </w:rPr>
        <w:t xml:space="preserve"> </w:t>
      </w:r>
      <w:r w:rsidR="00D32D56" w:rsidRPr="00D32D56">
        <w:rPr>
          <w:rFonts w:asciiTheme="minorHAnsi" w:hAnsiTheme="minorHAnsi"/>
          <w:color w:val="4A4A4A"/>
          <w:sz w:val="21"/>
          <w:szCs w:val="21"/>
        </w:rPr>
        <w:t>on individual services and transfers are allocated</w:t>
      </w:r>
      <w:r w:rsidR="00D32D56">
        <w:rPr>
          <w:rFonts w:asciiTheme="minorHAnsi" w:hAnsiTheme="minorHAnsi"/>
          <w:color w:val="4A4A4A"/>
          <w:sz w:val="21"/>
          <w:szCs w:val="21"/>
        </w:rPr>
        <w:t xml:space="preserve"> to sickness and disability, old age, survivors, family and children, unemployment, </w:t>
      </w:r>
      <w:proofErr w:type="gramStart"/>
      <w:r w:rsidR="00D32D56">
        <w:rPr>
          <w:rFonts w:asciiTheme="minorHAnsi" w:hAnsiTheme="minorHAnsi"/>
          <w:color w:val="4A4A4A"/>
          <w:sz w:val="21"/>
          <w:szCs w:val="21"/>
        </w:rPr>
        <w:t>housing</w:t>
      </w:r>
      <w:proofErr w:type="gramEnd"/>
      <w:r w:rsidR="00D32D56">
        <w:rPr>
          <w:rFonts w:asciiTheme="minorHAnsi" w:hAnsiTheme="minorHAnsi"/>
          <w:color w:val="4A4A4A"/>
          <w:sz w:val="21"/>
          <w:szCs w:val="21"/>
        </w:rPr>
        <w:t xml:space="preserve"> and social exclusion. </w:t>
      </w:r>
    </w:p>
    <w:p w14:paraId="7932F8BD" w14:textId="3869C451" w:rsidR="008B0AC7" w:rsidRPr="00A96255" w:rsidRDefault="00576CFA" w:rsidP="00F719A8">
      <w:pPr>
        <w:pStyle w:val="MHeader2"/>
      </w:pPr>
      <w:r w:rsidRPr="00A96255">
        <w:lastRenderedPageBreak/>
        <w:t xml:space="preserve">2.b. Unit of measure </w:t>
      </w:r>
      <w:r>
        <w:rPr>
          <w:color w:val="B4B4B4"/>
          <w:sz w:val="20"/>
        </w:rPr>
        <w:t>(UNIT_MEASURE)</w:t>
      </w:r>
    </w:p>
    <w:p w14:paraId="548E9AAA" w14:textId="47B01192" w:rsidR="00EC2915" w:rsidRDefault="00885E2E" w:rsidP="00576CFA">
      <w:pPr>
        <w:pStyle w:val="MText"/>
      </w:pPr>
      <w:r>
        <w:t>Percent</w:t>
      </w:r>
      <w:r w:rsidR="000F341F">
        <w:t xml:space="preserve"> (%)</w:t>
      </w:r>
      <w:r>
        <w:t xml:space="preserve">. This indicator is </w:t>
      </w:r>
      <w:r w:rsidR="005645F6">
        <w:t xml:space="preserve">the </w:t>
      </w:r>
      <w:r>
        <w:t>t</w:t>
      </w:r>
      <w:r w:rsidRPr="00FC006D">
        <w:t>otal general government expenditure on educatio</w:t>
      </w:r>
      <w:r>
        <w:t>n</w:t>
      </w:r>
      <w:r w:rsidRPr="00FC006D">
        <w:t>,</w:t>
      </w:r>
      <w:r w:rsidR="00D877E9">
        <w:t xml:space="preserve"> health and social protection</w:t>
      </w:r>
      <w:r w:rsidRPr="00FC006D">
        <w:t xml:space="preserve"> expressed as a percentage of total general government expenditure</w:t>
      </w:r>
      <w:r>
        <w:t xml:space="preserve">. </w:t>
      </w:r>
    </w:p>
    <w:p w14:paraId="5FA2CA7F" w14:textId="77777777" w:rsidR="00B965B1" w:rsidRPr="00A96255" w:rsidRDefault="00B965B1"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467EC656" w14:textId="489EFA29" w:rsidR="00E13E7C" w:rsidRDefault="00D877E9" w:rsidP="00576CFA">
      <w:pPr>
        <w:pStyle w:val="MText"/>
      </w:pPr>
      <w:r>
        <w:t>See 2.a.</w:t>
      </w:r>
    </w:p>
    <w:p w14:paraId="5CC9FA66" w14:textId="33345961" w:rsidR="00967611" w:rsidRPr="00A96255" w:rsidRDefault="00967611"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2E9F537" w14:textId="7DDB79C5" w:rsidR="00062C4E" w:rsidRPr="001375FA" w:rsidRDefault="00EB7515" w:rsidP="00576CFA">
      <w:pPr>
        <w:pStyle w:val="MText"/>
        <w:rPr>
          <w:i/>
        </w:rPr>
      </w:pPr>
      <w:r w:rsidRPr="00CD5600">
        <w:t xml:space="preserve">The </w:t>
      </w:r>
      <w:r w:rsidR="00296136">
        <w:t>current</w:t>
      </w:r>
      <w:r w:rsidRPr="00CD5600">
        <w:t xml:space="preserve"> and recommended sources of data for deriving this indicator are the fiscal statistics reported to the IMF’s Statistics Department. These come from various agencies (Ministries of Finance, Central Banks, National Statistics Offices, etc.) and are compiled according to a standardized method for data collection: the annual GFS Questionnaire. </w:t>
      </w:r>
      <w:r w:rsidRPr="00EB7515">
        <w:t xml:space="preserve">Despite some variations between countries, these data in the IMF annual GFS database </w:t>
      </w:r>
      <w:proofErr w:type="gramStart"/>
      <w:r w:rsidRPr="00EB7515">
        <w:t>is</w:t>
      </w:r>
      <w:proofErr w:type="gramEnd"/>
      <w:r w:rsidRPr="00EB7515">
        <w:t xml:space="preserve"> based on the COFOG as adopted in the </w:t>
      </w:r>
      <w:r w:rsidRPr="00EB7515">
        <w:rPr>
          <w:i/>
          <w:iCs/>
        </w:rPr>
        <w:t>GFSM 2014</w:t>
      </w:r>
      <w:r w:rsidRPr="00EB7515">
        <w:t>, which provide a solid common basis for cross country comparison and for regional and global aggregations. In addition, all the data are country official submissions, and no staff estimates were evolved. Staff validation during the data process further improved the data quality.</w:t>
      </w:r>
      <w:r>
        <w:t xml:space="preserve"> </w:t>
      </w:r>
      <w:r w:rsidRPr="00841EEB">
        <w:t xml:space="preserve">Data are compiled annually for approximately </w:t>
      </w:r>
      <w:r w:rsidR="00F31B9B">
        <w:t>70-80</w:t>
      </w:r>
      <w:r w:rsidRPr="00841EEB">
        <w:t xml:space="preserve"> countries with general government coverage making use of IMF’s COFOG dataset.</w:t>
      </w:r>
      <w:r w:rsidRPr="00EB7515">
        <w:t xml:space="preserve"> </w:t>
      </w:r>
    </w:p>
    <w:p w14:paraId="76A4BA17" w14:textId="77777777" w:rsidR="006C5D66" w:rsidRPr="00A96255" w:rsidRDefault="006C5D66" w:rsidP="00C52F78">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1C439A1" w14:textId="781DCCCC" w:rsidR="009F2F7F" w:rsidRDefault="006520EB" w:rsidP="007D1224">
      <w:pPr>
        <w:pStyle w:val="form-control-static"/>
        <w:shd w:val="clear" w:color="auto" w:fill="FFFFFF"/>
        <w:spacing w:before="120" w:beforeAutospacing="0" w:after="0" w:afterAutospacing="0"/>
        <w:rPr>
          <w:rFonts w:asciiTheme="minorHAnsi" w:hAnsiTheme="minorHAnsi"/>
          <w:color w:val="4A4A4A"/>
          <w:sz w:val="21"/>
          <w:szCs w:val="21"/>
        </w:rPr>
      </w:pPr>
      <w:r>
        <w:rPr>
          <w:rFonts w:asciiTheme="minorHAnsi" w:hAnsiTheme="minorHAnsi"/>
          <w:color w:val="4A4A4A"/>
          <w:sz w:val="21"/>
          <w:szCs w:val="21"/>
        </w:rPr>
        <w:t>See 3.a.</w:t>
      </w:r>
      <w:r w:rsidR="001828E0" w:rsidRPr="007225EF">
        <w:rPr>
          <w:rFonts w:asciiTheme="minorHAnsi" w:hAnsiTheme="minorHAnsi"/>
          <w:color w:val="4A4A4A"/>
          <w:sz w:val="21"/>
          <w:szCs w:val="21"/>
        </w:rPr>
        <w:t xml:space="preserve"> </w:t>
      </w:r>
    </w:p>
    <w:p w14:paraId="6B8E7FCF" w14:textId="77777777" w:rsidR="00062C4E" w:rsidRPr="00E132C5" w:rsidRDefault="00062C4E" w:rsidP="00284485">
      <w:pPr>
        <w:pStyle w:val="form-control-static"/>
        <w:shd w:val="clear" w:color="auto" w:fill="FFFFFF"/>
        <w:spacing w:before="120" w:beforeAutospacing="0" w:after="0" w:afterAutospacing="0"/>
        <w:ind w:left="714"/>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384B9E04" w:rsidR="00EC2915" w:rsidRDefault="008737F5" w:rsidP="00576CFA">
      <w:pPr>
        <w:pStyle w:val="MText"/>
      </w:pPr>
      <w:r w:rsidRPr="008737F5">
        <w:t xml:space="preserve">The data collection </w:t>
      </w:r>
      <w:r>
        <w:t>c</w:t>
      </w:r>
      <w:r w:rsidRPr="008737F5">
        <w:t>ycle normally runs from September through December of the next year from the reference year (T+9 to 12 months). IMF Statistics Department normally completes a round of annual GFS collection in February of the following year.</w:t>
      </w:r>
    </w:p>
    <w:p w14:paraId="22140F4B" w14:textId="77777777" w:rsidR="00043840" w:rsidRPr="00A96255" w:rsidRDefault="00043840"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3DD77212" w14:textId="3E4D40F7" w:rsidR="00690884" w:rsidRPr="00BE3399" w:rsidRDefault="00B16AA7" w:rsidP="00690884">
      <w:pPr>
        <w:pStyle w:val="form-control-static"/>
        <w:shd w:val="clear" w:color="auto" w:fill="FFFFFF"/>
        <w:spacing w:before="0" w:beforeAutospacing="0" w:after="0" w:afterAutospacing="0"/>
        <w:rPr>
          <w:rFonts w:asciiTheme="minorHAnsi" w:hAnsiTheme="minorHAnsi"/>
          <w:color w:val="4A4A4A"/>
          <w:sz w:val="21"/>
          <w:szCs w:val="21"/>
        </w:rPr>
      </w:pPr>
      <w:r w:rsidRPr="00B16AA7">
        <w:rPr>
          <w:rFonts w:asciiTheme="minorHAnsi" w:hAnsiTheme="minorHAnsi"/>
          <w:color w:val="4A4A4A"/>
          <w:sz w:val="21"/>
          <w:szCs w:val="21"/>
        </w:rPr>
        <w:t xml:space="preserve">Country data are disseminated as they are processed following the data collection. Summary World Tables and other indicators including 1.a.2 are planned for release early </w:t>
      </w:r>
      <w:r w:rsidR="003703BA">
        <w:rPr>
          <w:rFonts w:asciiTheme="minorHAnsi" w:hAnsiTheme="minorHAnsi"/>
          <w:color w:val="4A4A4A"/>
          <w:sz w:val="21"/>
          <w:szCs w:val="21"/>
        </w:rPr>
        <w:t xml:space="preserve">in the </w:t>
      </w:r>
      <w:r w:rsidRPr="00B16AA7">
        <w:rPr>
          <w:rFonts w:asciiTheme="minorHAnsi" w:hAnsiTheme="minorHAnsi"/>
          <w:color w:val="4A4A4A"/>
          <w:sz w:val="21"/>
          <w:szCs w:val="21"/>
        </w:rPr>
        <w:t>second year from the reference year. For most countries, the latest data will be the reference year, including five or more most recent years.</w:t>
      </w:r>
    </w:p>
    <w:p w14:paraId="64C749BD" w14:textId="485DA79B" w:rsidR="00EC291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E9FC43A" w14:textId="6A863A96" w:rsidR="00690884" w:rsidRDefault="00B04F20" w:rsidP="00690884">
      <w:pPr>
        <w:pStyle w:val="form-control-static"/>
        <w:shd w:val="clear" w:color="auto" w:fill="FFFFFF"/>
        <w:spacing w:before="0" w:beforeAutospacing="0" w:after="0" w:afterAutospacing="0"/>
        <w:rPr>
          <w:rFonts w:asciiTheme="minorHAnsi" w:hAnsiTheme="minorHAnsi"/>
          <w:color w:val="4A4A4A"/>
          <w:sz w:val="21"/>
          <w:szCs w:val="21"/>
        </w:rPr>
      </w:pPr>
      <w:r w:rsidRPr="00EB0372">
        <w:rPr>
          <w:rFonts w:asciiTheme="minorHAnsi" w:hAnsiTheme="minorHAnsi"/>
          <w:color w:val="4A4A4A"/>
          <w:sz w:val="21"/>
          <w:szCs w:val="21"/>
        </w:rPr>
        <w:t>See 3.a.</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1B78737C" w14:textId="54AF29E6" w:rsidR="00690884" w:rsidRPr="00BE3399" w:rsidRDefault="00B04F20" w:rsidP="00690884">
      <w:pPr>
        <w:pStyle w:val="form-control-static"/>
        <w:shd w:val="clear" w:color="auto" w:fill="FFFFFF"/>
        <w:spacing w:before="0" w:beforeAutospacing="0" w:after="0" w:afterAutospacing="0"/>
        <w:rPr>
          <w:rFonts w:asciiTheme="minorHAnsi" w:hAnsiTheme="minorHAnsi"/>
          <w:color w:val="4A4A4A"/>
          <w:sz w:val="21"/>
          <w:szCs w:val="21"/>
        </w:rPr>
      </w:pPr>
      <w:r w:rsidRPr="00B04F20">
        <w:rPr>
          <w:rFonts w:asciiTheme="minorHAnsi" w:hAnsiTheme="minorHAnsi"/>
          <w:color w:val="4A4A4A"/>
          <w:sz w:val="21"/>
          <w:szCs w:val="21"/>
        </w:rPr>
        <w:t>The IMF Statistics Department</w:t>
      </w:r>
      <w:r w:rsidR="00CA3336">
        <w:rPr>
          <w:rFonts w:asciiTheme="minorHAnsi" w:hAnsiTheme="minorHAnsi"/>
          <w:color w:val="4A4A4A"/>
          <w:sz w:val="21"/>
          <w:szCs w:val="21"/>
        </w:rPr>
        <w:t xml:space="preserve"> </w:t>
      </w:r>
      <w:r w:rsidR="00143903">
        <w:rPr>
          <w:rFonts w:asciiTheme="minorHAnsi" w:hAnsiTheme="minorHAnsi"/>
          <w:color w:val="4A4A4A"/>
          <w:sz w:val="21"/>
          <w:szCs w:val="21"/>
        </w:rPr>
        <w:t xml:space="preserve">is </w:t>
      </w:r>
      <w:r w:rsidRPr="00B04F20">
        <w:rPr>
          <w:rFonts w:asciiTheme="minorHAnsi" w:hAnsiTheme="minorHAnsi"/>
          <w:color w:val="4A4A4A"/>
          <w:sz w:val="21"/>
          <w:szCs w:val="21"/>
        </w:rPr>
        <w:t>the organization responsible for the compilation and reporting on this indicator at the global level.</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lastRenderedPageBreak/>
        <w:t xml:space="preserve">3.g. Institutional mandate </w:t>
      </w:r>
      <w:r>
        <w:rPr>
          <w:color w:val="B4B4B4"/>
          <w:sz w:val="20"/>
        </w:rPr>
        <w:t>(INST_MANDATE)</w:t>
      </w:r>
    </w:p>
    <w:sdt>
      <w:sdtPr>
        <w:rPr>
          <w:rFonts w:asciiTheme="minorHAnsi" w:hAnsiTheme="minorHAnsi"/>
          <w:color w:val="4A4A4A"/>
          <w:sz w:val="21"/>
          <w:szCs w:val="21"/>
        </w:rPr>
        <w:tag w:val="goog_rdk_40"/>
        <w:id w:val="-1137575018"/>
      </w:sdtPr>
      <w:sdtContent>
        <w:p w14:paraId="466F71C3" w14:textId="1752B896" w:rsidR="00DE798A" w:rsidRPr="002A6582" w:rsidRDefault="007716DD" w:rsidP="002A6582">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IMF: </w:t>
          </w:r>
          <w:r w:rsidR="002A6582" w:rsidRPr="002A6582">
            <w:rPr>
              <w:rFonts w:asciiTheme="minorHAnsi" w:hAnsiTheme="minorHAnsi"/>
              <w:color w:val="4A4A4A"/>
              <w:sz w:val="21"/>
              <w:szCs w:val="21"/>
            </w:rPr>
            <w:t xml:space="preserve">See </w:t>
          </w:r>
          <w:proofErr w:type="gramStart"/>
          <w:r w:rsidR="002A6582" w:rsidRPr="002A6582">
            <w:rPr>
              <w:rFonts w:asciiTheme="minorHAnsi" w:hAnsiTheme="minorHAnsi"/>
              <w:color w:val="4A4A4A"/>
              <w:sz w:val="21"/>
              <w:szCs w:val="21"/>
            </w:rPr>
            <w:t>3.a.</w:t>
          </w:r>
          <w:proofErr w:type="gramEnd"/>
        </w:p>
      </w:sdtContent>
    </w:sdt>
    <w:p w14:paraId="143D8E0D" w14:textId="77777777" w:rsidR="008526E6" w:rsidRDefault="008526E6" w:rsidP="00284485">
      <w:pPr>
        <w:pStyle w:val="MText"/>
      </w:pPr>
    </w:p>
    <w:p w14:paraId="6149DC94" w14:textId="3E07F8FD"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8E87C6B" w14:textId="7594A11B" w:rsidR="00C6238B" w:rsidRDefault="006D1551" w:rsidP="00C6238B">
      <w:pPr>
        <w:pStyle w:val="MText"/>
      </w:pPr>
      <w:r w:rsidRPr="006D1551">
        <w:t xml:space="preserve">The indicator is used to assess government's </w:t>
      </w:r>
      <w:r w:rsidR="00C6238B">
        <w:t>expenditure</w:t>
      </w:r>
      <w:r w:rsidRPr="006D1551">
        <w:t xml:space="preserve"> </w:t>
      </w:r>
      <w:r w:rsidR="00C6238B">
        <w:t xml:space="preserve">on essential services (education, </w:t>
      </w:r>
      <w:proofErr w:type="gramStart"/>
      <w:r w:rsidR="00C6238B">
        <w:t>health</w:t>
      </w:r>
      <w:proofErr w:type="gramEnd"/>
      <w:r w:rsidR="00C6238B">
        <w:t xml:space="preserve"> and social protection) </w:t>
      </w:r>
      <w:r w:rsidRPr="006D1551">
        <w:t xml:space="preserve">relative to </w:t>
      </w:r>
      <w:r w:rsidR="00116010">
        <w:t xml:space="preserve">the </w:t>
      </w:r>
      <w:r w:rsidR="00C6238B">
        <w:t xml:space="preserve">amount of </w:t>
      </w:r>
      <w:r w:rsidR="00B901B7">
        <w:t>total</w:t>
      </w:r>
      <w:r w:rsidR="00C6238B">
        <w:t xml:space="preserve"> government spending</w:t>
      </w:r>
      <w:r w:rsidR="00C6238B" w:rsidRPr="00C6238B">
        <w:t>.</w:t>
      </w:r>
      <w:r w:rsidR="00C6238B">
        <w:t xml:space="preserve"> Since it comes from an international framework, the </w:t>
      </w:r>
      <w:r w:rsidR="00C6238B" w:rsidRPr="00852AA9">
        <w:rPr>
          <w:i/>
          <w:iCs/>
        </w:rPr>
        <w:t>GFSM 2014</w:t>
      </w:r>
      <w:r w:rsidR="00C6238B">
        <w:t xml:space="preserve">, it provides </w:t>
      </w:r>
      <w:r w:rsidR="00C6238B" w:rsidRPr="00C6238B">
        <w:t>analysts with a cross-country comparable dataset and ensures establishing robust analytical findings to support SDG monitoring using fiscal data.</w:t>
      </w:r>
      <w:r w:rsidR="003A528B">
        <w:t xml:space="preserve"> </w:t>
      </w:r>
    </w:p>
    <w:p w14:paraId="1488FE72" w14:textId="77777777" w:rsidR="006D1551" w:rsidRPr="00A96255" w:rsidRDefault="006D1551"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24062984" w14:textId="4EE37814" w:rsidR="00BA23A8" w:rsidRDefault="006D1551" w:rsidP="00BA23A8">
      <w:pPr>
        <w:pStyle w:val="MText"/>
      </w:pPr>
      <w:r>
        <w:t xml:space="preserve">A high proportion of government expenditure on </w:t>
      </w:r>
      <w:r w:rsidR="00BA23A8">
        <w:t xml:space="preserve">essential services (education, </w:t>
      </w:r>
      <w:proofErr w:type="gramStart"/>
      <w:r w:rsidR="00BA23A8">
        <w:t>health</w:t>
      </w:r>
      <w:proofErr w:type="gramEnd"/>
      <w:r w:rsidR="00BA23A8">
        <w:t xml:space="preserve"> and social protection)</w:t>
      </w:r>
      <w:r>
        <w:t xml:space="preserve"> demonstrates a high government priority for </w:t>
      </w:r>
      <w:r w:rsidR="00BA23A8">
        <w:t xml:space="preserve">these functions of spending. </w:t>
      </w:r>
      <w:r w:rsidR="00725288" w:rsidRPr="00725288">
        <w:t xml:space="preserve">At this time the IMF recommends no regional and global aggregates be established. While we see no issues in terms of the feasibility and suitability of </w:t>
      </w:r>
      <w:r w:rsidR="00725288">
        <w:t xml:space="preserve">indicator 1.a.2 </w:t>
      </w:r>
      <w:r w:rsidR="00725288" w:rsidRPr="00725288">
        <w:t xml:space="preserve">for cross-country comparisons, we </w:t>
      </w:r>
      <w:r w:rsidR="002F0DEA">
        <w:t>caution</w:t>
      </w:r>
      <w:r w:rsidR="00725288" w:rsidRPr="00725288">
        <w:t xml:space="preserve"> the relevance of one single global indicator that combines data for advanced economies with those of emerging market and low</w:t>
      </w:r>
      <w:r w:rsidR="00725288">
        <w:t>-</w:t>
      </w:r>
      <w:r w:rsidR="00725288" w:rsidRPr="00725288">
        <w:t>income countries.</w:t>
      </w:r>
    </w:p>
    <w:p w14:paraId="4EB11526" w14:textId="5D5D662B" w:rsidR="00FC4EB8" w:rsidRDefault="00FC4EB8" w:rsidP="00FC4EB8">
      <w:pPr>
        <w:pStyle w:val="MText"/>
        <w:spacing w:before="120"/>
      </w:pPr>
      <w:r w:rsidRPr="008E58CF">
        <w:t xml:space="preserve">For reporting this indicator, general government is considered the most appropriate level of institutional coverage as it will encompass relevant government units, including local governments, since in many countries </w:t>
      </w:r>
      <w:proofErr w:type="spellStart"/>
      <w:r w:rsidRPr="008E58CF">
        <w:t>descentralization</w:t>
      </w:r>
      <w:proofErr w:type="spellEnd"/>
      <w:r w:rsidRPr="008E58CF">
        <w:t xml:space="preserve"> of these categories of expense are to be considered.</w:t>
      </w:r>
      <w:r w:rsidRPr="006F7FD2">
        <w:t xml:space="preserve"> Country coverage </w:t>
      </w:r>
      <w:r w:rsidR="004E2926" w:rsidRPr="008E58CF">
        <w:t xml:space="preserve">is </w:t>
      </w:r>
      <w:r w:rsidRPr="006F7FD2">
        <w:t xml:space="preserve">enhanced making use of central government </w:t>
      </w:r>
      <w:r w:rsidR="00700593" w:rsidRPr="008E58CF">
        <w:t xml:space="preserve">(CG) </w:t>
      </w:r>
      <w:r w:rsidRPr="006F7FD2">
        <w:t xml:space="preserve">or budgetary central government </w:t>
      </w:r>
      <w:r w:rsidR="00700593" w:rsidRPr="008E58CF">
        <w:t xml:space="preserve">(BA) </w:t>
      </w:r>
      <w:r w:rsidRPr="006F7FD2">
        <w:t>data, since for most developing and many emerging market economies compiling data for the consolidated general government and its subsectors is limited owing to limitations in the availability and/or timeliness of source data.</w:t>
      </w:r>
      <w:r w:rsidRPr="002F1ACC">
        <w:t xml:space="preserve"> </w:t>
      </w:r>
      <w:r w:rsidR="002F1ACC" w:rsidRPr="00852AA9">
        <w:t>These different institutional coverages (CG, BA) are delineated by a footnote in the data.</w:t>
      </w:r>
      <w:r w:rsidR="002F1ACC" w:rsidRPr="008E58CF">
        <w:t xml:space="preserve"> </w:t>
      </w:r>
      <w:r w:rsidR="002F1ACC" w:rsidRPr="00852AA9">
        <w:t>Where a footnote is not included, the data refer to general government.</w:t>
      </w:r>
      <w:r w:rsidR="002F1ACC" w:rsidRPr="008E58CF">
        <w:rPr>
          <w:color w:val="4472C4"/>
        </w:rPr>
        <w:t xml:space="preserve"> </w:t>
      </w:r>
      <w:r>
        <w:t xml:space="preserve">A country may have one central government; several state, provincial, or regional governments; and many local governments, and the </w:t>
      </w:r>
      <w:r w:rsidRPr="00FC4EB8">
        <w:rPr>
          <w:i/>
          <w:iCs/>
        </w:rPr>
        <w:t>GFSM 2014</w:t>
      </w:r>
      <w:r>
        <w:t xml:space="preserve"> recommends that statistics should be compiled for all such general government units. This reporting structure is illustrated below:</w:t>
      </w:r>
    </w:p>
    <w:p w14:paraId="7A852167" w14:textId="77777777" w:rsidR="00FC4EB8" w:rsidRDefault="00FC4EB8" w:rsidP="00FC4EB8">
      <w:pPr>
        <w:pStyle w:val="MText"/>
      </w:pPr>
    </w:p>
    <w:tbl>
      <w:tblPr>
        <w:tblW w:w="0" w:type="auto"/>
        <w:tblCellMar>
          <w:left w:w="29" w:type="dxa"/>
          <w:right w:w="29" w:type="dxa"/>
        </w:tblCellMar>
        <w:tblLook w:val="04A0" w:firstRow="1" w:lastRow="0" w:firstColumn="1" w:lastColumn="0" w:noHBand="0" w:noVBand="1"/>
      </w:tblPr>
      <w:tblGrid>
        <w:gridCol w:w="727"/>
        <w:gridCol w:w="1057"/>
        <w:gridCol w:w="957"/>
        <w:gridCol w:w="886"/>
        <w:gridCol w:w="589"/>
        <w:gridCol w:w="946"/>
        <w:gridCol w:w="946"/>
        <w:gridCol w:w="957"/>
        <w:gridCol w:w="886"/>
        <w:gridCol w:w="1065"/>
      </w:tblGrid>
      <w:tr w:rsidR="00FC4EB8" w:rsidRPr="00864CD6" w14:paraId="03851298" w14:textId="77777777" w:rsidTr="00FF5F1E">
        <w:trPr>
          <w:trHeight w:val="540"/>
        </w:trPr>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605F5B03" w14:textId="77777777" w:rsidR="00FC4EB8" w:rsidRPr="00864CD6" w:rsidRDefault="00FC4EB8" w:rsidP="00FF5F1E">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tcBorders>
              <w:top w:val="single" w:sz="4" w:space="0" w:color="auto"/>
              <w:left w:val="single" w:sz="4" w:space="0" w:color="D0CECE"/>
              <w:bottom w:val="single" w:sz="4" w:space="0" w:color="auto"/>
              <w:right w:val="nil"/>
            </w:tcBorders>
            <w:shd w:val="clear" w:color="auto" w:fill="auto"/>
            <w:noWrap/>
            <w:vAlign w:val="center"/>
            <w:hideMark/>
          </w:tcPr>
          <w:p w14:paraId="45335FD3" w14:textId="77777777" w:rsidR="00FC4EB8" w:rsidRPr="00864CD6" w:rsidRDefault="00FC4EB8" w:rsidP="00FF5F1E">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gridSpan w:val="2"/>
            <w:tcBorders>
              <w:top w:val="single" w:sz="4" w:space="0" w:color="auto"/>
              <w:left w:val="single" w:sz="4" w:space="0" w:color="D0CECE"/>
              <w:bottom w:val="single" w:sz="4" w:space="0" w:color="auto"/>
              <w:right w:val="nil"/>
            </w:tcBorders>
            <w:shd w:val="clear" w:color="auto" w:fill="auto"/>
            <w:noWrap/>
            <w:vAlign w:val="center"/>
            <w:hideMark/>
          </w:tcPr>
          <w:p w14:paraId="5EF00468"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General Government</w:t>
            </w:r>
          </w:p>
        </w:tc>
        <w:tc>
          <w:tcPr>
            <w:tcW w:w="0" w:type="auto"/>
            <w:tcBorders>
              <w:top w:val="single" w:sz="4" w:space="0" w:color="auto"/>
              <w:left w:val="single" w:sz="4" w:space="0" w:color="D0CECE"/>
              <w:bottom w:val="single" w:sz="4" w:space="0" w:color="auto"/>
              <w:right w:val="single" w:sz="4" w:space="0" w:color="D0CECE"/>
            </w:tcBorders>
            <w:shd w:val="clear" w:color="auto" w:fill="auto"/>
            <w:noWrap/>
            <w:vAlign w:val="center"/>
            <w:hideMark/>
          </w:tcPr>
          <w:p w14:paraId="38E5F30E" w14:textId="77777777" w:rsidR="00FC4EB8" w:rsidRPr="00864CD6" w:rsidRDefault="00FC4EB8" w:rsidP="00FF5F1E">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tcBorders>
              <w:top w:val="single" w:sz="4" w:space="0" w:color="auto"/>
              <w:left w:val="nil"/>
              <w:bottom w:val="single" w:sz="4" w:space="0" w:color="auto"/>
              <w:right w:val="nil"/>
            </w:tcBorders>
            <w:shd w:val="clear" w:color="auto" w:fill="auto"/>
            <w:noWrap/>
            <w:vAlign w:val="center"/>
            <w:hideMark/>
          </w:tcPr>
          <w:p w14:paraId="68AA41CA" w14:textId="77777777" w:rsidR="00FC4EB8" w:rsidRPr="00864CD6" w:rsidRDefault="00FC4EB8" w:rsidP="00FF5F1E">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tcBorders>
              <w:top w:val="single" w:sz="4" w:space="0" w:color="auto"/>
              <w:left w:val="single" w:sz="4" w:space="0" w:color="D0CECE"/>
              <w:bottom w:val="single" w:sz="4" w:space="0" w:color="auto"/>
              <w:right w:val="single" w:sz="4" w:space="0" w:color="D0CECE"/>
            </w:tcBorders>
            <w:shd w:val="clear" w:color="auto" w:fill="auto"/>
            <w:noWrap/>
            <w:vAlign w:val="center"/>
            <w:hideMark/>
          </w:tcPr>
          <w:p w14:paraId="66AADD30" w14:textId="77777777" w:rsidR="00FC4EB8" w:rsidRPr="00864CD6" w:rsidRDefault="00FC4EB8" w:rsidP="00FF5F1E">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tcBorders>
              <w:top w:val="single" w:sz="4" w:space="0" w:color="auto"/>
              <w:left w:val="nil"/>
              <w:bottom w:val="single" w:sz="4" w:space="0" w:color="auto"/>
              <w:right w:val="nil"/>
            </w:tcBorders>
            <w:shd w:val="clear" w:color="auto" w:fill="auto"/>
            <w:noWrap/>
            <w:vAlign w:val="center"/>
            <w:hideMark/>
          </w:tcPr>
          <w:p w14:paraId="43F46F7A" w14:textId="77777777" w:rsidR="00FC4EB8" w:rsidRPr="00864CD6" w:rsidRDefault="00FC4EB8" w:rsidP="00FF5F1E">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tcBorders>
              <w:top w:val="single" w:sz="4" w:space="0" w:color="auto"/>
              <w:left w:val="single" w:sz="4" w:space="0" w:color="D0CECE"/>
              <w:bottom w:val="single" w:sz="4" w:space="0" w:color="auto"/>
              <w:right w:val="single" w:sz="4" w:space="0" w:color="auto"/>
            </w:tcBorders>
            <w:shd w:val="clear" w:color="auto" w:fill="auto"/>
            <w:noWrap/>
            <w:vAlign w:val="center"/>
            <w:hideMark/>
          </w:tcPr>
          <w:p w14:paraId="13656A86" w14:textId="77777777" w:rsidR="00FC4EB8" w:rsidRPr="00864CD6" w:rsidRDefault="00FC4EB8" w:rsidP="00FF5F1E">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B449EF"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Memorandum: Central Govt. (incl. SSF of central level)</w:t>
            </w:r>
          </w:p>
        </w:tc>
      </w:tr>
      <w:tr w:rsidR="00FC4EB8" w:rsidRPr="00864CD6" w14:paraId="4052E4C8" w14:textId="77777777" w:rsidTr="00FF5F1E">
        <w:trPr>
          <w:trHeight w:val="54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7109C"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Central Government (excluding social security funds)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CB4FDC6"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Social Security Funds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6786B3F"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State Governments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4B73351"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Local Governments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33885B0"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Consolidation Column</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A6D93EA"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General Government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D07631" w14:textId="77777777" w:rsidR="00FC4EB8" w:rsidRPr="00864CD6" w:rsidRDefault="00FC4EB8" w:rsidP="00FF5F1E">
            <w:pPr>
              <w:spacing w:after="0" w:line="240" w:lineRule="auto"/>
              <w:rPr>
                <w:rFonts w:eastAsia="Times New Roman" w:cstheme="minorHAnsi"/>
                <w:color w:val="000000"/>
                <w:sz w:val="16"/>
                <w:szCs w:val="16"/>
                <w:lang w:val="en-US"/>
              </w:rPr>
            </w:pPr>
          </w:p>
        </w:tc>
      </w:tr>
      <w:tr w:rsidR="00FC4EB8" w:rsidRPr="00864CD6" w14:paraId="7DA25093" w14:textId="77777777" w:rsidTr="00FF5F1E">
        <w:trPr>
          <w:trHeight w:val="7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1FA239"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Budgetary</w:t>
            </w:r>
          </w:p>
        </w:tc>
        <w:tc>
          <w:tcPr>
            <w:tcW w:w="0" w:type="auto"/>
            <w:tcBorders>
              <w:top w:val="nil"/>
              <w:left w:val="nil"/>
              <w:bottom w:val="single" w:sz="4" w:space="0" w:color="auto"/>
              <w:right w:val="single" w:sz="4" w:space="0" w:color="auto"/>
            </w:tcBorders>
            <w:shd w:val="clear" w:color="auto" w:fill="auto"/>
            <w:noWrap/>
            <w:vAlign w:val="center"/>
            <w:hideMark/>
          </w:tcPr>
          <w:p w14:paraId="239F4F2F"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Extrabudgetary</w:t>
            </w:r>
          </w:p>
        </w:tc>
        <w:tc>
          <w:tcPr>
            <w:tcW w:w="0" w:type="auto"/>
            <w:tcBorders>
              <w:top w:val="nil"/>
              <w:left w:val="nil"/>
              <w:bottom w:val="single" w:sz="4" w:space="0" w:color="auto"/>
              <w:right w:val="single" w:sz="4" w:space="0" w:color="auto"/>
            </w:tcBorders>
            <w:shd w:val="clear" w:color="auto" w:fill="auto"/>
            <w:vAlign w:val="center"/>
            <w:hideMark/>
          </w:tcPr>
          <w:p w14:paraId="31AD75D2"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Consolidation Column</w:t>
            </w:r>
          </w:p>
        </w:tc>
        <w:tc>
          <w:tcPr>
            <w:tcW w:w="0" w:type="auto"/>
            <w:tcBorders>
              <w:top w:val="nil"/>
              <w:left w:val="nil"/>
              <w:bottom w:val="single" w:sz="4" w:space="0" w:color="auto"/>
              <w:right w:val="single" w:sz="4" w:space="0" w:color="auto"/>
            </w:tcBorders>
            <w:shd w:val="clear" w:color="auto" w:fill="auto"/>
            <w:vAlign w:val="center"/>
            <w:hideMark/>
          </w:tcPr>
          <w:p w14:paraId="668DD885"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Central Government</w:t>
            </w:r>
          </w:p>
        </w:tc>
        <w:tc>
          <w:tcPr>
            <w:tcW w:w="0" w:type="auto"/>
            <w:vMerge/>
            <w:tcBorders>
              <w:top w:val="nil"/>
              <w:left w:val="single" w:sz="4" w:space="0" w:color="auto"/>
              <w:bottom w:val="single" w:sz="4" w:space="0" w:color="auto"/>
              <w:right w:val="single" w:sz="4" w:space="0" w:color="auto"/>
            </w:tcBorders>
            <w:vAlign w:val="center"/>
            <w:hideMark/>
          </w:tcPr>
          <w:p w14:paraId="6AB86159" w14:textId="77777777" w:rsidR="00FC4EB8" w:rsidRPr="00864CD6" w:rsidRDefault="00FC4EB8" w:rsidP="00FF5F1E">
            <w:pPr>
              <w:spacing w:after="0" w:line="240" w:lineRule="auto"/>
              <w:rPr>
                <w:rFonts w:eastAsia="Times New Roman" w:cstheme="minorHAnsi"/>
                <w:color w:val="000000"/>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14:paraId="3E7B76EA" w14:textId="77777777" w:rsidR="00FC4EB8" w:rsidRPr="00864CD6" w:rsidRDefault="00FC4EB8" w:rsidP="00FF5F1E">
            <w:pPr>
              <w:spacing w:after="0" w:line="240" w:lineRule="auto"/>
              <w:rPr>
                <w:rFonts w:eastAsia="Times New Roman" w:cstheme="minorHAnsi"/>
                <w:color w:val="000000"/>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14:paraId="218DB1D9" w14:textId="77777777" w:rsidR="00FC4EB8" w:rsidRPr="00864CD6" w:rsidRDefault="00FC4EB8" w:rsidP="00FF5F1E">
            <w:pPr>
              <w:spacing w:after="0" w:line="240" w:lineRule="auto"/>
              <w:rPr>
                <w:rFonts w:eastAsia="Times New Roman" w:cstheme="minorHAnsi"/>
                <w:color w:val="000000"/>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14:paraId="53EC8635" w14:textId="77777777" w:rsidR="00FC4EB8" w:rsidRPr="00864CD6" w:rsidRDefault="00FC4EB8" w:rsidP="00FF5F1E">
            <w:pPr>
              <w:spacing w:after="0" w:line="240" w:lineRule="auto"/>
              <w:rPr>
                <w:rFonts w:eastAsia="Times New Roman" w:cstheme="minorHAnsi"/>
                <w:color w:val="000000"/>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14:paraId="33E577D2" w14:textId="77777777" w:rsidR="00FC4EB8" w:rsidRPr="00864CD6" w:rsidRDefault="00FC4EB8" w:rsidP="00FF5F1E">
            <w:pPr>
              <w:spacing w:after="0" w:line="240" w:lineRule="auto"/>
              <w:rPr>
                <w:rFonts w:eastAsia="Times New Roman" w:cstheme="minorHAnsi"/>
                <w:color w:val="000000"/>
                <w:sz w:val="16"/>
                <w:szCs w:val="16"/>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328198" w14:textId="77777777" w:rsidR="00FC4EB8" w:rsidRPr="00864CD6" w:rsidRDefault="00FC4EB8" w:rsidP="00FF5F1E">
            <w:pPr>
              <w:spacing w:after="0" w:line="240" w:lineRule="auto"/>
              <w:rPr>
                <w:rFonts w:eastAsia="Times New Roman" w:cstheme="minorHAnsi"/>
                <w:color w:val="000000"/>
                <w:sz w:val="16"/>
                <w:szCs w:val="16"/>
                <w:lang w:val="en-US"/>
              </w:rPr>
            </w:pPr>
          </w:p>
        </w:tc>
      </w:tr>
      <w:tr w:rsidR="00FC4EB8" w:rsidRPr="00864CD6" w14:paraId="225F756A" w14:textId="77777777" w:rsidTr="00FF5F1E">
        <w:trPr>
          <w:trHeight w:val="5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6FA059F"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BA = GL1</w:t>
            </w:r>
          </w:p>
        </w:tc>
        <w:tc>
          <w:tcPr>
            <w:tcW w:w="0" w:type="auto"/>
            <w:tcBorders>
              <w:top w:val="nil"/>
              <w:left w:val="nil"/>
              <w:bottom w:val="single" w:sz="4" w:space="0" w:color="auto"/>
              <w:right w:val="single" w:sz="4" w:space="0" w:color="auto"/>
            </w:tcBorders>
            <w:shd w:val="clear" w:color="auto" w:fill="auto"/>
            <w:noWrap/>
            <w:vAlign w:val="center"/>
            <w:hideMark/>
          </w:tcPr>
          <w:p w14:paraId="50B68618"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EA</w:t>
            </w:r>
          </w:p>
        </w:tc>
        <w:tc>
          <w:tcPr>
            <w:tcW w:w="0" w:type="auto"/>
            <w:tcBorders>
              <w:top w:val="nil"/>
              <w:left w:val="nil"/>
              <w:bottom w:val="single" w:sz="4" w:space="0" w:color="auto"/>
              <w:right w:val="single" w:sz="4" w:space="0" w:color="auto"/>
            </w:tcBorders>
            <w:shd w:val="clear" w:color="auto" w:fill="auto"/>
            <w:noWrap/>
            <w:vAlign w:val="center"/>
            <w:hideMark/>
          </w:tcPr>
          <w:p w14:paraId="05431EB0"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CC</w:t>
            </w:r>
          </w:p>
        </w:tc>
        <w:tc>
          <w:tcPr>
            <w:tcW w:w="0" w:type="auto"/>
            <w:tcBorders>
              <w:top w:val="nil"/>
              <w:left w:val="nil"/>
              <w:bottom w:val="single" w:sz="4" w:space="0" w:color="auto"/>
              <w:right w:val="single" w:sz="4" w:space="0" w:color="auto"/>
            </w:tcBorders>
            <w:shd w:val="clear" w:color="auto" w:fill="auto"/>
            <w:noWrap/>
            <w:vAlign w:val="center"/>
            <w:hideMark/>
          </w:tcPr>
          <w:p w14:paraId="7AFD02DA"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CG</w:t>
            </w:r>
          </w:p>
        </w:tc>
        <w:tc>
          <w:tcPr>
            <w:tcW w:w="0" w:type="auto"/>
            <w:tcBorders>
              <w:top w:val="nil"/>
              <w:left w:val="nil"/>
              <w:bottom w:val="single" w:sz="4" w:space="0" w:color="auto"/>
              <w:right w:val="single" w:sz="4" w:space="0" w:color="auto"/>
            </w:tcBorders>
            <w:shd w:val="clear" w:color="auto" w:fill="auto"/>
            <w:noWrap/>
            <w:vAlign w:val="center"/>
            <w:hideMark/>
          </w:tcPr>
          <w:p w14:paraId="576358E2"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SSF</w:t>
            </w:r>
          </w:p>
        </w:tc>
        <w:tc>
          <w:tcPr>
            <w:tcW w:w="0" w:type="auto"/>
            <w:tcBorders>
              <w:top w:val="nil"/>
              <w:left w:val="nil"/>
              <w:bottom w:val="single" w:sz="4" w:space="0" w:color="auto"/>
              <w:right w:val="single" w:sz="4" w:space="0" w:color="auto"/>
            </w:tcBorders>
            <w:shd w:val="clear" w:color="auto" w:fill="auto"/>
            <w:noWrap/>
            <w:vAlign w:val="center"/>
            <w:hideMark/>
          </w:tcPr>
          <w:p w14:paraId="1955C154"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SG</w:t>
            </w:r>
          </w:p>
        </w:tc>
        <w:tc>
          <w:tcPr>
            <w:tcW w:w="0" w:type="auto"/>
            <w:tcBorders>
              <w:top w:val="nil"/>
              <w:left w:val="nil"/>
              <w:bottom w:val="single" w:sz="4" w:space="0" w:color="auto"/>
              <w:right w:val="single" w:sz="4" w:space="0" w:color="auto"/>
            </w:tcBorders>
            <w:shd w:val="clear" w:color="auto" w:fill="auto"/>
            <w:noWrap/>
            <w:vAlign w:val="center"/>
            <w:hideMark/>
          </w:tcPr>
          <w:p w14:paraId="09E66439"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LG</w:t>
            </w:r>
          </w:p>
        </w:tc>
        <w:tc>
          <w:tcPr>
            <w:tcW w:w="0" w:type="auto"/>
            <w:tcBorders>
              <w:top w:val="nil"/>
              <w:left w:val="nil"/>
              <w:bottom w:val="single" w:sz="4" w:space="0" w:color="auto"/>
              <w:right w:val="single" w:sz="4" w:space="0" w:color="auto"/>
            </w:tcBorders>
            <w:shd w:val="clear" w:color="auto" w:fill="auto"/>
            <w:noWrap/>
            <w:vAlign w:val="center"/>
            <w:hideMark/>
          </w:tcPr>
          <w:p w14:paraId="669F94BA"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CT</w:t>
            </w:r>
          </w:p>
        </w:tc>
        <w:tc>
          <w:tcPr>
            <w:tcW w:w="0" w:type="auto"/>
            <w:tcBorders>
              <w:top w:val="nil"/>
              <w:left w:val="nil"/>
              <w:bottom w:val="single" w:sz="4" w:space="0" w:color="auto"/>
              <w:right w:val="single" w:sz="4" w:space="0" w:color="auto"/>
            </w:tcBorders>
            <w:shd w:val="clear" w:color="auto" w:fill="auto"/>
            <w:noWrap/>
            <w:vAlign w:val="center"/>
            <w:hideMark/>
          </w:tcPr>
          <w:p w14:paraId="1319A25A"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GG = GL3</w:t>
            </w:r>
          </w:p>
        </w:tc>
        <w:tc>
          <w:tcPr>
            <w:tcW w:w="0" w:type="auto"/>
            <w:tcBorders>
              <w:top w:val="nil"/>
              <w:left w:val="nil"/>
              <w:bottom w:val="single" w:sz="4" w:space="0" w:color="auto"/>
              <w:right w:val="single" w:sz="4" w:space="0" w:color="auto"/>
            </w:tcBorders>
            <w:shd w:val="clear" w:color="auto" w:fill="auto"/>
            <w:noWrap/>
            <w:vAlign w:val="center"/>
            <w:hideMark/>
          </w:tcPr>
          <w:p w14:paraId="5976170F" w14:textId="77777777" w:rsidR="00FC4EB8" w:rsidRPr="00864CD6" w:rsidRDefault="00FC4EB8" w:rsidP="00FF5F1E">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GL2</w:t>
            </w:r>
          </w:p>
        </w:tc>
      </w:tr>
    </w:tbl>
    <w:p w14:paraId="02109A03" w14:textId="77777777" w:rsidR="006D1551" w:rsidRPr="00A96255" w:rsidRDefault="006D1551" w:rsidP="006D1551">
      <w:pPr>
        <w:pStyle w:val="MText"/>
      </w:pPr>
    </w:p>
    <w:p w14:paraId="79EEEE38" w14:textId="75AB172D" w:rsidR="00E1050F" w:rsidRPr="00A96255" w:rsidRDefault="00E1050F" w:rsidP="00F719A8">
      <w:pPr>
        <w:pStyle w:val="MHeader2"/>
      </w:pPr>
      <w:bookmarkStart w:id="5" w:name="_Hlk124181521"/>
      <w:bookmarkStart w:id="6" w:name="_Hlk124181619"/>
      <w:r w:rsidRPr="00A96255">
        <w:t xml:space="preserve">4.c. Method of computation </w:t>
      </w:r>
      <w:r>
        <w:rPr>
          <w:color w:val="B4B4B4"/>
          <w:sz w:val="20"/>
        </w:rPr>
        <w:t>(DATA_COMP)</w:t>
      </w:r>
    </w:p>
    <w:p w14:paraId="4569DA62" w14:textId="632554AA" w:rsidR="006D1551"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r w:rsidRPr="0010086A">
        <w:rPr>
          <w:rFonts w:asciiTheme="minorHAnsi" w:hAnsiTheme="minorHAnsi"/>
          <w:color w:val="4A4A4A"/>
          <w:sz w:val="21"/>
          <w:szCs w:val="21"/>
        </w:rPr>
        <w:t>Total government expenditure</w:t>
      </w:r>
      <w:r w:rsidR="001828E0">
        <w:rPr>
          <w:rFonts w:asciiTheme="minorHAnsi" w:hAnsiTheme="minorHAnsi"/>
          <w:color w:val="4A4A4A"/>
          <w:sz w:val="21"/>
          <w:szCs w:val="21"/>
        </w:rPr>
        <w:t xml:space="preserve"> </w:t>
      </w:r>
      <w:r w:rsidR="00763EAD">
        <w:rPr>
          <w:rFonts w:asciiTheme="minorHAnsi" w:hAnsiTheme="minorHAnsi"/>
          <w:color w:val="4A4A4A"/>
          <w:sz w:val="21"/>
          <w:szCs w:val="21"/>
        </w:rPr>
        <w:t>on</w:t>
      </w:r>
      <w:r w:rsidR="001828E0">
        <w:rPr>
          <w:rFonts w:asciiTheme="minorHAnsi" w:hAnsiTheme="minorHAnsi"/>
          <w:color w:val="4A4A4A"/>
          <w:sz w:val="21"/>
          <w:szCs w:val="21"/>
        </w:rPr>
        <w:t xml:space="preserve"> </w:t>
      </w:r>
      <w:r w:rsidR="006601A9" w:rsidRPr="006601A9">
        <w:rPr>
          <w:rFonts w:asciiTheme="minorHAnsi" w:hAnsiTheme="minorHAnsi"/>
          <w:color w:val="4A4A4A"/>
          <w:sz w:val="21"/>
          <w:szCs w:val="21"/>
        </w:rPr>
        <w:t xml:space="preserve">essential services (education, </w:t>
      </w:r>
      <w:proofErr w:type="gramStart"/>
      <w:r w:rsidR="006601A9" w:rsidRPr="006601A9">
        <w:rPr>
          <w:rFonts w:asciiTheme="minorHAnsi" w:hAnsiTheme="minorHAnsi"/>
          <w:color w:val="4A4A4A"/>
          <w:sz w:val="21"/>
          <w:szCs w:val="21"/>
        </w:rPr>
        <w:t>health</w:t>
      </w:r>
      <w:proofErr w:type="gramEnd"/>
      <w:r w:rsidR="006601A9" w:rsidRPr="006601A9">
        <w:rPr>
          <w:rFonts w:asciiTheme="minorHAnsi" w:hAnsiTheme="minorHAnsi"/>
          <w:color w:val="4A4A4A"/>
          <w:sz w:val="21"/>
          <w:szCs w:val="21"/>
        </w:rPr>
        <w:t xml:space="preserve"> and social protection) </w:t>
      </w:r>
      <w:r>
        <w:rPr>
          <w:rFonts w:asciiTheme="minorHAnsi" w:hAnsiTheme="minorHAnsi"/>
          <w:color w:val="4A4A4A"/>
          <w:sz w:val="21"/>
          <w:szCs w:val="21"/>
        </w:rPr>
        <w:t xml:space="preserve">is </w:t>
      </w:r>
      <w:r w:rsidRPr="0010086A">
        <w:rPr>
          <w:rFonts w:asciiTheme="minorHAnsi" w:hAnsiTheme="minorHAnsi"/>
          <w:color w:val="4A4A4A"/>
          <w:sz w:val="21"/>
          <w:szCs w:val="21"/>
        </w:rPr>
        <w:t>expressed as a percentage of total government expenditure</w:t>
      </w:r>
      <w:r w:rsidR="006601A9">
        <w:rPr>
          <w:rFonts w:asciiTheme="minorHAnsi" w:hAnsiTheme="minorHAnsi"/>
          <w:color w:val="4A4A4A"/>
          <w:sz w:val="21"/>
          <w:szCs w:val="21"/>
        </w:rPr>
        <w:t xml:space="preserve"> according to COFOG data (see 2.a)</w:t>
      </w:r>
      <w:r w:rsidRPr="0010086A">
        <w:rPr>
          <w:rFonts w:asciiTheme="minorHAnsi" w:hAnsiTheme="minorHAnsi"/>
          <w:color w:val="4A4A4A"/>
          <w:sz w:val="21"/>
          <w:szCs w:val="21"/>
        </w:rPr>
        <w:t>.</w:t>
      </w:r>
    </w:p>
    <w:bookmarkEnd w:id="5"/>
    <w:p w14:paraId="08EBBC0B" w14:textId="77777777" w:rsidR="006D1551" w:rsidRPr="003E4F8D"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p>
    <w:p w14:paraId="5699AEB0" w14:textId="5E2F4901" w:rsidR="006D1551" w:rsidRPr="003E4F8D" w:rsidRDefault="00000000" w:rsidP="006D1551">
      <w:pPr>
        <w:pStyle w:val="form-control-static"/>
        <w:shd w:val="clear" w:color="auto" w:fill="FFFFFF"/>
        <w:spacing w:before="0" w:beforeAutospacing="0" w:after="0" w:afterAutospacing="0"/>
        <w:rPr>
          <w:rFonts w:asciiTheme="minorHAnsi" w:hAnsiTheme="minorHAnsi"/>
          <w:color w:val="4A4A4A"/>
          <w:sz w:val="21"/>
          <w:szCs w:val="21"/>
        </w:rPr>
      </w:pPr>
      <m:oMathPara>
        <m:oMath>
          <m:sSub>
            <m:sSubPr>
              <m:ctrlPr>
                <w:rPr>
                  <w:rFonts w:ascii="Cambria Math" w:hAnsi="Cambria Math" w:cs="Cambria Math"/>
                  <w:i/>
                  <w:color w:val="4A4A4A"/>
                  <w:sz w:val="21"/>
                  <w:szCs w:val="21"/>
                </w:rPr>
              </m:ctrlPr>
            </m:sSubPr>
            <m:e>
              <m:r>
                <w:rPr>
                  <w:rFonts w:ascii="Cambria Math" w:hAnsi="Cambria Math" w:cs="Cambria Math"/>
                  <w:color w:val="4A4A4A"/>
                  <w:sz w:val="21"/>
                  <w:szCs w:val="21"/>
                </w:rPr>
                <m:t>PE</m:t>
              </m:r>
            </m:e>
            <m:sub>
              <m:r>
                <w:rPr>
                  <w:rFonts w:ascii="Cambria Math" w:hAnsi="Cambria Math" w:cs="Cambria Math"/>
                  <w:color w:val="4A4A4A"/>
                  <w:sz w:val="21"/>
                  <w:szCs w:val="21"/>
                </w:rPr>
                <m:t>t</m:t>
              </m:r>
            </m:sub>
          </m:sSub>
          <m:r>
            <m:rPr>
              <m:sty m:val="p"/>
            </m:rPr>
            <w:rPr>
              <w:rFonts w:ascii="Cambria Math" w:hAnsi="Cambria Math" w:cs="Cambria Math"/>
              <w:color w:val="4A4A4A"/>
              <w:sz w:val="21"/>
              <w:szCs w:val="21"/>
            </w:rPr>
            <m:t>=</m:t>
          </m:r>
          <m:f>
            <m:fPr>
              <m:ctrlPr>
                <w:rPr>
                  <w:rFonts w:ascii="Cambria Math" w:hAnsi="Cambria Math"/>
                  <w:color w:val="4A4A4A"/>
                  <w:sz w:val="21"/>
                  <w:szCs w:val="21"/>
                </w:rPr>
              </m:ctrlPr>
            </m:fPr>
            <m:num>
              <m:r>
                <w:rPr>
                  <w:rFonts w:ascii="Cambria Math" w:hAnsi="Cambria Math"/>
                  <w:color w:val="4A4A4A"/>
                  <w:sz w:val="21"/>
                  <w:szCs w:val="21"/>
                </w:rPr>
                <m:t>(T</m:t>
              </m:r>
              <m:sSub>
                <m:sSubPr>
                  <m:ctrlPr>
                    <w:rPr>
                      <w:rFonts w:ascii="Cambria Math" w:hAnsi="Cambria Math" w:cs="Cambria Math"/>
                      <w:i/>
                      <w:color w:val="4A4A4A"/>
                      <w:sz w:val="21"/>
                      <w:szCs w:val="21"/>
                    </w:rPr>
                  </m:ctrlPr>
                </m:sSubPr>
                <m:e>
                  <m:r>
                    <w:rPr>
                      <w:rFonts w:ascii="Cambria Math" w:hAnsi="Cambria Math" w:cs="Cambria Math"/>
                      <w:color w:val="4A4A4A"/>
                      <w:sz w:val="21"/>
                      <w:szCs w:val="21"/>
                    </w:rPr>
                    <m:t>E</m:t>
                  </m:r>
                </m:e>
                <m:sub>
                  <m:r>
                    <w:rPr>
                      <w:rFonts w:ascii="Cambria Math" w:hAnsi="Cambria Math" w:cs="Cambria Math"/>
                      <w:color w:val="4A4A4A"/>
                      <w:sz w:val="21"/>
                      <w:szCs w:val="21"/>
                    </w:rPr>
                    <m:t xml:space="preserve">t </m:t>
                  </m:r>
                </m:sub>
              </m:sSub>
              <m:r>
                <w:rPr>
                  <w:rFonts w:ascii="Cambria Math" w:hAnsi="Cambria Math" w:cs="Cambria Math"/>
                  <w:color w:val="4A4A4A"/>
                  <w:sz w:val="21"/>
                  <w:szCs w:val="21"/>
                </w:rPr>
                <m:t xml:space="preserve">+ </m:t>
              </m:r>
              <m:r>
                <w:rPr>
                  <w:rFonts w:ascii="Cambria Math" w:hAnsi="Cambria Math"/>
                  <w:color w:val="4A4A4A"/>
                  <w:sz w:val="21"/>
                  <w:szCs w:val="21"/>
                </w:rPr>
                <m:t>T</m:t>
              </m:r>
              <m:sSub>
                <m:sSubPr>
                  <m:ctrlPr>
                    <w:rPr>
                      <w:rFonts w:ascii="Cambria Math" w:hAnsi="Cambria Math" w:cs="Cambria Math"/>
                      <w:i/>
                      <w:color w:val="4A4A4A"/>
                      <w:sz w:val="21"/>
                      <w:szCs w:val="21"/>
                    </w:rPr>
                  </m:ctrlPr>
                </m:sSubPr>
                <m:e>
                  <m:r>
                    <w:rPr>
                      <w:rFonts w:ascii="Cambria Math" w:hAnsi="Cambria Math" w:cs="Cambria Math"/>
                      <w:color w:val="4A4A4A"/>
                      <w:sz w:val="21"/>
                      <w:szCs w:val="21"/>
                    </w:rPr>
                    <m:t>H</m:t>
                  </m:r>
                </m:e>
                <m:sub>
                  <m:r>
                    <w:rPr>
                      <w:rFonts w:ascii="Cambria Math" w:hAnsi="Cambria Math" w:cs="Cambria Math"/>
                      <w:color w:val="4A4A4A"/>
                      <w:sz w:val="21"/>
                      <w:szCs w:val="21"/>
                    </w:rPr>
                    <m:t xml:space="preserve">t </m:t>
                  </m:r>
                </m:sub>
              </m:sSub>
              <m:r>
                <w:rPr>
                  <w:rFonts w:ascii="Cambria Math" w:hAnsi="Cambria Math" w:cs="Cambria Math"/>
                  <w:color w:val="4A4A4A"/>
                  <w:sz w:val="21"/>
                  <w:szCs w:val="21"/>
                </w:rPr>
                <m:t>+</m:t>
              </m:r>
              <m:r>
                <w:rPr>
                  <w:rFonts w:ascii="Cambria Math" w:hAnsi="Cambria Math"/>
                  <w:color w:val="4A4A4A"/>
                  <w:sz w:val="21"/>
                  <w:szCs w:val="21"/>
                </w:rPr>
                <m:t>T</m:t>
              </m:r>
              <m:sSub>
                <m:sSubPr>
                  <m:ctrlPr>
                    <w:rPr>
                      <w:rFonts w:ascii="Cambria Math" w:hAnsi="Cambria Math" w:cs="Cambria Math"/>
                      <w:i/>
                      <w:color w:val="4A4A4A"/>
                      <w:sz w:val="21"/>
                      <w:szCs w:val="21"/>
                    </w:rPr>
                  </m:ctrlPr>
                </m:sSubPr>
                <m:e>
                  <m:r>
                    <w:rPr>
                      <w:rFonts w:ascii="Cambria Math" w:hAnsi="Cambria Math" w:cs="Cambria Math"/>
                      <w:color w:val="4A4A4A"/>
                      <w:sz w:val="21"/>
                      <w:szCs w:val="21"/>
                    </w:rPr>
                    <m:t>S</m:t>
                  </m:r>
                </m:e>
                <m:sub>
                  <m:r>
                    <w:rPr>
                      <w:rFonts w:ascii="Cambria Math" w:hAnsi="Cambria Math" w:cs="Cambria Math"/>
                      <w:color w:val="4A4A4A"/>
                      <w:sz w:val="21"/>
                      <w:szCs w:val="21"/>
                    </w:rPr>
                    <m:t xml:space="preserve">t </m:t>
                  </m:r>
                </m:sub>
              </m:sSub>
              <m:r>
                <w:rPr>
                  <w:rFonts w:ascii="Cambria Math" w:hAnsi="Cambria Math" w:cs="Cambria Math"/>
                  <w:color w:val="4A4A4A"/>
                  <w:sz w:val="21"/>
                  <w:szCs w:val="21"/>
                </w:rPr>
                <m:t>)</m:t>
              </m:r>
            </m:num>
            <m:den>
              <m:sSub>
                <m:sSubPr>
                  <m:ctrlPr>
                    <w:rPr>
                      <w:rFonts w:ascii="Cambria Math" w:hAnsi="Cambria Math" w:cs="Cambria Math"/>
                      <w:i/>
                      <w:color w:val="4A4A4A"/>
                      <w:sz w:val="21"/>
                      <w:szCs w:val="21"/>
                    </w:rPr>
                  </m:ctrlPr>
                </m:sSubPr>
                <m:e>
                  <m:r>
                    <w:rPr>
                      <w:rFonts w:ascii="Cambria Math" w:hAnsi="Cambria Math" w:cs="Cambria Math"/>
                      <w:color w:val="4A4A4A"/>
                      <w:sz w:val="21"/>
                      <w:szCs w:val="21"/>
                    </w:rPr>
                    <m:t>TG</m:t>
                  </m:r>
                </m:e>
                <m:sub>
                  <m:r>
                    <w:rPr>
                      <w:rFonts w:ascii="Cambria Math" w:hAnsi="Cambria Math" w:cs="Cambria Math"/>
                      <w:color w:val="4A4A4A"/>
                      <w:sz w:val="21"/>
                      <w:szCs w:val="21"/>
                    </w:rPr>
                    <m:t>t</m:t>
                  </m:r>
                </m:sub>
              </m:sSub>
            </m:den>
          </m:f>
        </m:oMath>
      </m:oMathPara>
    </w:p>
    <w:p w14:paraId="60CF74B8" w14:textId="77777777" w:rsidR="006D1551" w:rsidRPr="003E4F8D"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p>
    <w:p w14:paraId="11BDAE6F" w14:textId="0C1C9972" w:rsidR="006D1551" w:rsidRDefault="00000000" w:rsidP="006D1551">
      <w:pPr>
        <w:rPr>
          <w:rFonts w:eastAsia="Open Sans" w:cstheme="minorHAnsi"/>
          <w:i/>
          <w:color w:val="4A4A4A"/>
          <w:sz w:val="21"/>
          <w:szCs w:val="21"/>
          <w:lang w:val="en"/>
        </w:rPr>
      </w:pPr>
      <m:oMath>
        <m:sSub>
          <m:sSubPr>
            <m:ctrlPr>
              <w:rPr>
                <w:rFonts w:ascii="Cambria Math" w:hAnsi="Cambria Math" w:cstheme="minorHAnsi"/>
                <w:i/>
                <w:color w:val="4A4A4A"/>
                <w:sz w:val="21"/>
                <w:szCs w:val="21"/>
              </w:rPr>
            </m:ctrlPr>
          </m:sSubPr>
          <m:e>
            <m:r>
              <w:rPr>
                <w:rFonts w:ascii="Cambria Math" w:hAnsi="Cambria Math" w:cstheme="minorHAnsi"/>
                <w:color w:val="4A4A4A"/>
                <w:sz w:val="21"/>
                <w:szCs w:val="21"/>
              </w:rPr>
              <m:t>PE</m:t>
            </m:r>
          </m:e>
          <m:sub>
            <m:r>
              <w:rPr>
                <w:rFonts w:ascii="Cambria Math" w:hAnsi="Cambria Math" w:cstheme="minorHAnsi"/>
                <w:color w:val="4A4A4A"/>
                <w:sz w:val="21"/>
                <w:szCs w:val="21"/>
              </w:rPr>
              <m:t>t</m:t>
            </m:r>
          </m:sub>
        </m:sSub>
      </m:oMath>
      <w:r w:rsidR="006D1551" w:rsidRPr="003E4F8D">
        <w:rPr>
          <w:rFonts w:eastAsia="Open Sans" w:cstheme="minorHAnsi"/>
          <w:color w:val="4A4A4A"/>
          <w:sz w:val="21"/>
          <w:szCs w:val="21"/>
          <w:lang w:val="en"/>
        </w:rPr>
        <w:t xml:space="preserve"> = </w:t>
      </w:r>
      <w:r w:rsidR="00763EAD">
        <w:rPr>
          <w:rFonts w:eastAsia="Open Sans" w:cstheme="minorHAnsi"/>
          <w:color w:val="4A4A4A"/>
          <w:sz w:val="21"/>
          <w:szCs w:val="21"/>
          <w:lang w:val="en"/>
        </w:rPr>
        <w:t xml:space="preserve">government </w:t>
      </w:r>
      <w:r w:rsidR="006D1551" w:rsidRPr="003E4F8D">
        <w:rPr>
          <w:rFonts w:eastAsia="Open Sans" w:cstheme="minorHAnsi"/>
          <w:color w:val="4A4A4A"/>
          <w:sz w:val="21"/>
          <w:szCs w:val="21"/>
          <w:lang w:val="en"/>
        </w:rPr>
        <w:t xml:space="preserve">expenditure on </w:t>
      </w:r>
      <w:r w:rsidR="00206BCA" w:rsidRPr="006601A9">
        <w:rPr>
          <w:color w:val="4A4A4A"/>
          <w:sz w:val="21"/>
          <w:szCs w:val="21"/>
        </w:rPr>
        <w:t xml:space="preserve">essential services (education, </w:t>
      </w:r>
      <w:proofErr w:type="gramStart"/>
      <w:r w:rsidR="00206BCA" w:rsidRPr="006601A9">
        <w:rPr>
          <w:color w:val="4A4A4A"/>
          <w:sz w:val="21"/>
          <w:szCs w:val="21"/>
        </w:rPr>
        <w:t>health</w:t>
      </w:r>
      <w:proofErr w:type="gramEnd"/>
      <w:r w:rsidR="00206BCA" w:rsidRPr="006601A9">
        <w:rPr>
          <w:color w:val="4A4A4A"/>
          <w:sz w:val="21"/>
          <w:szCs w:val="21"/>
        </w:rPr>
        <w:t xml:space="preserve"> and social protection)</w:t>
      </w:r>
      <w:r w:rsidR="006D1551" w:rsidRPr="003E4F8D">
        <w:rPr>
          <w:rFonts w:eastAsia="Open Sans" w:cstheme="minorHAnsi"/>
          <w:color w:val="4A4A4A"/>
          <w:sz w:val="21"/>
          <w:szCs w:val="21"/>
          <w:lang w:val="en"/>
        </w:rPr>
        <w:t xml:space="preserve"> as a percentage of total government expenditure in</w:t>
      </w:r>
      <w:r w:rsidR="00C71960">
        <w:rPr>
          <w:rFonts w:eastAsia="Open Sans" w:cstheme="minorHAnsi"/>
          <w:color w:val="4A4A4A"/>
          <w:sz w:val="21"/>
          <w:szCs w:val="21"/>
          <w:lang w:val="en"/>
        </w:rPr>
        <w:t xml:space="preserve"> fiscal </w:t>
      </w:r>
      <w:r w:rsidR="006D1551" w:rsidRPr="003E4F8D">
        <w:rPr>
          <w:rFonts w:eastAsia="Open Sans" w:cstheme="minorHAnsi"/>
          <w:color w:val="4A4A4A"/>
          <w:sz w:val="21"/>
          <w:szCs w:val="21"/>
          <w:lang w:val="en"/>
        </w:rPr>
        <w:t xml:space="preserve">year </w:t>
      </w:r>
      <w:r w:rsidR="006D1551" w:rsidRPr="003E4F8D">
        <w:rPr>
          <w:rFonts w:eastAsia="Open Sans" w:cstheme="minorHAnsi"/>
          <w:i/>
          <w:color w:val="4A4A4A"/>
          <w:sz w:val="21"/>
          <w:szCs w:val="21"/>
          <w:lang w:val="en"/>
        </w:rPr>
        <w:t>t</w:t>
      </w:r>
    </w:p>
    <w:p w14:paraId="278CC054" w14:textId="2A2DDDD1" w:rsidR="00EB3E3A" w:rsidRPr="003E4F8D" w:rsidRDefault="00000000" w:rsidP="00EB3E3A">
      <w:pPr>
        <w:rPr>
          <w:rFonts w:eastAsia="Open Sans" w:cstheme="minorHAnsi"/>
          <w:i/>
          <w:color w:val="4A4A4A"/>
          <w:sz w:val="21"/>
          <w:szCs w:val="21"/>
          <w:lang w:val="en"/>
        </w:rPr>
      </w:pPr>
      <m:oMath>
        <m:sSub>
          <m:sSubPr>
            <m:ctrlPr>
              <w:rPr>
                <w:rFonts w:ascii="Cambria Math" w:hAnsi="Cambria Math" w:cstheme="minorHAnsi"/>
                <w:i/>
                <w:color w:val="4A4A4A"/>
                <w:sz w:val="21"/>
                <w:szCs w:val="21"/>
              </w:rPr>
            </m:ctrlPr>
          </m:sSubPr>
          <m:e>
            <m:r>
              <w:rPr>
                <w:rFonts w:ascii="Cambria Math" w:hAnsi="Cambria Math" w:cstheme="minorHAnsi"/>
                <w:color w:val="4A4A4A"/>
                <w:sz w:val="21"/>
                <w:szCs w:val="21"/>
              </w:rPr>
              <m:t>TE</m:t>
            </m:r>
          </m:e>
          <m:sub>
            <m:r>
              <w:rPr>
                <w:rFonts w:ascii="Cambria Math" w:hAnsi="Cambria Math" w:cstheme="minorHAnsi"/>
                <w:color w:val="4A4A4A"/>
                <w:sz w:val="21"/>
                <w:szCs w:val="21"/>
              </w:rPr>
              <m:t>t</m:t>
            </m:r>
          </m:sub>
        </m:sSub>
      </m:oMath>
      <w:r w:rsidR="00EB3E3A" w:rsidRPr="003E4F8D">
        <w:rPr>
          <w:rFonts w:eastAsia="Open Sans" w:cstheme="minorHAnsi"/>
          <w:color w:val="4A4A4A"/>
          <w:sz w:val="21"/>
          <w:szCs w:val="21"/>
          <w:lang w:val="en"/>
        </w:rPr>
        <w:t xml:space="preserve"> = total government expenditure on education in financial year </w:t>
      </w:r>
      <w:r w:rsidR="00EB3E3A" w:rsidRPr="003E4F8D">
        <w:rPr>
          <w:rFonts w:eastAsia="Open Sans" w:cstheme="minorHAnsi"/>
          <w:i/>
          <w:color w:val="4A4A4A"/>
          <w:sz w:val="21"/>
          <w:szCs w:val="21"/>
          <w:lang w:val="en"/>
        </w:rPr>
        <w:t>t</w:t>
      </w:r>
    </w:p>
    <w:p w14:paraId="5DBB2484" w14:textId="3CA36F85" w:rsidR="00EB3E3A" w:rsidRPr="003E4F8D" w:rsidRDefault="00000000" w:rsidP="00EB3E3A">
      <w:pPr>
        <w:rPr>
          <w:rFonts w:eastAsia="Open Sans" w:cstheme="minorHAnsi"/>
          <w:i/>
          <w:color w:val="4A4A4A"/>
          <w:sz w:val="21"/>
          <w:szCs w:val="21"/>
          <w:lang w:val="en"/>
        </w:rPr>
      </w:pPr>
      <m:oMath>
        <m:sSub>
          <m:sSubPr>
            <m:ctrlPr>
              <w:rPr>
                <w:rFonts w:ascii="Cambria Math" w:hAnsi="Cambria Math" w:cstheme="minorHAnsi"/>
                <w:i/>
                <w:color w:val="4A4A4A"/>
                <w:sz w:val="21"/>
                <w:szCs w:val="21"/>
              </w:rPr>
            </m:ctrlPr>
          </m:sSubPr>
          <m:e>
            <m:r>
              <w:rPr>
                <w:rFonts w:ascii="Cambria Math" w:hAnsi="Cambria Math" w:cstheme="minorHAnsi"/>
                <w:color w:val="4A4A4A"/>
                <w:sz w:val="21"/>
                <w:szCs w:val="21"/>
              </w:rPr>
              <m:t>TH</m:t>
            </m:r>
          </m:e>
          <m:sub>
            <m:r>
              <w:rPr>
                <w:rFonts w:ascii="Cambria Math" w:hAnsi="Cambria Math" w:cstheme="minorHAnsi"/>
                <w:color w:val="4A4A4A"/>
                <w:sz w:val="21"/>
                <w:szCs w:val="21"/>
              </w:rPr>
              <m:t>t</m:t>
            </m:r>
          </m:sub>
        </m:sSub>
      </m:oMath>
      <w:r w:rsidR="00EB3E3A" w:rsidRPr="003E4F8D">
        <w:rPr>
          <w:rFonts w:eastAsia="Open Sans" w:cstheme="minorHAnsi"/>
          <w:color w:val="4A4A4A"/>
          <w:sz w:val="21"/>
          <w:szCs w:val="21"/>
          <w:lang w:val="en"/>
        </w:rPr>
        <w:t xml:space="preserve"> = total government expenditure on </w:t>
      </w:r>
      <w:r w:rsidR="00EB3E3A">
        <w:rPr>
          <w:rFonts w:eastAsia="Open Sans" w:cstheme="minorHAnsi"/>
          <w:color w:val="4A4A4A"/>
          <w:sz w:val="21"/>
          <w:szCs w:val="21"/>
          <w:lang w:val="en"/>
        </w:rPr>
        <w:t>health</w:t>
      </w:r>
      <w:r w:rsidR="00EB3E3A" w:rsidRPr="003E4F8D">
        <w:rPr>
          <w:rFonts w:eastAsia="Open Sans" w:cstheme="minorHAnsi"/>
          <w:color w:val="4A4A4A"/>
          <w:sz w:val="21"/>
          <w:szCs w:val="21"/>
          <w:lang w:val="en"/>
        </w:rPr>
        <w:t xml:space="preserve"> in financial year </w:t>
      </w:r>
      <w:r w:rsidR="00EB3E3A" w:rsidRPr="003E4F8D">
        <w:rPr>
          <w:rFonts w:eastAsia="Open Sans" w:cstheme="minorHAnsi"/>
          <w:i/>
          <w:color w:val="4A4A4A"/>
          <w:sz w:val="21"/>
          <w:szCs w:val="21"/>
          <w:lang w:val="en"/>
        </w:rPr>
        <w:t>t</w:t>
      </w:r>
    </w:p>
    <w:p w14:paraId="6F74B929" w14:textId="64FA1DED" w:rsidR="00EB3E3A" w:rsidRPr="003E4F8D" w:rsidRDefault="00000000" w:rsidP="00EB3E3A">
      <w:pPr>
        <w:rPr>
          <w:rFonts w:eastAsia="Open Sans" w:cstheme="minorHAnsi"/>
          <w:i/>
          <w:color w:val="4A4A4A"/>
          <w:sz w:val="21"/>
          <w:szCs w:val="21"/>
          <w:lang w:val="en"/>
        </w:rPr>
      </w:pPr>
      <m:oMath>
        <m:sSub>
          <m:sSubPr>
            <m:ctrlPr>
              <w:rPr>
                <w:rFonts w:ascii="Cambria Math" w:hAnsi="Cambria Math" w:cstheme="minorHAnsi"/>
                <w:i/>
                <w:color w:val="4A4A4A"/>
                <w:sz w:val="21"/>
                <w:szCs w:val="21"/>
              </w:rPr>
            </m:ctrlPr>
          </m:sSubPr>
          <m:e>
            <m:r>
              <w:rPr>
                <w:rFonts w:ascii="Cambria Math" w:hAnsi="Cambria Math" w:cstheme="minorHAnsi"/>
                <w:color w:val="4A4A4A"/>
                <w:sz w:val="21"/>
                <w:szCs w:val="21"/>
              </w:rPr>
              <m:t>TS</m:t>
            </m:r>
          </m:e>
          <m:sub>
            <m:r>
              <w:rPr>
                <w:rFonts w:ascii="Cambria Math" w:hAnsi="Cambria Math" w:cstheme="minorHAnsi"/>
                <w:color w:val="4A4A4A"/>
                <w:sz w:val="21"/>
                <w:szCs w:val="21"/>
              </w:rPr>
              <m:t>t</m:t>
            </m:r>
          </m:sub>
        </m:sSub>
      </m:oMath>
      <w:r w:rsidR="00EB3E3A" w:rsidRPr="003E4F8D">
        <w:rPr>
          <w:rFonts w:eastAsia="Open Sans" w:cstheme="minorHAnsi"/>
          <w:color w:val="4A4A4A"/>
          <w:sz w:val="21"/>
          <w:szCs w:val="21"/>
          <w:lang w:val="en"/>
        </w:rPr>
        <w:t xml:space="preserve"> = total government expenditure on </w:t>
      </w:r>
      <w:r w:rsidR="00EB3E3A" w:rsidRPr="00E7014A">
        <w:rPr>
          <w:rFonts w:eastAsia="Open Sans" w:cstheme="minorHAnsi"/>
          <w:color w:val="4A4A4A"/>
          <w:sz w:val="21"/>
          <w:szCs w:val="21"/>
          <w:lang w:val="en"/>
        </w:rPr>
        <w:t>social protection</w:t>
      </w:r>
      <w:r w:rsidR="00EB3E3A" w:rsidRPr="003E4F8D">
        <w:rPr>
          <w:rFonts w:eastAsia="Open Sans" w:cstheme="minorHAnsi"/>
          <w:color w:val="4A4A4A"/>
          <w:sz w:val="21"/>
          <w:szCs w:val="21"/>
          <w:lang w:val="en"/>
        </w:rPr>
        <w:t xml:space="preserve"> in financial year </w:t>
      </w:r>
      <w:r w:rsidR="00EB3E3A" w:rsidRPr="003E4F8D">
        <w:rPr>
          <w:rFonts w:eastAsia="Open Sans" w:cstheme="minorHAnsi"/>
          <w:i/>
          <w:color w:val="4A4A4A"/>
          <w:sz w:val="21"/>
          <w:szCs w:val="21"/>
          <w:lang w:val="en"/>
        </w:rPr>
        <w:t>t</w:t>
      </w:r>
    </w:p>
    <w:p w14:paraId="6BF05899" w14:textId="77777777" w:rsidR="00EB3E3A" w:rsidRPr="003E4F8D" w:rsidRDefault="00000000" w:rsidP="00EB3E3A">
      <w:pPr>
        <w:rPr>
          <w:rFonts w:eastAsia="Open Sans" w:cstheme="minorHAnsi"/>
          <w:i/>
          <w:color w:val="4A4A4A"/>
          <w:sz w:val="21"/>
          <w:szCs w:val="21"/>
          <w:lang w:val="en"/>
        </w:rPr>
      </w:pPr>
      <m:oMath>
        <m:sSub>
          <m:sSubPr>
            <m:ctrlPr>
              <w:rPr>
                <w:rFonts w:ascii="Cambria Math" w:hAnsi="Cambria Math" w:cstheme="minorHAnsi"/>
                <w:i/>
                <w:color w:val="4A4A4A"/>
                <w:sz w:val="21"/>
                <w:szCs w:val="21"/>
              </w:rPr>
            </m:ctrlPr>
          </m:sSubPr>
          <m:e>
            <m:r>
              <w:rPr>
                <w:rFonts w:ascii="Cambria Math" w:hAnsi="Cambria Math" w:cstheme="minorHAnsi"/>
                <w:color w:val="4A4A4A"/>
                <w:sz w:val="21"/>
                <w:szCs w:val="21"/>
              </w:rPr>
              <m:t>TG</m:t>
            </m:r>
          </m:e>
          <m:sub>
            <m:r>
              <w:rPr>
                <w:rFonts w:ascii="Cambria Math" w:hAnsi="Cambria Math" w:cstheme="minorHAnsi"/>
                <w:color w:val="4A4A4A"/>
                <w:sz w:val="21"/>
                <w:szCs w:val="21"/>
              </w:rPr>
              <m:t>t</m:t>
            </m:r>
          </m:sub>
        </m:sSub>
      </m:oMath>
      <w:r w:rsidR="00EB3E3A" w:rsidRPr="003E4F8D">
        <w:rPr>
          <w:rFonts w:eastAsia="Open Sans" w:cstheme="minorHAnsi"/>
          <w:color w:val="4A4A4A"/>
          <w:sz w:val="21"/>
          <w:szCs w:val="21"/>
          <w:lang w:val="en"/>
        </w:rPr>
        <w:t xml:space="preserve"> = total government expenditure in financial year </w:t>
      </w:r>
      <w:r w:rsidR="00EB3E3A" w:rsidRPr="003E4F8D">
        <w:rPr>
          <w:rFonts w:eastAsia="Open Sans" w:cstheme="minorHAnsi"/>
          <w:i/>
          <w:color w:val="4A4A4A"/>
          <w:sz w:val="21"/>
          <w:szCs w:val="21"/>
          <w:lang w:val="en"/>
        </w:rPr>
        <w:t>t</w:t>
      </w:r>
    </w:p>
    <w:bookmarkEnd w:id="6"/>
    <w:p w14:paraId="10E3EE37" w14:textId="77777777" w:rsidR="00FC300F" w:rsidRPr="003E4F8D" w:rsidRDefault="00FC300F"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7FF173B" w14:textId="4641BA48" w:rsidR="002A7A1D" w:rsidRDefault="002A7A1D" w:rsidP="002A7A1D">
      <w:pPr>
        <w:pStyle w:val="form-control-static"/>
        <w:shd w:val="clear" w:color="auto" w:fill="FFFFFF"/>
        <w:spacing w:before="0" w:beforeAutospacing="0" w:after="0" w:afterAutospacing="0"/>
        <w:rPr>
          <w:rFonts w:asciiTheme="minorHAnsi" w:hAnsiTheme="minorHAnsi"/>
          <w:color w:val="4A4A4A"/>
          <w:sz w:val="21"/>
          <w:szCs w:val="21"/>
        </w:rPr>
      </w:pPr>
      <w:r w:rsidRPr="00EB0372">
        <w:rPr>
          <w:rFonts w:asciiTheme="minorHAnsi" w:hAnsiTheme="minorHAnsi"/>
          <w:color w:val="4A4A4A"/>
          <w:sz w:val="21"/>
          <w:szCs w:val="21"/>
        </w:rPr>
        <w:t>See 3.a</w:t>
      </w:r>
      <w:r>
        <w:rPr>
          <w:rFonts w:asciiTheme="minorHAnsi" w:hAnsiTheme="minorHAnsi"/>
          <w:color w:val="4A4A4A"/>
          <w:sz w:val="21"/>
          <w:szCs w:val="21"/>
        </w:rPr>
        <w:t xml:space="preserve"> and 4.c.</w:t>
      </w:r>
    </w:p>
    <w:p w14:paraId="49CB8337" w14:textId="195BDE66" w:rsidR="00EC2915" w:rsidRDefault="00EC2915"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1EEAD6A3" w:rsidR="00EC2915" w:rsidRDefault="003D7CB2" w:rsidP="00576CFA">
      <w:pPr>
        <w:pStyle w:val="MText"/>
      </w:pPr>
      <w:r>
        <w:t>N/A</w:t>
      </w:r>
      <w:r w:rsidR="004A397C">
        <w:t xml:space="preserve"> </w:t>
      </w:r>
    </w:p>
    <w:p w14:paraId="306E4A01" w14:textId="77777777" w:rsidR="00925125" w:rsidRPr="00A96255" w:rsidRDefault="00925125" w:rsidP="00576CFA">
      <w:pPr>
        <w:pStyle w:val="MText"/>
      </w:pPr>
    </w:p>
    <w:p w14:paraId="67043C18" w14:textId="62D86304" w:rsidR="00D51E7C" w:rsidRDefault="00576CFA" w:rsidP="006D1551">
      <w:pPr>
        <w:pStyle w:val="MHeader2"/>
      </w:pPr>
      <w:r w:rsidRPr="00A96255">
        <w:t xml:space="preserve">4.f. Treatment of missing values (i) at country level and (ii) at regional level </w:t>
      </w:r>
      <w:r>
        <w:rPr>
          <w:color w:val="B4B4B4"/>
          <w:sz w:val="20"/>
        </w:rPr>
        <w:t>(IMPUTATION)</w:t>
      </w:r>
    </w:p>
    <w:p w14:paraId="27033367" w14:textId="35AD8E84" w:rsidR="00EC2915" w:rsidRDefault="00525B0A" w:rsidP="00576CFA">
      <w:pPr>
        <w:pStyle w:val="MText"/>
      </w:pPr>
      <w:r w:rsidRPr="00CD5600">
        <w:t xml:space="preserve">The IMF plans to rely exclusively on officially reported data provided by the national authorities using the standard </w:t>
      </w:r>
      <w:r w:rsidR="00EA522F">
        <w:t>government finance statistics</w:t>
      </w:r>
      <w:r w:rsidR="00EA522F" w:rsidRPr="00CD5600">
        <w:t xml:space="preserve"> </w:t>
      </w:r>
      <w:r w:rsidR="00EA522F">
        <w:t>(</w:t>
      </w:r>
      <w:r w:rsidRPr="00CD5600">
        <w:t>GFS</w:t>
      </w:r>
      <w:r w:rsidR="00EA522F">
        <w:t>)</w:t>
      </w:r>
      <w:r w:rsidRPr="00CD5600">
        <w:t xml:space="preserve"> questionnaire based on </w:t>
      </w:r>
      <w:r>
        <w:t xml:space="preserve">the </w:t>
      </w:r>
      <w:r w:rsidRPr="00525B0A">
        <w:rPr>
          <w:i/>
          <w:iCs/>
        </w:rPr>
        <w:t>GFSM 2014</w:t>
      </w:r>
      <w:r w:rsidRPr="00CD5600">
        <w:t xml:space="preserve"> methodology. When country data are not available due to lack of reporting to the IMF Statistics Department, we plan to engage in outreach to the national authorities, in consultation with the respective IMF Area Departments and Offices of the Executive Director, as needed, to ensure that the key GFS series are reported. No country data estimates for missing values will be calculated by the IMF Statistics Department.</w:t>
      </w:r>
    </w:p>
    <w:p w14:paraId="65400501" w14:textId="77777777" w:rsidR="00525B0A" w:rsidRDefault="00525B0A"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CC9C30F" w14:textId="0CD65608" w:rsidR="007D312A" w:rsidRDefault="004A397C" w:rsidP="007D312A">
      <w:pPr>
        <w:pStyle w:val="MText"/>
      </w:pPr>
      <w:r>
        <w:t>R</w:t>
      </w:r>
      <w:r w:rsidR="00F21C41">
        <w:t>egional and global aggregates</w:t>
      </w:r>
      <w:r>
        <w:t xml:space="preserve"> are not available</w:t>
      </w:r>
      <w:r w:rsidR="007D312A">
        <w:t xml:space="preserve">. </w:t>
      </w:r>
    </w:p>
    <w:p w14:paraId="2D3D796F" w14:textId="77777777" w:rsidR="003E4F8D" w:rsidRPr="00A96255" w:rsidRDefault="003E4F8D"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5E5290E4" w14:textId="0F3BB8E2" w:rsidR="007D312A" w:rsidRDefault="00C72360" w:rsidP="007D312A">
      <w:pPr>
        <w:pStyle w:val="MText"/>
      </w:pPr>
      <w:r>
        <w:t xml:space="preserve">The framework for the data compilation is </w:t>
      </w:r>
      <w:r w:rsidR="008D1943">
        <w:t xml:space="preserve">based on the </w:t>
      </w:r>
      <w:r w:rsidR="008D1943" w:rsidRPr="00852AA9">
        <w:rPr>
          <w:i/>
          <w:iCs/>
        </w:rPr>
        <w:t>GFSM 2014</w:t>
      </w:r>
      <w:r w:rsidR="00E13D36">
        <w:t>.</w:t>
      </w:r>
    </w:p>
    <w:p w14:paraId="3BC8AE42" w14:textId="77777777" w:rsidR="00B978F2" w:rsidRDefault="00B978F2" w:rsidP="007D312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120137CB" w14:textId="4CA1A684" w:rsidR="007D312A" w:rsidRDefault="007D312A" w:rsidP="007D312A">
      <w:pPr>
        <w:pStyle w:val="MText"/>
      </w:pPr>
      <w:r w:rsidRPr="00413E37">
        <w:t>See 4.c.</w:t>
      </w:r>
      <w:r w:rsidRPr="00A96255">
        <w:t xml:space="preserve"> </w:t>
      </w:r>
    </w:p>
    <w:p w14:paraId="7100045A" w14:textId="77777777" w:rsidR="007D312A" w:rsidRDefault="007D312A" w:rsidP="007D312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28B3F3AC" w14:textId="5B46F8BE" w:rsidR="007D312A" w:rsidRPr="00A96255" w:rsidRDefault="007D312A" w:rsidP="007D312A">
      <w:pPr>
        <w:pStyle w:val="MText"/>
      </w:pPr>
      <w:r w:rsidRPr="00413E37">
        <w:t>See 4.c.</w:t>
      </w:r>
      <w:r w:rsidRPr="00A96255">
        <w:t xml:space="preserve"> </w:t>
      </w:r>
    </w:p>
    <w:p w14:paraId="03EF3244" w14:textId="77777777" w:rsidR="00EC2915" w:rsidRDefault="00EC2915" w:rsidP="00576CFA">
      <w:pPr>
        <w:pStyle w:val="MText"/>
      </w:pPr>
    </w:p>
    <w:p w14:paraId="34ADD322" w14:textId="1A21C057" w:rsidR="00E1050F" w:rsidRPr="00A96255" w:rsidRDefault="00576CFA" w:rsidP="00F719A8">
      <w:pPr>
        <w:pStyle w:val="MHeader2"/>
      </w:pPr>
      <w:r w:rsidRPr="00A96255">
        <w:lastRenderedPageBreak/>
        <w:t xml:space="preserve">4.k Quality assessment </w:t>
      </w:r>
      <w:r>
        <w:rPr>
          <w:color w:val="B4B4B4"/>
          <w:sz w:val="20"/>
        </w:rPr>
        <w:t>(QUALITY_ASSMNT)</w:t>
      </w:r>
    </w:p>
    <w:p w14:paraId="1A97D472" w14:textId="31CD32D4" w:rsidR="007D312A" w:rsidRPr="00A96255" w:rsidRDefault="00922A92" w:rsidP="007D312A">
      <w:pPr>
        <w:pStyle w:val="MText"/>
      </w:pPr>
      <w:r>
        <w:t xml:space="preserve"> </w:t>
      </w:r>
      <w:r w:rsidR="007D312A" w:rsidRPr="00413E37">
        <w:t>See 4.c.</w:t>
      </w:r>
      <w:r w:rsidR="007D312A" w:rsidRPr="00A96255">
        <w:t xml:space="preserve"> </w:t>
      </w:r>
    </w:p>
    <w:p w14:paraId="5B7C52CE" w14:textId="77777777" w:rsidR="00576CFA" w:rsidRDefault="00576CFA" w:rsidP="00576CFA">
      <w:pPr>
        <w:pStyle w:val="MText"/>
      </w:pPr>
    </w:p>
    <w:p w14:paraId="4CD8F3EF" w14:textId="5B57B0C0" w:rsidR="00F719A8" w:rsidRPr="006D1551" w:rsidRDefault="00576CFA" w:rsidP="006D1551">
      <w:pPr>
        <w:pStyle w:val="MHeader"/>
        <w:spacing w:after="100"/>
      </w:pPr>
      <w:r w:rsidRPr="00A96255">
        <w:t xml:space="preserve">5. Data availability and disaggregation </w:t>
      </w:r>
      <w:r>
        <w:rPr>
          <w:color w:val="B4B4B4"/>
          <w:sz w:val="20"/>
        </w:rPr>
        <w:t>(COVERAGE)</w:t>
      </w:r>
    </w:p>
    <w:p w14:paraId="464A8CCF" w14:textId="6200060B" w:rsidR="00576CFA" w:rsidRPr="00284485" w:rsidRDefault="00D51E7C" w:rsidP="00576CFA">
      <w:pPr>
        <w:pStyle w:val="MText"/>
        <w:rPr>
          <w:b/>
          <w:bCs/>
        </w:rPr>
      </w:pPr>
      <w:r w:rsidRPr="00284485">
        <w:rPr>
          <w:b/>
          <w:bCs/>
        </w:rPr>
        <w:t>Data availability:</w:t>
      </w:r>
    </w:p>
    <w:p w14:paraId="08198CC5" w14:textId="3ADE217E" w:rsidR="006D1551" w:rsidRDefault="006A6F8E" w:rsidP="006D1551">
      <w:pPr>
        <w:pStyle w:val="form-control-static"/>
        <w:keepNext/>
        <w:keepLines/>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A</w:t>
      </w:r>
      <w:r w:rsidR="00177ACC">
        <w:rPr>
          <w:rFonts w:asciiTheme="minorHAnsi" w:hAnsiTheme="minorHAnsi"/>
          <w:color w:val="4A4A4A"/>
          <w:sz w:val="21"/>
          <w:szCs w:val="21"/>
        </w:rPr>
        <w:t>pproximately 100</w:t>
      </w:r>
      <w:r w:rsidR="00297916">
        <w:rPr>
          <w:rFonts w:asciiTheme="minorHAnsi" w:hAnsiTheme="minorHAnsi"/>
          <w:color w:val="4A4A4A"/>
          <w:sz w:val="21"/>
          <w:szCs w:val="21"/>
        </w:rPr>
        <w:t xml:space="preserve"> countries</w:t>
      </w:r>
      <w:r w:rsidR="006D1551">
        <w:rPr>
          <w:rFonts w:asciiTheme="minorHAnsi" w:hAnsiTheme="minorHAnsi"/>
          <w:color w:val="4A4A4A"/>
          <w:sz w:val="21"/>
          <w:szCs w:val="21"/>
        </w:rPr>
        <w:t xml:space="preserve"> </w:t>
      </w:r>
      <w:r w:rsidR="00177ACC">
        <w:rPr>
          <w:rFonts w:asciiTheme="minorHAnsi" w:hAnsiTheme="minorHAnsi"/>
          <w:color w:val="4A4A4A"/>
          <w:sz w:val="21"/>
          <w:szCs w:val="21"/>
        </w:rPr>
        <w:t xml:space="preserve">(including approximately 20-30 countries with </w:t>
      </w:r>
      <w:r w:rsidR="0098267C">
        <w:rPr>
          <w:rFonts w:asciiTheme="minorHAnsi" w:hAnsiTheme="minorHAnsi"/>
          <w:color w:val="4A4A4A"/>
          <w:sz w:val="21"/>
          <w:szCs w:val="21"/>
        </w:rPr>
        <w:t xml:space="preserve">the narrower institutional coverage of </w:t>
      </w:r>
      <w:r w:rsidR="00177ACC">
        <w:rPr>
          <w:rFonts w:asciiTheme="minorHAnsi" w:hAnsiTheme="minorHAnsi"/>
          <w:color w:val="4A4A4A"/>
          <w:sz w:val="21"/>
          <w:szCs w:val="21"/>
        </w:rPr>
        <w:t xml:space="preserve">BA and CG) consistently </w:t>
      </w:r>
      <w:r w:rsidR="006D1551">
        <w:rPr>
          <w:rFonts w:asciiTheme="minorHAnsi" w:hAnsiTheme="minorHAnsi"/>
          <w:color w:val="4A4A4A"/>
          <w:sz w:val="21"/>
          <w:szCs w:val="21"/>
        </w:rPr>
        <w:t>for the period 20</w:t>
      </w:r>
      <w:r w:rsidR="001D631E">
        <w:rPr>
          <w:rFonts w:asciiTheme="minorHAnsi" w:hAnsiTheme="minorHAnsi"/>
          <w:color w:val="4A4A4A"/>
          <w:sz w:val="21"/>
          <w:szCs w:val="21"/>
        </w:rPr>
        <w:t>00</w:t>
      </w:r>
      <w:r w:rsidR="006D1551">
        <w:rPr>
          <w:rFonts w:asciiTheme="minorHAnsi" w:hAnsiTheme="minorHAnsi"/>
          <w:color w:val="4A4A4A"/>
          <w:sz w:val="21"/>
          <w:szCs w:val="21"/>
        </w:rPr>
        <w:t>-20</w:t>
      </w:r>
      <w:r w:rsidR="00297916">
        <w:rPr>
          <w:rFonts w:asciiTheme="minorHAnsi" w:hAnsiTheme="minorHAnsi"/>
          <w:color w:val="4A4A4A"/>
          <w:sz w:val="21"/>
          <w:szCs w:val="21"/>
        </w:rPr>
        <w:t>2</w:t>
      </w:r>
      <w:r>
        <w:rPr>
          <w:rFonts w:asciiTheme="minorHAnsi" w:hAnsiTheme="minorHAnsi"/>
          <w:color w:val="4A4A4A"/>
          <w:sz w:val="21"/>
          <w:szCs w:val="21"/>
        </w:rPr>
        <w:t>2</w:t>
      </w:r>
      <w:r w:rsidR="006D1551">
        <w:rPr>
          <w:rFonts w:asciiTheme="minorHAnsi" w:hAnsiTheme="minorHAnsi"/>
          <w:color w:val="4A4A4A"/>
          <w:sz w:val="21"/>
          <w:szCs w:val="21"/>
        </w:rPr>
        <w:t>.</w:t>
      </w:r>
    </w:p>
    <w:p w14:paraId="2D0542F7" w14:textId="3DE6BFAB" w:rsidR="00D51E7C" w:rsidRPr="00C019E5" w:rsidRDefault="00D51E7C" w:rsidP="00576CFA">
      <w:pPr>
        <w:pStyle w:val="MText"/>
        <w:rPr>
          <w:highlight w:val="cyan"/>
        </w:rPr>
      </w:pPr>
    </w:p>
    <w:p w14:paraId="5853D6F7" w14:textId="74131586" w:rsidR="00D51E7C" w:rsidRPr="00284485" w:rsidRDefault="00D51E7C" w:rsidP="00576CFA">
      <w:pPr>
        <w:pStyle w:val="MText"/>
        <w:rPr>
          <w:b/>
          <w:bCs/>
        </w:rPr>
      </w:pPr>
      <w:r w:rsidRPr="00284485">
        <w:rPr>
          <w:b/>
          <w:bCs/>
        </w:rPr>
        <w:t>Time series:</w:t>
      </w:r>
    </w:p>
    <w:p w14:paraId="407368CB" w14:textId="10D296A8" w:rsidR="002A7A62" w:rsidRDefault="00297916" w:rsidP="006D15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20</w:t>
      </w:r>
      <w:r w:rsidR="0083413C">
        <w:rPr>
          <w:rFonts w:asciiTheme="minorHAnsi" w:hAnsiTheme="minorHAnsi"/>
          <w:color w:val="4A4A4A"/>
          <w:sz w:val="21"/>
          <w:szCs w:val="21"/>
        </w:rPr>
        <w:t>00</w:t>
      </w:r>
      <w:r>
        <w:rPr>
          <w:rFonts w:asciiTheme="minorHAnsi" w:hAnsiTheme="minorHAnsi"/>
          <w:color w:val="4A4A4A"/>
          <w:sz w:val="21"/>
          <w:szCs w:val="21"/>
        </w:rPr>
        <w:t>-202</w:t>
      </w:r>
      <w:r w:rsidR="004E30F6">
        <w:rPr>
          <w:rFonts w:asciiTheme="minorHAnsi" w:hAnsiTheme="minorHAnsi"/>
          <w:color w:val="4A4A4A"/>
          <w:sz w:val="21"/>
          <w:szCs w:val="21"/>
        </w:rPr>
        <w:t>2</w:t>
      </w:r>
    </w:p>
    <w:p w14:paraId="271A3AE4" w14:textId="77777777" w:rsidR="004A397C" w:rsidRPr="00C019E5" w:rsidRDefault="004A397C" w:rsidP="00576CFA">
      <w:pPr>
        <w:pStyle w:val="MText"/>
        <w:rPr>
          <w:highlight w:val="cyan"/>
        </w:rPr>
      </w:pPr>
    </w:p>
    <w:p w14:paraId="72C7C370" w14:textId="42707234" w:rsidR="00D51E7C" w:rsidRPr="00284485" w:rsidRDefault="00D51E7C" w:rsidP="006D1551">
      <w:pPr>
        <w:pStyle w:val="MText"/>
        <w:shd w:val="clear" w:color="auto" w:fill="auto"/>
        <w:rPr>
          <w:b/>
          <w:bCs/>
        </w:rPr>
      </w:pPr>
      <w:r w:rsidRPr="00284485">
        <w:rPr>
          <w:b/>
          <w:bCs/>
        </w:rPr>
        <w:t>Disaggregation:</w:t>
      </w:r>
    </w:p>
    <w:p w14:paraId="1C798F1A" w14:textId="08DF97B8" w:rsidR="004A397C" w:rsidRDefault="004A397C" w:rsidP="00576CFA">
      <w:pPr>
        <w:pStyle w:val="MText"/>
      </w:pPr>
      <w:r>
        <w:t xml:space="preserve">The indicator is disaggregated by </w:t>
      </w:r>
      <w:r w:rsidRPr="004A397C">
        <w:t xml:space="preserve">education, </w:t>
      </w:r>
      <w:proofErr w:type="gramStart"/>
      <w:r w:rsidRPr="004A397C">
        <w:t>health</w:t>
      </w:r>
      <w:proofErr w:type="gramEnd"/>
      <w:r w:rsidRPr="004A397C">
        <w:t xml:space="preserve"> and social protection</w:t>
      </w:r>
      <w:r w:rsidR="0083413C">
        <w:t>, based on COFOG</w:t>
      </w:r>
      <w:r>
        <w:t>.</w:t>
      </w:r>
    </w:p>
    <w:p w14:paraId="6EDA07E9" w14:textId="7BD95AC8" w:rsidR="006D1551" w:rsidRDefault="00FD0589" w:rsidP="00576CFA">
      <w:pPr>
        <w:pStyle w:val="MText"/>
      </w:pPr>
      <w:r>
        <w:t xml:space="preserve">General government units have ten categories of expenditure according to COFOG: (a) </w:t>
      </w:r>
      <w:proofErr w:type="gramStart"/>
      <w:r>
        <w:t>general public</w:t>
      </w:r>
      <w:proofErr w:type="gramEnd"/>
      <w:r>
        <w:t xml:space="preserve"> services; (b) </w:t>
      </w:r>
      <w:proofErr w:type="spellStart"/>
      <w:r>
        <w:t>defense</w:t>
      </w:r>
      <w:proofErr w:type="spellEnd"/>
      <w:r>
        <w:t xml:space="preserve">; (c) public order and safety; (d) economic affairs; (e) environmental protection; (f) housing and community amenities; (g) health; (h) recreation, culture and religion; (i) education; and (j) social protection.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6689006" w14:textId="77777777" w:rsidR="007B76E5" w:rsidRDefault="000D053B" w:rsidP="00576CFA">
      <w:pPr>
        <w:pStyle w:val="MText"/>
      </w:pPr>
      <w:r w:rsidRPr="00284485">
        <w:rPr>
          <w:b/>
          <w:bCs/>
        </w:rPr>
        <w:t>Sources of discrepancies</w:t>
      </w:r>
    </w:p>
    <w:p w14:paraId="3C2D4870" w14:textId="04CC1E7A" w:rsidR="00D51E7C" w:rsidRDefault="00FC6792" w:rsidP="00576CFA">
      <w:pPr>
        <w:pStyle w:val="MText"/>
      </w:pPr>
      <w:r w:rsidRPr="00CD5600">
        <w:t xml:space="preserve">The IMF Statistics Department plans to rely on officially reported national data as reported by the national authorities using the standard IMF GFS annual data questionnaire that is based on the </w:t>
      </w:r>
      <w:r w:rsidRPr="00FC6792">
        <w:rPr>
          <w:i/>
          <w:iCs/>
        </w:rPr>
        <w:t>GFSM 2014</w:t>
      </w:r>
      <w:r w:rsidRPr="00CD5600">
        <w:t xml:space="preserve"> methodology.</w:t>
      </w:r>
    </w:p>
    <w:p w14:paraId="1CF18291" w14:textId="77777777" w:rsidR="00BB3A8C" w:rsidRDefault="00BB3A8C" w:rsidP="004A397C">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84B0992" w14:textId="305AE571" w:rsidR="00186795" w:rsidRDefault="00360BE7" w:rsidP="00360BE7">
      <w:pPr>
        <w:keepNext/>
        <w:keepLines/>
        <w:shd w:val="clear" w:color="auto" w:fill="FFFFFF"/>
        <w:spacing w:after="0"/>
        <w:rPr>
          <w:sz w:val="21"/>
          <w:szCs w:val="21"/>
        </w:rPr>
      </w:pPr>
      <w:r w:rsidRPr="00CD5600">
        <w:rPr>
          <w:rFonts w:eastAsia="Times New Roman" w:cs="Times New Roman"/>
          <w:color w:val="4A4A4A"/>
          <w:sz w:val="21"/>
          <w:szCs w:val="21"/>
          <w:lang w:eastAsia="en-GB"/>
        </w:rPr>
        <w:t xml:space="preserve">The </w:t>
      </w:r>
      <w:r w:rsidRPr="00360BE7">
        <w:rPr>
          <w:rFonts w:eastAsia="Times New Roman" w:cs="Times New Roman"/>
          <w:i/>
          <w:iCs/>
          <w:color w:val="4A4A4A"/>
          <w:sz w:val="21"/>
          <w:szCs w:val="21"/>
          <w:lang w:eastAsia="en-GB"/>
        </w:rPr>
        <w:t>GFSM 2014</w:t>
      </w:r>
      <w:r w:rsidRPr="00CD5600">
        <w:rPr>
          <w:rFonts w:eastAsia="Times New Roman" w:cs="Times New Roman"/>
          <w:color w:val="4A4A4A"/>
          <w:sz w:val="21"/>
          <w:szCs w:val="21"/>
          <w:lang w:eastAsia="en-GB"/>
        </w:rPr>
        <w:t xml:space="preserve"> is available at </w:t>
      </w:r>
      <w:hyperlink r:id="rId11" w:history="1">
        <w:r w:rsidRPr="004A6E35">
          <w:rPr>
            <w:rStyle w:val="Hyperlink"/>
            <w:rFonts w:eastAsia="Times New Roman" w:cs="Times New Roman"/>
            <w:sz w:val="21"/>
            <w:szCs w:val="21"/>
            <w:lang w:eastAsia="en-GB"/>
          </w:rPr>
          <w:t>http://www.imf.org/external/np/sta/gfsm/</w:t>
        </w:r>
      </w:hyperlink>
      <w:r>
        <w:rPr>
          <w:rFonts w:eastAsia="Times New Roman" w:cs="Times New Roman"/>
          <w:color w:val="4A4A4A"/>
          <w:sz w:val="21"/>
          <w:szCs w:val="21"/>
          <w:lang w:eastAsia="en-GB"/>
        </w:rPr>
        <w:t>.</w:t>
      </w:r>
      <w:r w:rsidRPr="003C7F79">
        <w:t xml:space="preserve"> </w:t>
      </w:r>
      <w:r w:rsidRPr="00413E37">
        <w:rPr>
          <w:rStyle w:val="MTextChar"/>
          <w:rFonts w:eastAsiaTheme="minorEastAsia"/>
        </w:rPr>
        <w:t>A series of videos that discuss the GFS analytical framework are available at:</w:t>
      </w:r>
      <w:r w:rsidRPr="00413E37">
        <w:rPr>
          <w:sz w:val="21"/>
          <w:szCs w:val="21"/>
        </w:rPr>
        <w:t xml:space="preserve"> </w:t>
      </w:r>
      <w:hyperlink r:id="rId12" w:history="1">
        <w:r w:rsidRPr="00413E37">
          <w:rPr>
            <w:rStyle w:val="Hyperlink"/>
            <w:rFonts w:eastAsiaTheme="majorEastAsia" w:cstheme="minorHAnsi"/>
            <w:sz w:val="21"/>
            <w:szCs w:val="21"/>
          </w:rPr>
          <w:t>IMF Statistics E-Learning Videos - YouTube</w:t>
        </w:r>
      </w:hyperlink>
      <w:r w:rsidRPr="00413E37">
        <w:rPr>
          <w:sz w:val="21"/>
          <w:szCs w:val="21"/>
        </w:rPr>
        <w:t>.</w:t>
      </w:r>
    </w:p>
    <w:p w14:paraId="089A4F9E" w14:textId="77777777" w:rsidR="004A397C" w:rsidRPr="00787FBB" w:rsidRDefault="004A397C" w:rsidP="00360BE7">
      <w:pPr>
        <w:keepNext/>
        <w:keepLines/>
        <w:shd w:val="clear" w:color="auto" w:fill="FFFFFF"/>
        <w:spacing w:after="0"/>
        <w:rPr>
          <w:lang w:val="en-US"/>
        </w:rPr>
      </w:pPr>
    </w:p>
    <w:sectPr w:rsidR="004A397C" w:rsidRPr="00787FBB">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FCB91" w14:textId="77777777" w:rsidR="00F95E7F" w:rsidRDefault="00F95E7F" w:rsidP="00573C0B">
      <w:pPr>
        <w:spacing w:after="0" w:line="240" w:lineRule="auto"/>
      </w:pPr>
      <w:r>
        <w:separator/>
      </w:r>
    </w:p>
  </w:endnote>
  <w:endnote w:type="continuationSeparator" w:id="0">
    <w:p w14:paraId="7D161584" w14:textId="77777777" w:rsidR="00F95E7F" w:rsidRDefault="00F95E7F" w:rsidP="00573C0B">
      <w:pPr>
        <w:spacing w:after="0" w:line="240" w:lineRule="auto"/>
      </w:pPr>
      <w:r>
        <w:continuationSeparator/>
      </w:r>
    </w:p>
  </w:endnote>
  <w:endnote w:type="continuationNotice" w:id="1">
    <w:p w14:paraId="0212DA40" w14:textId="77777777" w:rsidR="00F95E7F" w:rsidRDefault="00F95E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TStd-Roman">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0A6EE" w14:textId="77777777" w:rsidR="00F95E7F" w:rsidRDefault="00F95E7F" w:rsidP="00573C0B">
      <w:pPr>
        <w:spacing w:after="0" w:line="240" w:lineRule="auto"/>
      </w:pPr>
      <w:r>
        <w:separator/>
      </w:r>
    </w:p>
  </w:footnote>
  <w:footnote w:type="continuationSeparator" w:id="0">
    <w:p w14:paraId="164DB0F9" w14:textId="77777777" w:rsidR="00F95E7F" w:rsidRDefault="00F95E7F" w:rsidP="00573C0B">
      <w:pPr>
        <w:spacing w:after="0" w:line="240" w:lineRule="auto"/>
      </w:pPr>
      <w:r>
        <w:continuationSeparator/>
      </w:r>
    </w:p>
  </w:footnote>
  <w:footnote w:type="continuationNotice" w:id="1">
    <w:p w14:paraId="18BF7259" w14:textId="77777777" w:rsidR="00F95E7F" w:rsidRDefault="00F95E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3DFE9F0"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1667B7">
      <w:rPr>
        <w:color w:val="404040" w:themeColor="text1" w:themeTint="BF"/>
        <w:sz w:val="18"/>
        <w:szCs w:val="18"/>
      </w:rPr>
      <w:t>202</w:t>
    </w:r>
    <w:r w:rsidR="00784434">
      <w:rPr>
        <w:color w:val="404040" w:themeColor="text1" w:themeTint="BF"/>
        <w:sz w:val="18"/>
        <w:szCs w:val="18"/>
      </w:rPr>
      <w:t>4</w:t>
    </w:r>
    <w:r w:rsidR="007B76E5">
      <w:rPr>
        <w:color w:val="404040" w:themeColor="text1" w:themeTint="BF"/>
        <w:sz w:val="18"/>
        <w:szCs w:val="18"/>
      </w:rPr>
      <w:t>-</w:t>
    </w:r>
    <w:r w:rsidR="00784434">
      <w:rPr>
        <w:color w:val="404040" w:themeColor="text1" w:themeTint="BF"/>
        <w:sz w:val="18"/>
        <w:szCs w:val="18"/>
      </w:rPr>
      <w:t>06</w:t>
    </w:r>
    <w:r w:rsidR="007B76E5">
      <w:rPr>
        <w:color w:val="404040" w:themeColor="text1" w:themeTint="BF"/>
        <w:sz w:val="18"/>
        <w:szCs w:val="18"/>
      </w:rPr>
      <w:t>-</w:t>
    </w:r>
    <w:r w:rsidR="00784434">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21E44"/>
    <w:multiLevelType w:val="hybridMultilevel"/>
    <w:tmpl w:val="B0FE722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0A5305"/>
    <w:multiLevelType w:val="hybridMultilevel"/>
    <w:tmpl w:val="1402D38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4C2B54"/>
    <w:multiLevelType w:val="hybridMultilevel"/>
    <w:tmpl w:val="1402D38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154D1"/>
    <w:multiLevelType w:val="multilevel"/>
    <w:tmpl w:val="18469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65101"/>
    <w:multiLevelType w:val="hybridMultilevel"/>
    <w:tmpl w:val="C51438DE"/>
    <w:lvl w:ilvl="0" w:tplc="0EB6D6EC">
      <w:start w:val="16"/>
      <w:numFmt w:val="bullet"/>
      <w:lvlText w:val="-"/>
      <w:lvlJc w:val="left"/>
      <w:pPr>
        <w:ind w:left="720" w:hanging="360"/>
      </w:pPr>
      <w:rPr>
        <w:rFonts w:ascii="FrutigerLTStd-Roman" w:eastAsiaTheme="minorEastAsia" w:hAnsi="FrutigerLTStd-Roman" w:cs="FrutigerLTStd-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C963C2"/>
    <w:multiLevelType w:val="hybridMultilevel"/>
    <w:tmpl w:val="C05622C4"/>
    <w:lvl w:ilvl="0" w:tplc="39FCF0E2">
      <w:start w:val="3"/>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A44AFE"/>
    <w:multiLevelType w:val="hybridMultilevel"/>
    <w:tmpl w:val="D09C7A92"/>
    <w:lvl w:ilvl="0" w:tplc="66706706">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F1C38AC"/>
    <w:multiLevelType w:val="hybridMultilevel"/>
    <w:tmpl w:val="D8BEB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90340609">
    <w:abstractNumId w:val="5"/>
  </w:num>
  <w:num w:numId="2" w16cid:durableId="1359359001">
    <w:abstractNumId w:val="1"/>
  </w:num>
  <w:num w:numId="3" w16cid:durableId="1214999995">
    <w:abstractNumId w:val="9"/>
  </w:num>
  <w:num w:numId="4" w16cid:durableId="928738588">
    <w:abstractNumId w:val="2"/>
  </w:num>
  <w:num w:numId="5" w16cid:durableId="1545169024">
    <w:abstractNumId w:val="3"/>
  </w:num>
  <w:num w:numId="6" w16cid:durableId="1622178904">
    <w:abstractNumId w:val="11"/>
  </w:num>
  <w:num w:numId="7" w16cid:durableId="372386792">
    <w:abstractNumId w:val="4"/>
  </w:num>
  <w:num w:numId="8" w16cid:durableId="480847387">
    <w:abstractNumId w:val="8"/>
  </w:num>
  <w:num w:numId="9" w16cid:durableId="1021054678">
    <w:abstractNumId w:val="0"/>
  </w:num>
  <w:num w:numId="10" w16cid:durableId="404491605">
    <w:abstractNumId w:val="10"/>
  </w:num>
  <w:num w:numId="11" w16cid:durableId="1775055256">
    <w:abstractNumId w:val="7"/>
  </w:num>
  <w:num w:numId="12" w16cid:durableId="368260605">
    <w:abstractNumId w:val="6"/>
  </w:num>
  <w:num w:numId="13" w16cid:durableId="1018001481">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1018001481">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018001481">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1018001481">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018001481">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16cid:durableId="1018001481">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16cid:durableId="1018001481">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s-AR" w:vendorID="64" w:dllVersion="6" w:nlCheck="1" w:checkStyle="0"/>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s-AR" w:vendorID="64" w:dllVersion="0" w:nlCheck="1" w:checkStyle="0"/>
  <w:activeWritingStyle w:appName="MSWord" w:lang="es-E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E89"/>
    <w:rsid w:val="00001AB6"/>
    <w:rsid w:val="000070BA"/>
    <w:rsid w:val="00015D7F"/>
    <w:rsid w:val="00015F39"/>
    <w:rsid w:val="000173F9"/>
    <w:rsid w:val="0002569B"/>
    <w:rsid w:val="000270DD"/>
    <w:rsid w:val="000321B2"/>
    <w:rsid w:val="00034A32"/>
    <w:rsid w:val="00035670"/>
    <w:rsid w:val="0004058C"/>
    <w:rsid w:val="000412A0"/>
    <w:rsid w:val="00042239"/>
    <w:rsid w:val="000430AE"/>
    <w:rsid w:val="00043840"/>
    <w:rsid w:val="00047DDA"/>
    <w:rsid w:val="00051360"/>
    <w:rsid w:val="00052261"/>
    <w:rsid w:val="0005455A"/>
    <w:rsid w:val="000559E9"/>
    <w:rsid w:val="00062C4E"/>
    <w:rsid w:val="0006394D"/>
    <w:rsid w:val="00066783"/>
    <w:rsid w:val="00067EED"/>
    <w:rsid w:val="00071F07"/>
    <w:rsid w:val="00074925"/>
    <w:rsid w:val="00075E98"/>
    <w:rsid w:val="0007759D"/>
    <w:rsid w:val="000777AB"/>
    <w:rsid w:val="00077F46"/>
    <w:rsid w:val="000879F5"/>
    <w:rsid w:val="00090FB1"/>
    <w:rsid w:val="00096186"/>
    <w:rsid w:val="00096C2B"/>
    <w:rsid w:val="000A5B0D"/>
    <w:rsid w:val="000A72E4"/>
    <w:rsid w:val="000B0E2F"/>
    <w:rsid w:val="000B1007"/>
    <w:rsid w:val="000B2430"/>
    <w:rsid w:val="000B6FB1"/>
    <w:rsid w:val="000B7D24"/>
    <w:rsid w:val="000C7794"/>
    <w:rsid w:val="000D053B"/>
    <w:rsid w:val="000D0B30"/>
    <w:rsid w:val="000D2E79"/>
    <w:rsid w:val="000D73FF"/>
    <w:rsid w:val="000E21F1"/>
    <w:rsid w:val="000F341F"/>
    <w:rsid w:val="000F4F20"/>
    <w:rsid w:val="000F6D2D"/>
    <w:rsid w:val="000F6D5B"/>
    <w:rsid w:val="000F703E"/>
    <w:rsid w:val="00101221"/>
    <w:rsid w:val="00103C44"/>
    <w:rsid w:val="001069C4"/>
    <w:rsid w:val="0011122A"/>
    <w:rsid w:val="001118E4"/>
    <w:rsid w:val="00116010"/>
    <w:rsid w:val="001171DE"/>
    <w:rsid w:val="00120909"/>
    <w:rsid w:val="00120E86"/>
    <w:rsid w:val="00121D59"/>
    <w:rsid w:val="00124462"/>
    <w:rsid w:val="00124987"/>
    <w:rsid w:val="00125DE9"/>
    <w:rsid w:val="001317C6"/>
    <w:rsid w:val="001332E0"/>
    <w:rsid w:val="00134DE7"/>
    <w:rsid w:val="00137103"/>
    <w:rsid w:val="00137233"/>
    <w:rsid w:val="001375FA"/>
    <w:rsid w:val="00143903"/>
    <w:rsid w:val="00156E04"/>
    <w:rsid w:val="00161274"/>
    <w:rsid w:val="00162344"/>
    <w:rsid w:val="00162580"/>
    <w:rsid w:val="00164DCC"/>
    <w:rsid w:val="001667B7"/>
    <w:rsid w:val="00171F2D"/>
    <w:rsid w:val="00177AA5"/>
    <w:rsid w:val="00177ACC"/>
    <w:rsid w:val="0018233D"/>
    <w:rsid w:val="001828E0"/>
    <w:rsid w:val="001830C0"/>
    <w:rsid w:val="001831B0"/>
    <w:rsid w:val="001831B6"/>
    <w:rsid w:val="00185354"/>
    <w:rsid w:val="001854DC"/>
    <w:rsid w:val="00186795"/>
    <w:rsid w:val="00190252"/>
    <w:rsid w:val="0019192E"/>
    <w:rsid w:val="00194D09"/>
    <w:rsid w:val="001956A3"/>
    <w:rsid w:val="001968D1"/>
    <w:rsid w:val="001A08BE"/>
    <w:rsid w:val="001A2F70"/>
    <w:rsid w:val="001A683A"/>
    <w:rsid w:val="001A7D5C"/>
    <w:rsid w:val="001B3560"/>
    <w:rsid w:val="001B60AA"/>
    <w:rsid w:val="001B63C8"/>
    <w:rsid w:val="001C0D47"/>
    <w:rsid w:val="001C1972"/>
    <w:rsid w:val="001C421F"/>
    <w:rsid w:val="001C42D8"/>
    <w:rsid w:val="001C7E38"/>
    <w:rsid w:val="001D360D"/>
    <w:rsid w:val="001D5659"/>
    <w:rsid w:val="001D631E"/>
    <w:rsid w:val="001E03EB"/>
    <w:rsid w:val="001E2B47"/>
    <w:rsid w:val="001E482D"/>
    <w:rsid w:val="001E7AAF"/>
    <w:rsid w:val="001F2C3A"/>
    <w:rsid w:val="001F582B"/>
    <w:rsid w:val="00204BF3"/>
    <w:rsid w:val="0020655F"/>
    <w:rsid w:val="00206BCA"/>
    <w:rsid w:val="0021657A"/>
    <w:rsid w:val="0022111A"/>
    <w:rsid w:val="00221F84"/>
    <w:rsid w:val="00222A75"/>
    <w:rsid w:val="00223373"/>
    <w:rsid w:val="002259E6"/>
    <w:rsid w:val="0022697C"/>
    <w:rsid w:val="0022735B"/>
    <w:rsid w:val="0023048B"/>
    <w:rsid w:val="00240142"/>
    <w:rsid w:val="00240ADF"/>
    <w:rsid w:val="002531DF"/>
    <w:rsid w:val="00261A8D"/>
    <w:rsid w:val="00272D90"/>
    <w:rsid w:val="00275336"/>
    <w:rsid w:val="00277719"/>
    <w:rsid w:val="0028025D"/>
    <w:rsid w:val="00281E13"/>
    <w:rsid w:val="00283C1C"/>
    <w:rsid w:val="00284485"/>
    <w:rsid w:val="00284734"/>
    <w:rsid w:val="00291A00"/>
    <w:rsid w:val="00291A11"/>
    <w:rsid w:val="00296136"/>
    <w:rsid w:val="00297916"/>
    <w:rsid w:val="002A315C"/>
    <w:rsid w:val="002A3342"/>
    <w:rsid w:val="002A64BA"/>
    <w:rsid w:val="002A6582"/>
    <w:rsid w:val="002A67EE"/>
    <w:rsid w:val="002A7A1D"/>
    <w:rsid w:val="002A7A62"/>
    <w:rsid w:val="002B0A24"/>
    <w:rsid w:val="002B4989"/>
    <w:rsid w:val="002C2510"/>
    <w:rsid w:val="002C4F6A"/>
    <w:rsid w:val="002D59B0"/>
    <w:rsid w:val="002D714E"/>
    <w:rsid w:val="002E3892"/>
    <w:rsid w:val="002E3F88"/>
    <w:rsid w:val="002E53C3"/>
    <w:rsid w:val="002E559E"/>
    <w:rsid w:val="002F0DEA"/>
    <w:rsid w:val="002F1468"/>
    <w:rsid w:val="002F1ACC"/>
    <w:rsid w:val="002F5D5D"/>
    <w:rsid w:val="002F5F0C"/>
    <w:rsid w:val="002F6879"/>
    <w:rsid w:val="003002DD"/>
    <w:rsid w:val="003007D2"/>
    <w:rsid w:val="00302D4A"/>
    <w:rsid w:val="00307B14"/>
    <w:rsid w:val="00313684"/>
    <w:rsid w:val="003265EB"/>
    <w:rsid w:val="00330C26"/>
    <w:rsid w:val="00336495"/>
    <w:rsid w:val="0034329E"/>
    <w:rsid w:val="00343FAA"/>
    <w:rsid w:val="00347F5E"/>
    <w:rsid w:val="00353C98"/>
    <w:rsid w:val="00360BE7"/>
    <w:rsid w:val="00360EDB"/>
    <w:rsid w:val="00367436"/>
    <w:rsid w:val="003703BA"/>
    <w:rsid w:val="00371132"/>
    <w:rsid w:val="00371477"/>
    <w:rsid w:val="00371A20"/>
    <w:rsid w:val="00373864"/>
    <w:rsid w:val="0037487B"/>
    <w:rsid w:val="003748B6"/>
    <w:rsid w:val="0037504F"/>
    <w:rsid w:val="00375C3D"/>
    <w:rsid w:val="003776C2"/>
    <w:rsid w:val="003821B4"/>
    <w:rsid w:val="00382CF3"/>
    <w:rsid w:val="00385983"/>
    <w:rsid w:val="00387043"/>
    <w:rsid w:val="00387D52"/>
    <w:rsid w:val="0039478A"/>
    <w:rsid w:val="0039593D"/>
    <w:rsid w:val="00396A11"/>
    <w:rsid w:val="003A075C"/>
    <w:rsid w:val="003A2612"/>
    <w:rsid w:val="003A33CA"/>
    <w:rsid w:val="003A3E71"/>
    <w:rsid w:val="003A528B"/>
    <w:rsid w:val="003A66AE"/>
    <w:rsid w:val="003A7CEA"/>
    <w:rsid w:val="003B4589"/>
    <w:rsid w:val="003C4ED5"/>
    <w:rsid w:val="003C598B"/>
    <w:rsid w:val="003C7A66"/>
    <w:rsid w:val="003C7A7B"/>
    <w:rsid w:val="003D159F"/>
    <w:rsid w:val="003D2D65"/>
    <w:rsid w:val="003D42A4"/>
    <w:rsid w:val="003D520C"/>
    <w:rsid w:val="003D68F2"/>
    <w:rsid w:val="003D7CB2"/>
    <w:rsid w:val="003E1614"/>
    <w:rsid w:val="003E16F9"/>
    <w:rsid w:val="003E2457"/>
    <w:rsid w:val="003E2BDC"/>
    <w:rsid w:val="003E4F8D"/>
    <w:rsid w:val="003E5C11"/>
    <w:rsid w:val="003F0BD3"/>
    <w:rsid w:val="003F278A"/>
    <w:rsid w:val="003F28A0"/>
    <w:rsid w:val="003F6027"/>
    <w:rsid w:val="003F7A02"/>
    <w:rsid w:val="00400756"/>
    <w:rsid w:val="00400C22"/>
    <w:rsid w:val="004034AD"/>
    <w:rsid w:val="004064BE"/>
    <w:rsid w:val="00406E11"/>
    <w:rsid w:val="00415C40"/>
    <w:rsid w:val="00422EA5"/>
    <w:rsid w:val="00422EFA"/>
    <w:rsid w:val="00423146"/>
    <w:rsid w:val="00424678"/>
    <w:rsid w:val="0042659F"/>
    <w:rsid w:val="0042791F"/>
    <w:rsid w:val="00433776"/>
    <w:rsid w:val="0043603B"/>
    <w:rsid w:val="00437444"/>
    <w:rsid w:val="004456ED"/>
    <w:rsid w:val="004466E2"/>
    <w:rsid w:val="004550B7"/>
    <w:rsid w:val="00456668"/>
    <w:rsid w:val="00461898"/>
    <w:rsid w:val="00465C25"/>
    <w:rsid w:val="00474F5F"/>
    <w:rsid w:val="0048045A"/>
    <w:rsid w:val="0048140A"/>
    <w:rsid w:val="004841B8"/>
    <w:rsid w:val="0048724C"/>
    <w:rsid w:val="00491945"/>
    <w:rsid w:val="004930F2"/>
    <w:rsid w:val="004A0583"/>
    <w:rsid w:val="004A397C"/>
    <w:rsid w:val="004A6F2D"/>
    <w:rsid w:val="004B0F1C"/>
    <w:rsid w:val="004B20BE"/>
    <w:rsid w:val="004B77EB"/>
    <w:rsid w:val="004C1C05"/>
    <w:rsid w:val="004C6075"/>
    <w:rsid w:val="004C741C"/>
    <w:rsid w:val="004D0A89"/>
    <w:rsid w:val="004D0D95"/>
    <w:rsid w:val="004D3D0A"/>
    <w:rsid w:val="004D7B10"/>
    <w:rsid w:val="004E2926"/>
    <w:rsid w:val="004E30F6"/>
    <w:rsid w:val="004E6B8A"/>
    <w:rsid w:val="004F2E2C"/>
    <w:rsid w:val="004F2EE6"/>
    <w:rsid w:val="004F4EB3"/>
    <w:rsid w:val="00502DBA"/>
    <w:rsid w:val="005040C4"/>
    <w:rsid w:val="00504261"/>
    <w:rsid w:val="005045F0"/>
    <w:rsid w:val="00504FAC"/>
    <w:rsid w:val="00507637"/>
    <w:rsid w:val="00507852"/>
    <w:rsid w:val="0050798C"/>
    <w:rsid w:val="00514C05"/>
    <w:rsid w:val="00514D5A"/>
    <w:rsid w:val="00514DBF"/>
    <w:rsid w:val="00520229"/>
    <w:rsid w:val="00525B0A"/>
    <w:rsid w:val="00532BC1"/>
    <w:rsid w:val="005358F9"/>
    <w:rsid w:val="005455DB"/>
    <w:rsid w:val="00546F6E"/>
    <w:rsid w:val="00550921"/>
    <w:rsid w:val="00553258"/>
    <w:rsid w:val="005554C3"/>
    <w:rsid w:val="00563712"/>
    <w:rsid w:val="005645F6"/>
    <w:rsid w:val="00564FE6"/>
    <w:rsid w:val="00567FCC"/>
    <w:rsid w:val="00573631"/>
    <w:rsid w:val="00573C0B"/>
    <w:rsid w:val="00575383"/>
    <w:rsid w:val="00576CFA"/>
    <w:rsid w:val="0058556D"/>
    <w:rsid w:val="00585C82"/>
    <w:rsid w:val="00592AF2"/>
    <w:rsid w:val="005947AD"/>
    <w:rsid w:val="0059563F"/>
    <w:rsid w:val="00596DA7"/>
    <w:rsid w:val="00597748"/>
    <w:rsid w:val="005979E8"/>
    <w:rsid w:val="00597CF3"/>
    <w:rsid w:val="005B0406"/>
    <w:rsid w:val="005B05EF"/>
    <w:rsid w:val="005B7699"/>
    <w:rsid w:val="005B7A69"/>
    <w:rsid w:val="005C0A35"/>
    <w:rsid w:val="005C0AAD"/>
    <w:rsid w:val="005C185A"/>
    <w:rsid w:val="005C5F83"/>
    <w:rsid w:val="005D0AF4"/>
    <w:rsid w:val="005E35A2"/>
    <w:rsid w:val="005E54BD"/>
    <w:rsid w:val="005E7CBF"/>
    <w:rsid w:val="005F6CCA"/>
    <w:rsid w:val="00605690"/>
    <w:rsid w:val="00606ADC"/>
    <w:rsid w:val="00607376"/>
    <w:rsid w:val="006104AF"/>
    <w:rsid w:val="00615B36"/>
    <w:rsid w:val="00621893"/>
    <w:rsid w:val="0063326F"/>
    <w:rsid w:val="006351E1"/>
    <w:rsid w:val="00637030"/>
    <w:rsid w:val="00640D24"/>
    <w:rsid w:val="006447B1"/>
    <w:rsid w:val="00645614"/>
    <w:rsid w:val="00646871"/>
    <w:rsid w:val="0065174D"/>
    <w:rsid w:val="006520EB"/>
    <w:rsid w:val="00652A27"/>
    <w:rsid w:val="00653A61"/>
    <w:rsid w:val="006601A9"/>
    <w:rsid w:val="00662775"/>
    <w:rsid w:val="00682F5B"/>
    <w:rsid w:val="006852FC"/>
    <w:rsid w:val="00686C20"/>
    <w:rsid w:val="00690884"/>
    <w:rsid w:val="00691E64"/>
    <w:rsid w:val="0069200B"/>
    <w:rsid w:val="006A6F8E"/>
    <w:rsid w:val="006B40AB"/>
    <w:rsid w:val="006B5CC8"/>
    <w:rsid w:val="006B5DC5"/>
    <w:rsid w:val="006B667F"/>
    <w:rsid w:val="006C0CFA"/>
    <w:rsid w:val="006C4BFD"/>
    <w:rsid w:val="006C5755"/>
    <w:rsid w:val="006C5D66"/>
    <w:rsid w:val="006C6E9D"/>
    <w:rsid w:val="006C7374"/>
    <w:rsid w:val="006C7D30"/>
    <w:rsid w:val="006D1551"/>
    <w:rsid w:val="006D5A44"/>
    <w:rsid w:val="006D7472"/>
    <w:rsid w:val="006E3C08"/>
    <w:rsid w:val="006E4B63"/>
    <w:rsid w:val="006E7C92"/>
    <w:rsid w:val="006F01EA"/>
    <w:rsid w:val="006F7FD2"/>
    <w:rsid w:val="00700593"/>
    <w:rsid w:val="00700ACF"/>
    <w:rsid w:val="00701C3A"/>
    <w:rsid w:val="00712487"/>
    <w:rsid w:val="007173E4"/>
    <w:rsid w:val="00717AA7"/>
    <w:rsid w:val="007225EF"/>
    <w:rsid w:val="00725288"/>
    <w:rsid w:val="00725552"/>
    <w:rsid w:val="0072635E"/>
    <w:rsid w:val="007275EA"/>
    <w:rsid w:val="00732596"/>
    <w:rsid w:val="00750BFD"/>
    <w:rsid w:val="007530CA"/>
    <w:rsid w:val="00753DF3"/>
    <w:rsid w:val="007549D6"/>
    <w:rsid w:val="00756D68"/>
    <w:rsid w:val="007578BE"/>
    <w:rsid w:val="007578D9"/>
    <w:rsid w:val="00757E8A"/>
    <w:rsid w:val="00763E43"/>
    <w:rsid w:val="00763EAD"/>
    <w:rsid w:val="00764EB5"/>
    <w:rsid w:val="00770BE5"/>
    <w:rsid w:val="007716DD"/>
    <w:rsid w:val="00777A95"/>
    <w:rsid w:val="00780CE6"/>
    <w:rsid w:val="007818D7"/>
    <w:rsid w:val="00782416"/>
    <w:rsid w:val="00784434"/>
    <w:rsid w:val="00785C32"/>
    <w:rsid w:val="0078790C"/>
    <w:rsid w:val="00787FBB"/>
    <w:rsid w:val="007913ED"/>
    <w:rsid w:val="00795008"/>
    <w:rsid w:val="007A53B9"/>
    <w:rsid w:val="007A540F"/>
    <w:rsid w:val="007B0364"/>
    <w:rsid w:val="007B41B5"/>
    <w:rsid w:val="007B76E5"/>
    <w:rsid w:val="007C04F9"/>
    <w:rsid w:val="007C17BA"/>
    <w:rsid w:val="007C3F21"/>
    <w:rsid w:val="007D0981"/>
    <w:rsid w:val="007D1224"/>
    <w:rsid w:val="007D1929"/>
    <w:rsid w:val="007D2B09"/>
    <w:rsid w:val="007D3050"/>
    <w:rsid w:val="007D312A"/>
    <w:rsid w:val="007E1E96"/>
    <w:rsid w:val="007E3098"/>
    <w:rsid w:val="007E33D6"/>
    <w:rsid w:val="007F02FF"/>
    <w:rsid w:val="007F31E9"/>
    <w:rsid w:val="007F3CA9"/>
    <w:rsid w:val="007F5D60"/>
    <w:rsid w:val="007F6F4D"/>
    <w:rsid w:val="008039CC"/>
    <w:rsid w:val="00803CF1"/>
    <w:rsid w:val="00804C61"/>
    <w:rsid w:val="00806105"/>
    <w:rsid w:val="008104BB"/>
    <w:rsid w:val="0082229D"/>
    <w:rsid w:val="008249C5"/>
    <w:rsid w:val="0083150A"/>
    <w:rsid w:val="00833CD1"/>
    <w:rsid w:val="0083413C"/>
    <w:rsid w:val="00834840"/>
    <w:rsid w:val="00841EEB"/>
    <w:rsid w:val="00842559"/>
    <w:rsid w:val="00845542"/>
    <w:rsid w:val="008526E6"/>
    <w:rsid w:val="008526F9"/>
    <w:rsid w:val="0085285E"/>
    <w:rsid w:val="00852AA9"/>
    <w:rsid w:val="00853023"/>
    <w:rsid w:val="008534D4"/>
    <w:rsid w:val="008737F5"/>
    <w:rsid w:val="00874064"/>
    <w:rsid w:val="0087536B"/>
    <w:rsid w:val="008761CF"/>
    <w:rsid w:val="00877389"/>
    <w:rsid w:val="00881E28"/>
    <w:rsid w:val="00883C2F"/>
    <w:rsid w:val="00885E2E"/>
    <w:rsid w:val="008903FE"/>
    <w:rsid w:val="00894C4B"/>
    <w:rsid w:val="00895745"/>
    <w:rsid w:val="0089590F"/>
    <w:rsid w:val="00895A86"/>
    <w:rsid w:val="008A12E3"/>
    <w:rsid w:val="008A42FA"/>
    <w:rsid w:val="008A7306"/>
    <w:rsid w:val="008B015F"/>
    <w:rsid w:val="008B0AC7"/>
    <w:rsid w:val="008C2335"/>
    <w:rsid w:val="008C23C9"/>
    <w:rsid w:val="008C2D8E"/>
    <w:rsid w:val="008C5C82"/>
    <w:rsid w:val="008C67C1"/>
    <w:rsid w:val="008D1943"/>
    <w:rsid w:val="008D1A85"/>
    <w:rsid w:val="008D1D39"/>
    <w:rsid w:val="008D48E2"/>
    <w:rsid w:val="008E4505"/>
    <w:rsid w:val="008E58CF"/>
    <w:rsid w:val="008E7BF7"/>
    <w:rsid w:val="008F07D2"/>
    <w:rsid w:val="008F2405"/>
    <w:rsid w:val="00901077"/>
    <w:rsid w:val="009024B7"/>
    <w:rsid w:val="0090310C"/>
    <w:rsid w:val="00905D51"/>
    <w:rsid w:val="0091435D"/>
    <w:rsid w:val="00917851"/>
    <w:rsid w:val="00917F65"/>
    <w:rsid w:val="009218CF"/>
    <w:rsid w:val="00922A92"/>
    <w:rsid w:val="00925125"/>
    <w:rsid w:val="009272FD"/>
    <w:rsid w:val="009311E7"/>
    <w:rsid w:val="009318F4"/>
    <w:rsid w:val="00932D9B"/>
    <w:rsid w:val="00933DA2"/>
    <w:rsid w:val="0093778C"/>
    <w:rsid w:val="00942694"/>
    <w:rsid w:val="00950B63"/>
    <w:rsid w:val="0095236A"/>
    <w:rsid w:val="009608F6"/>
    <w:rsid w:val="00967611"/>
    <w:rsid w:val="0097151F"/>
    <w:rsid w:val="009744B1"/>
    <w:rsid w:val="0097481B"/>
    <w:rsid w:val="00977387"/>
    <w:rsid w:val="0098005B"/>
    <w:rsid w:val="0098267C"/>
    <w:rsid w:val="00991C79"/>
    <w:rsid w:val="0099257C"/>
    <w:rsid w:val="00992A0D"/>
    <w:rsid w:val="00995E99"/>
    <w:rsid w:val="009A005F"/>
    <w:rsid w:val="009A084A"/>
    <w:rsid w:val="009A2970"/>
    <w:rsid w:val="009A3D07"/>
    <w:rsid w:val="009A7BFF"/>
    <w:rsid w:val="009A7E3A"/>
    <w:rsid w:val="009B1265"/>
    <w:rsid w:val="009B4A15"/>
    <w:rsid w:val="009B5693"/>
    <w:rsid w:val="009C56AE"/>
    <w:rsid w:val="009C61A2"/>
    <w:rsid w:val="009C78E4"/>
    <w:rsid w:val="009D2D3A"/>
    <w:rsid w:val="009D3904"/>
    <w:rsid w:val="009D687E"/>
    <w:rsid w:val="009D7E06"/>
    <w:rsid w:val="009E7E80"/>
    <w:rsid w:val="009F2F7F"/>
    <w:rsid w:val="009F6DE7"/>
    <w:rsid w:val="00A00BE6"/>
    <w:rsid w:val="00A046BC"/>
    <w:rsid w:val="00A10583"/>
    <w:rsid w:val="00A346C4"/>
    <w:rsid w:val="00A34708"/>
    <w:rsid w:val="00A366BB"/>
    <w:rsid w:val="00A36762"/>
    <w:rsid w:val="00A37FCB"/>
    <w:rsid w:val="00A449BF"/>
    <w:rsid w:val="00A46883"/>
    <w:rsid w:val="00A471D7"/>
    <w:rsid w:val="00A54863"/>
    <w:rsid w:val="00A55F92"/>
    <w:rsid w:val="00A5652C"/>
    <w:rsid w:val="00A60AFA"/>
    <w:rsid w:val="00A61C3A"/>
    <w:rsid w:val="00A61D74"/>
    <w:rsid w:val="00A66FAA"/>
    <w:rsid w:val="00A77302"/>
    <w:rsid w:val="00A843BA"/>
    <w:rsid w:val="00A84A05"/>
    <w:rsid w:val="00A8688B"/>
    <w:rsid w:val="00A91163"/>
    <w:rsid w:val="00A9286F"/>
    <w:rsid w:val="00A94ACD"/>
    <w:rsid w:val="00A95A4F"/>
    <w:rsid w:val="00A9603A"/>
    <w:rsid w:val="00A96255"/>
    <w:rsid w:val="00AA12EF"/>
    <w:rsid w:val="00AA2BD8"/>
    <w:rsid w:val="00AA4E88"/>
    <w:rsid w:val="00AA576B"/>
    <w:rsid w:val="00AB285B"/>
    <w:rsid w:val="00AB30EB"/>
    <w:rsid w:val="00AB6F7D"/>
    <w:rsid w:val="00AC3257"/>
    <w:rsid w:val="00AD127B"/>
    <w:rsid w:val="00AE2872"/>
    <w:rsid w:val="00AF4FDB"/>
    <w:rsid w:val="00AF5552"/>
    <w:rsid w:val="00AF5CB4"/>
    <w:rsid w:val="00AF5ED1"/>
    <w:rsid w:val="00AF71D6"/>
    <w:rsid w:val="00B04F20"/>
    <w:rsid w:val="00B069EC"/>
    <w:rsid w:val="00B150C4"/>
    <w:rsid w:val="00B16AA7"/>
    <w:rsid w:val="00B216EE"/>
    <w:rsid w:val="00B21A36"/>
    <w:rsid w:val="00B23B45"/>
    <w:rsid w:val="00B25360"/>
    <w:rsid w:val="00B268B5"/>
    <w:rsid w:val="00B274FC"/>
    <w:rsid w:val="00B3175F"/>
    <w:rsid w:val="00B31E2C"/>
    <w:rsid w:val="00B32006"/>
    <w:rsid w:val="00B329B0"/>
    <w:rsid w:val="00B402D8"/>
    <w:rsid w:val="00B4237C"/>
    <w:rsid w:val="00B42FE8"/>
    <w:rsid w:val="00B52AFD"/>
    <w:rsid w:val="00B54077"/>
    <w:rsid w:val="00B5574A"/>
    <w:rsid w:val="00B5598E"/>
    <w:rsid w:val="00B657E8"/>
    <w:rsid w:val="00B71945"/>
    <w:rsid w:val="00B8087E"/>
    <w:rsid w:val="00B87FDF"/>
    <w:rsid w:val="00B901B7"/>
    <w:rsid w:val="00B961FC"/>
    <w:rsid w:val="00B965B1"/>
    <w:rsid w:val="00B978F2"/>
    <w:rsid w:val="00BA23A8"/>
    <w:rsid w:val="00BA5DD0"/>
    <w:rsid w:val="00BB0491"/>
    <w:rsid w:val="00BB0E4D"/>
    <w:rsid w:val="00BB29C8"/>
    <w:rsid w:val="00BB3A8C"/>
    <w:rsid w:val="00BB646E"/>
    <w:rsid w:val="00BC6CC5"/>
    <w:rsid w:val="00BD1BA1"/>
    <w:rsid w:val="00BD248D"/>
    <w:rsid w:val="00BD37F9"/>
    <w:rsid w:val="00BF4D88"/>
    <w:rsid w:val="00C00DDF"/>
    <w:rsid w:val="00C019E5"/>
    <w:rsid w:val="00C032A9"/>
    <w:rsid w:val="00C05254"/>
    <w:rsid w:val="00C16F5E"/>
    <w:rsid w:val="00C21144"/>
    <w:rsid w:val="00C21F33"/>
    <w:rsid w:val="00C23758"/>
    <w:rsid w:val="00C35BC4"/>
    <w:rsid w:val="00C43F5B"/>
    <w:rsid w:val="00C44D1F"/>
    <w:rsid w:val="00C455F2"/>
    <w:rsid w:val="00C52F78"/>
    <w:rsid w:val="00C57021"/>
    <w:rsid w:val="00C6003C"/>
    <w:rsid w:val="00C622A2"/>
    <w:rsid w:val="00C6238B"/>
    <w:rsid w:val="00C64407"/>
    <w:rsid w:val="00C70969"/>
    <w:rsid w:val="00C71960"/>
    <w:rsid w:val="00C72360"/>
    <w:rsid w:val="00C726B5"/>
    <w:rsid w:val="00C74809"/>
    <w:rsid w:val="00C76D77"/>
    <w:rsid w:val="00C80305"/>
    <w:rsid w:val="00C80717"/>
    <w:rsid w:val="00C85336"/>
    <w:rsid w:val="00CA3336"/>
    <w:rsid w:val="00CA43D4"/>
    <w:rsid w:val="00CA4A02"/>
    <w:rsid w:val="00CB2369"/>
    <w:rsid w:val="00CB3662"/>
    <w:rsid w:val="00CB4371"/>
    <w:rsid w:val="00CC49D9"/>
    <w:rsid w:val="00CC4E35"/>
    <w:rsid w:val="00CC516D"/>
    <w:rsid w:val="00CC77D2"/>
    <w:rsid w:val="00CD2D4A"/>
    <w:rsid w:val="00CE042B"/>
    <w:rsid w:val="00CE7449"/>
    <w:rsid w:val="00CF164B"/>
    <w:rsid w:val="00CF43CC"/>
    <w:rsid w:val="00CF7BA4"/>
    <w:rsid w:val="00D058F8"/>
    <w:rsid w:val="00D05EB8"/>
    <w:rsid w:val="00D151DB"/>
    <w:rsid w:val="00D152F2"/>
    <w:rsid w:val="00D20477"/>
    <w:rsid w:val="00D24330"/>
    <w:rsid w:val="00D2600C"/>
    <w:rsid w:val="00D32B19"/>
    <w:rsid w:val="00D32D56"/>
    <w:rsid w:val="00D33A77"/>
    <w:rsid w:val="00D36A32"/>
    <w:rsid w:val="00D40056"/>
    <w:rsid w:val="00D46264"/>
    <w:rsid w:val="00D477FB"/>
    <w:rsid w:val="00D5072C"/>
    <w:rsid w:val="00D51E7C"/>
    <w:rsid w:val="00D54F29"/>
    <w:rsid w:val="00D6426A"/>
    <w:rsid w:val="00D7020C"/>
    <w:rsid w:val="00D70AD9"/>
    <w:rsid w:val="00D7197F"/>
    <w:rsid w:val="00D72152"/>
    <w:rsid w:val="00D72A2F"/>
    <w:rsid w:val="00D72EC6"/>
    <w:rsid w:val="00D77211"/>
    <w:rsid w:val="00D81FB9"/>
    <w:rsid w:val="00D8488D"/>
    <w:rsid w:val="00D84DA2"/>
    <w:rsid w:val="00D877E9"/>
    <w:rsid w:val="00D90AD7"/>
    <w:rsid w:val="00D94BA5"/>
    <w:rsid w:val="00D94BF7"/>
    <w:rsid w:val="00D9510F"/>
    <w:rsid w:val="00DA1161"/>
    <w:rsid w:val="00DA4D24"/>
    <w:rsid w:val="00DA615C"/>
    <w:rsid w:val="00DB1608"/>
    <w:rsid w:val="00DB71D4"/>
    <w:rsid w:val="00DD19AE"/>
    <w:rsid w:val="00DD1BC6"/>
    <w:rsid w:val="00DD625C"/>
    <w:rsid w:val="00DD700B"/>
    <w:rsid w:val="00DE1CFE"/>
    <w:rsid w:val="00DE5DC3"/>
    <w:rsid w:val="00DE798A"/>
    <w:rsid w:val="00DF5CD1"/>
    <w:rsid w:val="00DF5ED7"/>
    <w:rsid w:val="00E00D8A"/>
    <w:rsid w:val="00E01E82"/>
    <w:rsid w:val="00E1050F"/>
    <w:rsid w:val="00E10EBA"/>
    <w:rsid w:val="00E11604"/>
    <w:rsid w:val="00E11D92"/>
    <w:rsid w:val="00E130A0"/>
    <w:rsid w:val="00E132C5"/>
    <w:rsid w:val="00E13D36"/>
    <w:rsid w:val="00E13E7C"/>
    <w:rsid w:val="00E210C4"/>
    <w:rsid w:val="00E23DB7"/>
    <w:rsid w:val="00E34FEC"/>
    <w:rsid w:val="00E37392"/>
    <w:rsid w:val="00E40F41"/>
    <w:rsid w:val="00E41691"/>
    <w:rsid w:val="00E46D96"/>
    <w:rsid w:val="00E50835"/>
    <w:rsid w:val="00E512E0"/>
    <w:rsid w:val="00E52CCA"/>
    <w:rsid w:val="00E61096"/>
    <w:rsid w:val="00E64886"/>
    <w:rsid w:val="00E65F1A"/>
    <w:rsid w:val="00E66409"/>
    <w:rsid w:val="00E7014A"/>
    <w:rsid w:val="00E72AD7"/>
    <w:rsid w:val="00E75655"/>
    <w:rsid w:val="00E764C4"/>
    <w:rsid w:val="00E81D5B"/>
    <w:rsid w:val="00E976B9"/>
    <w:rsid w:val="00EA05D3"/>
    <w:rsid w:val="00EA31E9"/>
    <w:rsid w:val="00EA522F"/>
    <w:rsid w:val="00EA541B"/>
    <w:rsid w:val="00EB0372"/>
    <w:rsid w:val="00EB19AD"/>
    <w:rsid w:val="00EB2F31"/>
    <w:rsid w:val="00EB3E3A"/>
    <w:rsid w:val="00EB6493"/>
    <w:rsid w:val="00EB7515"/>
    <w:rsid w:val="00EB7600"/>
    <w:rsid w:val="00EC2915"/>
    <w:rsid w:val="00EC3644"/>
    <w:rsid w:val="00EC5830"/>
    <w:rsid w:val="00ED05A9"/>
    <w:rsid w:val="00ED1BA0"/>
    <w:rsid w:val="00ED589B"/>
    <w:rsid w:val="00EE39FC"/>
    <w:rsid w:val="00EF1538"/>
    <w:rsid w:val="00EF2AE5"/>
    <w:rsid w:val="00F0049D"/>
    <w:rsid w:val="00F06795"/>
    <w:rsid w:val="00F06EFD"/>
    <w:rsid w:val="00F146EF"/>
    <w:rsid w:val="00F16A3D"/>
    <w:rsid w:val="00F17257"/>
    <w:rsid w:val="00F20364"/>
    <w:rsid w:val="00F20DBA"/>
    <w:rsid w:val="00F21C41"/>
    <w:rsid w:val="00F24F25"/>
    <w:rsid w:val="00F31804"/>
    <w:rsid w:val="00F31B9B"/>
    <w:rsid w:val="00F34D24"/>
    <w:rsid w:val="00F4130B"/>
    <w:rsid w:val="00F42C35"/>
    <w:rsid w:val="00F44748"/>
    <w:rsid w:val="00F47CCE"/>
    <w:rsid w:val="00F556A2"/>
    <w:rsid w:val="00F61090"/>
    <w:rsid w:val="00F63D58"/>
    <w:rsid w:val="00F719A8"/>
    <w:rsid w:val="00F7665A"/>
    <w:rsid w:val="00F82628"/>
    <w:rsid w:val="00F84464"/>
    <w:rsid w:val="00F86FEC"/>
    <w:rsid w:val="00F878B9"/>
    <w:rsid w:val="00F95E7F"/>
    <w:rsid w:val="00FA092C"/>
    <w:rsid w:val="00FB0048"/>
    <w:rsid w:val="00FB24E8"/>
    <w:rsid w:val="00FB3B2B"/>
    <w:rsid w:val="00FB45E0"/>
    <w:rsid w:val="00FB4AAC"/>
    <w:rsid w:val="00FB63FD"/>
    <w:rsid w:val="00FB6977"/>
    <w:rsid w:val="00FB75DF"/>
    <w:rsid w:val="00FC0E22"/>
    <w:rsid w:val="00FC18DA"/>
    <w:rsid w:val="00FC300F"/>
    <w:rsid w:val="00FC3917"/>
    <w:rsid w:val="00FC4C40"/>
    <w:rsid w:val="00FC4EB8"/>
    <w:rsid w:val="00FC6792"/>
    <w:rsid w:val="00FD0589"/>
    <w:rsid w:val="00FD13B4"/>
    <w:rsid w:val="00FD1D8D"/>
    <w:rsid w:val="00FD4B16"/>
    <w:rsid w:val="00FD60DA"/>
    <w:rsid w:val="00FD7787"/>
    <w:rsid w:val="00FE175F"/>
    <w:rsid w:val="00FE54BA"/>
    <w:rsid w:val="00FF07B4"/>
    <w:rsid w:val="00FF5F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874D0A81-2085-4C73-AA1D-22041016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6D15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D1551"/>
    <w:rPr>
      <w:b/>
      <w:bCs/>
    </w:rPr>
  </w:style>
  <w:style w:type="character" w:styleId="FollowedHyperlink">
    <w:name w:val="FollowedHyperlink"/>
    <w:basedOn w:val="DefaultParagraphFont"/>
    <w:uiPriority w:val="99"/>
    <w:semiHidden/>
    <w:unhideWhenUsed/>
    <w:rsid w:val="0097151F"/>
    <w:rPr>
      <w:color w:val="800080" w:themeColor="followedHyperlink"/>
      <w:u w:val="single"/>
    </w:rPr>
  </w:style>
  <w:style w:type="paragraph" w:styleId="Revision">
    <w:name w:val="Revision"/>
    <w:hidden/>
    <w:uiPriority w:val="99"/>
    <w:semiHidden/>
    <w:rsid w:val="00015F39"/>
    <w:pPr>
      <w:spacing w:after="0" w:line="240" w:lineRule="auto"/>
    </w:pPr>
  </w:style>
  <w:style w:type="character" w:customStyle="1" w:styleId="UnresolvedMention2">
    <w:name w:val="Unresolved Mention2"/>
    <w:basedOn w:val="DefaultParagraphFont"/>
    <w:uiPriority w:val="99"/>
    <w:semiHidden/>
    <w:unhideWhenUsed/>
    <w:rsid w:val="00AA576B"/>
    <w:rPr>
      <w:color w:val="605E5C"/>
      <w:shd w:val="clear" w:color="auto" w:fill="E1DFDD"/>
    </w:rPr>
  </w:style>
  <w:style w:type="paragraph" w:customStyle="1" w:styleId="pf1">
    <w:name w:val="pf1"/>
    <w:basedOn w:val="Normal"/>
    <w:rsid w:val="00E13E7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f0">
    <w:name w:val="pf0"/>
    <w:basedOn w:val="Normal"/>
    <w:rsid w:val="00E13E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f01">
    <w:name w:val="cf01"/>
    <w:basedOn w:val="DefaultParagraphFont"/>
    <w:rsid w:val="00E13E7C"/>
    <w:rPr>
      <w:rFonts w:ascii="Segoe UI" w:hAnsi="Segoe UI" w:cs="Segoe UI" w:hint="default"/>
      <w:sz w:val="18"/>
      <w:szCs w:val="18"/>
    </w:rPr>
  </w:style>
  <w:style w:type="character" w:customStyle="1" w:styleId="cf11">
    <w:name w:val="cf11"/>
    <w:basedOn w:val="DefaultParagraphFont"/>
    <w:rsid w:val="00E13E7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35106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6624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youtube.com/playlist?list=PLmYAE4wV1YQzimXjDWMQ-4GwConTsP7-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mf.org/external/np/sta/gfs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6D39FCA8-BFCB-40F8-9954-439E7974887C}"/>
      </w:docPartPr>
      <w:docPartBody>
        <w:p w:rsidR="00560A52" w:rsidRDefault="00560A52">
          <w:r w:rsidRPr="006903A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TStd-Roman">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52"/>
    <w:rsid w:val="004B7401"/>
    <w:rsid w:val="00560A52"/>
    <w:rsid w:val="00625A65"/>
    <w:rsid w:val="00F515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0A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6BC43FD6CA2439B82A9069B048A54" ma:contentTypeVersion="14" ma:contentTypeDescription="Create a new document." ma:contentTypeScope="" ma:versionID="2c9acbcb0b5552ba438c0f7e35eee472">
  <xsd:schema xmlns:xsd="http://www.w3.org/2001/XMLSchema" xmlns:xs="http://www.w3.org/2001/XMLSchema" xmlns:p="http://schemas.microsoft.com/office/2006/metadata/properties" xmlns:ns3="3b8bc924-86f4-4d9f-9c37-29cc20cb0144" xmlns:ns4="5e87d46e-a816-4312-ac0a-674a40ab6176" targetNamespace="http://schemas.microsoft.com/office/2006/metadata/properties" ma:root="true" ma:fieldsID="28ff9e591ff2245f658400ceb36a948e" ns3:_="" ns4:_="">
    <xsd:import namespace="3b8bc924-86f4-4d9f-9c37-29cc20cb0144"/>
    <xsd:import namespace="5e87d46e-a816-4312-ac0a-674a40ab617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bc924-86f4-4d9f-9c37-29cc20cb01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87d46e-a816-4312-ac0a-674a40ab617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42D123-F121-4A2A-95FD-2937D298F1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bc924-86f4-4d9f-9c37-29cc20cb0144"/>
    <ds:schemaRef ds:uri="5e87d46e-a816-4312-ac0a-674a40ab61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1EE2056F-8C16-4112-B3E3-16539D42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14236</CharactersWithSpaces>
  <SharedDoc>false</SharedDoc>
  <HLinks>
    <vt:vector size="42" baseType="variant">
      <vt:variant>
        <vt:i4>2621480</vt:i4>
      </vt:variant>
      <vt:variant>
        <vt:i4>18</vt:i4>
      </vt:variant>
      <vt:variant>
        <vt:i4>0</vt:i4>
      </vt:variant>
      <vt:variant>
        <vt:i4>5</vt:i4>
      </vt:variant>
      <vt:variant>
        <vt:lpwstr>http://uis.unesco.org/en/uis-questionnaires</vt:lpwstr>
      </vt:variant>
      <vt:variant>
        <vt:lpwstr/>
      </vt:variant>
      <vt:variant>
        <vt:i4>1245192</vt:i4>
      </vt:variant>
      <vt:variant>
        <vt:i4>15</vt:i4>
      </vt:variant>
      <vt:variant>
        <vt:i4>0</vt:i4>
      </vt:variant>
      <vt:variant>
        <vt:i4>5</vt:i4>
      </vt:variant>
      <vt:variant>
        <vt:lpwstr>http://uis.unesco.org/en/files/uoe-data-collection-manual-2020-en-pdf</vt:lpwstr>
      </vt:variant>
      <vt:variant>
        <vt:lpwstr/>
      </vt:variant>
      <vt:variant>
        <vt:i4>6815797</vt:i4>
      </vt:variant>
      <vt:variant>
        <vt:i4>12</vt:i4>
      </vt:variant>
      <vt:variant>
        <vt:i4>0</vt:i4>
      </vt:variant>
      <vt:variant>
        <vt:i4>5</vt:i4>
      </vt:variant>
      <vt:variant>
        <vt:lpwstr>http://uis.unesco.org/sites/default/files/documents/instruction-manual-survey-formal-education-2017-en.pdf</vt:lpwstr>
      </vt:variant>
      <vt:variant>
        <vt:lpwstr/>
      </vt:variant>
      <vt:variant>
        <vt:i4>2949172</vt:i4>
      </vt:variant>
      <vt:variant>
        <vt:i4>9</vt:i4>
      </vt:variant>
      <vt:variant>
        <vt:i4>0</vt:i4>
      </vt:variant>
      <vt:variant>
        <vt:i4>5</vt:i4>
      </vt:variant>
      <vt:variant>
        <vt:lpwstr>http://uis.unesco.org/</vt:lpwstr>
      </vt:variant>
      <vt:variant>
        <vt:lpwstr/>
      </vt:variant>
      <vt:variant>
        <vt:i4>2883633</vt:i4>
      </vt:variant>
      <vt:variant>
        <vt:i4>6</vt:i4>
      </vt:variant>
      <vt:variant>
        <vt:i4>0</vt:i4>
      </vt:variant>
      <vt:variant>
        <vt:i4>5</vt:i4>
      </vt:variant>
      <vt:variant>
        <vt:lpwstr>http://www.youtube.com/playlist?list=PLmYAE4wV1YQzimXjDWMQ-4GwConTsP7-a</vt:lpwstr>
      </vt:variant>
      <vt:variant>
        <vt:lpwstr/>
      </vt:variant>
      <vt:variant>
        <vt:i4>5767232</vt:i4>
      </vt:variant>
      <vt:variant>
        <vt:i4>3</vt:i4>
      </vt:variant>
      <vt:variant>
        <vt:i4>0</vt:i4>
      </vt:variant>
      <vt:variant>
        <vt:i4>5</vt:i4>
      </vt:variant>
      <vt:variant>
        <vt:lpwstr>http://www.imf.org/external/np/sta/gfsm/</vt:lpwstr>
      </vt:variant>
      <vt:variant>
        <vt:lpwstr/>
      </vt:variant>
      <vt:variant>
        <vt:i4>4194304</vt:i4>
      </vt:variant>
      <vt:variant>
        <vt:i4>0</vt:i4>
      </vt:variant>
      <vt:variant>
        <vt:i4>0</vt:i4>
      </vt:variant>
      <vt:variant>
        <vt:i4>5</vt:i4>
      </vt:variant>
      <vt:variant>
        <vt:lpwstr>https://www.moe.gov.bn/DocumentDownloads/Education 2030/Education2030.pdf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Osawa, Naoto</dc:creator>
  <cp:keywords/>
  <cp:lastModifiedBy>Harumi Shibata Salazar</cp:lastModifiedBy>
  <cp:revision>14</cp:revision>
  <dcterms:created xsi:type="dcterms:W3CDTF">2024-05-15T04:15:00Z</dcterms:created>
  <dcterms:modified xsi:type="dcterms:W3CDTF">2024-06-27T17:31:00Z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0x010100A336BC43FD6CA2439B82A9069B048A54</vt:lpwstr>
  </property>
  <property fmtid="{D5CDD505-2E9C-101B-9397-08002B2CF9AE}" pid="3" name="MSIP_Label_0c07ed86-5dc5-4593-ad03-a8684b843815_Enabled">
    <vt:lpwstr>true</vt:lpwstr>
  </property>
  <property fmtid="{D5CDD505-2E9C-101B-9397-08002B2CF9AE}" pid="4" name="MSIP_Label_0c07ed86-5dc5-4593-ad03-a8684b843815_SetDate">
    <vt:lpwstr>2022-09-29T12:35:47Z</vt:lpwstr>
  </property>
  <property fmtid="{D5CDD505-2E9C-101B-9397-08002B2CF9AE}" pid="5" name="MSIP_Label_0c07ed86-5dc5-4593-ad03-a8684b843815_Method">
    <vt:lpwstr>Standard</vt:lpwstr>
  </property>
  <property fmtid="{D5CDD505-2E9C-101B-9397-08002B2CF9AE}" pid="6" name="MSIP_Label_0c07ed86-5dc5-4593-ad03-a8684b843815_Name">
    <vt:lpwstr>0c07ed86-5dc5-4593-ad03-a8684b843815</vt:lpwstr>
  </property>
  <property fmtid="{D5CDD505-2E9C-101B-9397-08002B2CF9AE}" pid="7" name="MSIP_Label_0c07ed86-5dc5-4593-ad03-a8684b843815_SiteId">
    <vt:lpwstr>8085fa43-302e-45bd-b171-a6648c3b6be7</vt:lpwstr>
  </property>
  <property fmtid="{D5CDD505-2E9C-101B-9397-08002B2CF9AE}" pid="8" name="MSIP_Label_0c07ed86-5dc5-4593-ad03-a8684b843815_ActionId">
    <vt:lpwstr>565945b0-96e5-4631-ab93-877eced95311</vt:lpwstr>
  </property>
  <property fmtid="{D5CDD505-2E9C-101B-9397-08002B2CF9AE}" pid="9" name="MSIP_Label_0c07ed86-5dc5-4593-ad03-a8684b843815_ContentBits">
    <vt:lpwstr>0</vt:lpwstr>
  </property>
  <property fmtid="{D5CDD505-2E9C-101B-9397-08002B2CF9AE}" pid="10" name="GrammarlyDocumentId">
    <vt:lpwstr>29972bf8a477d298d02ac10efb1ccffc9e76a97b4a412ac2ff8cb1fc24c20687</vt:lpwstr>
  </property>
</Properties>
</file>