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4FEF91D" w14:textId="77777777" w:rsidR="006D1551" w:rsidRDefault="006D1551" w:rsidP="00D24330">
      <w:pPr>
        <w:pStyle w:val="MIndHeader"/>
        <w:rPr>
          <w:color w:val="333333"/>
          <w:sz w:val="21"/>
          <w:szCs w:val="21"/>
        </w:rPr>
      </w:pPr>
      <w:r w:rsidRPr="006D1551">
        <w:rPr>
          <w:color w:val="333333"/>
          <w:sz w:val="21"/>
          <w:szCs w:val="21"/>
        </w:rPr>
        <w:t>Goal 1: End poverty in all its forms everywhere</w:t>
      </w:r>
    </w:p>
    <w:p w14:paraId="084142D2" w14:textId="5B505CA4" w:rsidR="00D24330" w:rsidRPr="00A96255" w:rsidRDefault="00D24330" w:rsidP="00D24330">
      <w:pPr>
        <w:pStyle w:val="MIndHeader"/>
      </w:pPr>
      <w:r w:rsidRPr="00A96255">
        <w:t xml:space="preserve">0.b. Target </w:t>
      </w:r>
      <w:r>
        <w:rPr>
          <w:color w:val="B4B4B4"/>
          <w:sz w:val="20"/>
        </w:rPr>
        <w:t>(SDG_TARGET)</w:t>
      </w:r>
    </w:p>
    <w:p w14:paraId="1C9F38A3" w14:textId="7E5111B8" w:rsidR="006D1551" w:rsidRPr="00A96255" w:rsidRDefault="006D1551" w:rsidP="00D24330">
      <w:pPr>
        <w:pStyle w:val="MGTHeader"/>
      </w:pPr>
      <w:r w:rsidRPr="006D1551">
        <w:t xml:space="preserve">Target 1.a: 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w:t>
      </w:r>
      <w:proofErr w:type="gramStart"/>
      <w:r w:rsidRPr="006D1551">
        <w:t>dimensions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2E047F7" w14:textId="15F1F3C9" w:rsidR="006D1551" w:rsidRDefault="006D1551" w:rsidP="006D1551">
      <w:pPr>
        <w:pStyle w:val="MGTHeader"/>
      </w:pPr>
      <w:r>
        <w:t xml:space="preserve">Indicator 1.a.2: Proportion of total government spending on essential services (education, </w:t>
      </w:r>
      <w:proofErr w:type="gramStart"/>
      <w:r>
        <w:t>health</w:t>
      </w:r>
      <w:proofErr w:type="gramEnd"/>
      <w:r>
        <w:t xml:space="preserve"> and social protection)</w:t>
      </w:r>
    </w:p>
    <w:p w14:paraId="37E5E4F6" w14:textId="77777777" w:rsidR="00D24330" w:rsidRDefault="00D24330" w:rsidP="00D24330">
      <w:pPr>
        <w:pStyle w:val="MIndHeader"/>
        <w:rPr>
          <w:color w:val="B4B4B4"/>
          <w:sz w:val="20"/>
        </w:rPr>
      </w:pPr>
      <w:r w:rsidRPr="00A96255">
        <w:t xml:space="preserve">0.d. Series </w:t>
      </w:r>
      <w:r>
        <w:rPr>
          <w:color w:val="B4B4B4"/>
          <w:sz w:val="20"/>
        </w:rPr>
        <w:t>(SDG_SERIES_DESCR)</w:t>
      </w:r>
    </w:p>
    <w:p w14:paraId="540B09B3" w14:textId="0883D2FD" w:rsidR="00CA4C26" w:rsidRPr="00A96255" w:rsidRDefault="00CA4C26" w:rsidP="00E11831">
      <w:pPr>
        <w:pStyle w:val="MGTHeader"/>
      </w:pPr>
      <w:r w:rsidRPr="00CA4C26">
        <w:t>SD_XPD_ESED - Proportion of total government spending on essential services, education [UIS methodology] [1.a.2]</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438756840"/>
        <w:placeholder>
          <w:docPart w:val="DefaultPlaceholder_-1854013437"/>
        </w:placeholder>
        <w:date w:fullDate="2024-06-28T00:00:00Z">
          <w:dateFormat w:val="yyyy-MM-dd"/>
          <w:lid w:val="en-US"/>
          <w:storeMappedDataAs w:val="dateTime"/>
          <w:calendar w:val="gregorian"/>
        </w:date>
      </w:sdtPr>
      <w:sdtContent>
        <w:p w14:paraId="4831CCBE" w14:textId="410B40AC" w:rsidR="006D1551" w:rsidRPr="00A96255" w:rsidRDefault="00CA4C26" w:rsidP="00D24330">
          <w:pPr>
            <w:pStyle w:val="MGTHeader"/>
          </w:pPr>
          <w:r>
            <w:rPr>
              <w:lang w:val="en-US"/>
            </w:rPr>
            <w:t>2024-06-28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5A234AB" w14:textId="7FA3B3C5" w:rsidR="00725552" w:rsidRPr="00A96255" w:rsidRDefault="00725552" w:rsidP="00D24330">
      <w:pPr>
        <w:pStyle w:val="MGTHeader"/>
      </w:pPr>
      <w:r w:rsidRPr="00725552">
        <w:t xml:space="preserve">4.5.3, 4.5.4, 4.5.5, </w:t>
      </w:r>
      <w:r w:rsidR="005E797B">
        <w:t xml:space="preserve">4.5.6, </w:t>
      </w:r>
      <w:r w:rsidRPr="00725552">
        <w:t>4.b.1</w:t>
      </w:r>
    </w:p>
    <w:p w14:paraId="077BC49E" w14:textId="6260638C"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448D825A" w14:textId="3A93D6C4" w:rsidR="006D1551" w:rsidRPr="00A96255" w:rsidRDefault="006D1551" w:rsidP="00D24330">
      <w:pPr>
        <w:pStyle w:val="MGTHeader"/>
        <w:rPr>
          <w:color w:val="4A4A4A"/>
        </w:rPr>
      </w:pPr>
      <w:r w:rsidRPr="006D1551">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7B057EB" w14:textId="45D27434" w:rsidR="006D1551" w:rsidRDefault="006D1551" w:rsidP="00576CFA">
      <w:pPr>
        <w:pStyle w:val="MText"/>
      </w:pPr>
      <w:r w:rsidRPr="006D1551">
        <w:t>UNESCO Institute for Statistics (UNESCO-UIS)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892082" w14:paraId="3109B970" w14:textId="77777777" w:rsidTr="00E11831">
        <w:tc>
          <w:tcPr>
            <w:tcW w:w="9016" w:type="dxa"/>
          </w:tcPr>
          <w:p w14:paraId="2557B6BA" w14:textId="6EB9E2E2" w:rsidR="00892082" w:rsidRPr="00EE316B" w:rsidRDefault="00EE316B" w:rsidP="00E11831">
            <w:pPr>
              <w:pStyle w:val="MText"/>
              <w:rPr>
                <w:rStyle w:val="Strong"/>
                <w:b w:val="0"/>
                <w:bCs w:val="0"/>
                <w:color w:val="1C75BC"/>
                <w:sz w:val="26"/>
                <w:szCs w:val="36"/>
              </w:rPr>
            </w:pPr>
            <w:r w:rsidRPr="00EE316B">
              <w:rPr>
                <w:rStyle w:val="Strong"/>
                <w:b w:val="0"/>
                <w:bCs w:val="0"/>
              </w:rPr>
              <w:t xml:space="preserve">As agreed by the Inter-agency and Expert Group on SDG Indicators (IAEG-SDGs), data for the </w:t>
            </w:r>
            <w:r w:rsidRPr="00C32B30">
              <w:rPr>
                <w:rStyle w:val="Strong"/>
              </w:rPr>
              <w:t>education component only</w:t>
            </w:r>
            <w:r w:rsidRPr="00EE316B">
              <w:rPr>
                <w:rStyle w:val="Strong"/>
                <w:b w:val="0"/>
                <w:bCs w:val="0"/>
              </w:rPr>
              <w:t xml:space="preserve"> of indicator 1.a.2 are provided by two custodian agencies (co-custodians IMF and UNESCO-UIS) to provide maximum country coverage. Therefore, the Global SDG Indicators Database includes two distinct data series for the education component, supplied by these different data providers (the co-custodians). Each provider employs unique data collection and calculation methods. Consequently, variations may arise when comparing the datasets: SG_XPD_EDUC (provided by IMF as part of a set that contains </w:t>
            </w:r>
            <w:proofErr w:type="gramStart"/>
            <w:r w:rsidRPr="00EE316B">
              <w:rPr>
                <w:rStyle w:val="Strong"/>
                <w:b w:val="0"/>
                <w:bCs w:val="0"/>
              </w:rPr>
              <w:t>all  components</w:t>
            </w:r>
            <w:proofErr w:type="gramEnd"/>
            <w:r w:rsidRPr="00EE316B">
              <w:rPr>
                <w:rStyle w:val="Strong"/>
                <w:b w:val="0"/>
                <w:bCs w:val="0"/>
              </w:rPr>
              <w:t xml:space="preserve"> of indicator 1.a.2 and the total) and SD_XPD_ESED (provided by UNESCO-UIS for the education component only). To gain insight into the </w:t>
            </w:r>
            <w:r w:rsidRPr="00EE316B">
              <w:rPr>
                <w:rStyle w:val="Strong"/>
                <w:b w:val="0"/>
                <w:bCs w:val="0"/>
              </w:rPr>
              <w:lastRenderedPageBreak/>
              <w:t xml:space="preserve">methodologies used by each provider, please review the additional metadata file associated with indicator </w:t>
            </w:r>
            <w:proofErr w:type="gramStart"/>
            <w:r w:rsidRPr="00EE316B">
              <w:rPr>
                <w:rStyle w:val="Strong"/>
                <w:b w:val="0"/>
                <w:bCs w:val="0"/>
              </w:rPr>
              <w:t>1.a.</w:t>
            </w:r>
            <w:proofErr w:type="gramEnd"/>
            <w:r w:rsidRPr="00EE316B">
              <w:rPr>
                <w:rStyle w:val="Strong"/>
                <w:b w:val="0"/>
                <w:bCs w:val="0"/>
              </w:rPr>
              <w:t>2.</w:t>
            </w:r>
          </w:p>
        </w:tc>
      </w:tr>
    </w:tbl>
    <w:p w14:paraId="63E8F223" w14:textId="77777777" w:rsidR="00A706FD" w:rsidRDefault="00A706FD" w:rsidP="006D1551">
      <w:pPr>
        <w:shd w:val="clear" w:color="auto" w:fill="FFFFFF"/>
        <w:spacing w:after="0"/>
        <w:rPr>
          <w:rStyle w:val="Strong"/>
          <w:rFonts w:cs="Times New Roman"/>
          <w:color w:val="4A4A4A"/>
          <w:sz w:val="21"/>
          <w:szCs w:val="21"/>
        </w:rPr>
      </w:pPr>
    </w:p>
    <w:p w14:paraId="75DCF708" w14:textId="39617908" w:rsidR="006D1551" w:rsidRDefault="006D1551" w:rsidP="006D1551">
      <w:pPr>
        <w:shd w:val="clear" w:color="auto" w:fill="FFFFFF"/>
        <w:spacing w:after="0"/>
        <w:rPr>
          <w:rStyle w:val="Strong"/>
          <w:rFonts w:cs="Times New Roman"/>
          <w:color w:val="4A4A4A"/>
          <w:sz w:val="21"/>
          <w:szCs w:val="21"/>
        </w:rPr>
      </w:pPr>
      <w:r w:rsidRPr="00BE3399">
        <w:rPr>
          <w:rStyle w:val="Strong"/>
          <w:rFonts w:cs="Times New Roman"/>
          <w:color w:val="4A4A4A"/>
          <w:sz w:val="21"/>
          <w:szCs w:val="21"/>
        </w:rPr>
        <w:t>Definition:</w:t>
      </w:r>
    </w:p>
    <w:p w14:paraId="1ED7A6DE" w14:textId="064A9258" w:rsidR="006D1551" w:rsidRPr="0002569B" w:rsidRDefault="006D1551" w:rsidP="006D1551">
      <w:pPr>
        <w:shd w:val="clear" w:color="auto" w:fill="FFFFFF"/>
        <w:spacing w:after="0"/>
        <w:rPr>
          <w:rFonts w:eastAsia="Times New Roman" w:cs="Times New Roman"/>
          <w:color w:val="4A4A4A"/>
          <w:sz w:val="21"/>
          <w:szCs w:val="21"/>
          <w:lang w:eastAsia="en-GB"/>
        </w:rPr>
      </w:pPr>
      <w:r w:rsidRPr="0002569B">
        <w:rPr>
          <w:rFonts w:eastAsia="Times New Roman" w:cs="Times New Roman"/>
          <w:color w:val="4A4A4A"/>
          <w:sz w:val="21"/>
          <w:szCs w:val="21"/>
          <w:lang w:eastAsia="en-GB"/>
        </w:rPr>
        <w:t xml:space="preserve">Total general (local, </w:t>
      </w:r>
      <w:proofErr w:type="gramStart"/>
      <w:r w:rsidRPr="0002569B">
        <w:rPr>
          <w:rFonts w:eastAsia="Times New Roman" w:cs="Times New Roman"/>
          <w:color w:val="4A4A4A"/>
          <w:sz w:val="21"/>
          <w:szCs w:val="21"/>
          <w:lang w:eastAsia="en-GB"/>
        </w:rPr>
        <w:t>regional</w:t>
      </w:r>
      <w:proofErr w:type="gramEnd"/>
      <w:r w:rsidRPr="0002569B">
        <w:rPr>
          <w:rFonts w:eastAsia="Times New Roman" w:cs="Times New Roman"/>
          <w:color w:val="4A4A4A"/>
          <w:sz w:val="21"/>
          <w:szCs w:val="21"/>
          <w:lang w:eastAsia="en-GB"/>
        </w:rPr>
        <w:t xml:space="preserve"> and central) government expenditure on education (current, capital, and transfers), expressed as a percentage of total general government expenditure on all sectors (including health, education, social services, etc.). It includes expenditure funded by transfers from international sources to the government.</w:t>
      </w:r>
    </w:p>
    <w:p w14:paraId="52294CA4" w14:textId="77777777" w:rsidR="006D1551" w:rsidRPr="00BE3399"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p>
    <w:p w14:paraId="156E200C" w14:textId="77777777" w:rsidR="006D1551" w:rsidRPr="00BE3399" w:rsidRDefault="006D1551" w:rsidP="006D1551">
      <w:pPr>
        <w:shd w:val="clear" w:color="auto" w:fill="FFFFFF"/>
        <w:spacing w:after="0"/>
        <w:rPr>
          <w:rFonts w:cs="Times New Roman"/>
          <w:color w:val="4A4A4A"/>
          <w:sz w:val="21"/>
          <w:szCs w:val="21"/>
        </w:rPr>
      </w:pPr>
      <w:r w:rsidRPr="00BE3399">
        <w:rPr>
          <w:rStyle w:val="Strong"/>
          <w:rFonts w:cs="Times New Roman"/>
          <w:color w:val="4A4A4A"/>
          <w:sz w:val="21"/>
          <w:szCs w:val="21"/>
        </w:rPr>
        <w:t>Concepts:</w:t>
      </w:r>
    </w:p>
    <w:p w14:paraId="1B13DBDE" w14:textId="77777777" w:rsidR="006D1551"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Government expenditure on education covers educational expenditure by all levels of government (local, regional, central) on the formal education system, from early childhood to tertiary education, in both public and private instructional and non-instructional institutions within the borders of a country.</w:t>
      </w:r>
    </w:p>
    <w:p w14:paraId="6E54D3D6" w14:textId="7CEC26D7" w:rsidR="00EC2915" w:rsidRPr="006D1551" w:rsidRDefault="006D1551" w:rsidP="006D1551">
      <w:pPr>
        <w:pStyle w:val="form-control-static"/>
        <w:shd w:val="clear" w:color="auto" w:fill="FFFFFF"/>
        <w:spacing w:after="0"/>
        <w:rPr>
          <w:rFonts w:asciiTheme="minorHAnsi" w:hAnsiTheme="minorHAnsi"/>
          <w:color w:val="4A4A4A"/>
          <w:sz w:val="21"/>
          <w:szCs w:val="21"/>
        </w:rPr>
      </w:pPr>
      <w:r w:rsidRPr="009413BF">
        <w:rPr>
          <w:rFonts w:asciiTheme="minorHAnsi" w:hAnsiTheme="minorHAnsi"/>
          <w:color w:val="4A4A4A"/>
          <w:sz w:val="21"/>
          <w:szCs w:val="21"/>
        </w:rPr>
        <w:t>Expenditure on education includes expenditure on core educational goods and services,</w:t>
      </w:r>
      <w:r>
        <w:rPr>
          <w:rFonts w:asciiTheme="minorHAnsi" w:hAnsiTheme="minorHAnsi"/>
          <w:color w:val="4A4A4A"/>
          <w:sz w:val="21"/>
          <w:szCs w:val="21"/>
        </w:rPr>
        <w:t xml:space="preserve"> </w:t>
      </w:r>
      <w:r w:rsidRPr="009413BF">
        <w:rPr>
          <w:rFonts w:asciiTheme="minorHAnsi" w:hAnsiTheme="minorHAnsi"/>
          <w:color w:val="4A4A4A"/>
          <w:sz w:val="21"/>
          <w:szCs w:val="21"/>
        </w:rPr>
        <w:t xml:space="preserve">such as teaching staff, school buildings, or </w:t>
      </w:r>
      <w:proofErr w:type="gramStart"/>
      <w:r w:rsidRPr="009413BF">
        <w:rPr>
          <w:rFonts w:asciiTheme="minorHAnsi" w:hAnsiTheme="minorHAnsi"/>
          <w:color w:val="4A4A4A"/>
          <w:sz w:val="21"/>
          <w:szCs w:val="21"/>
        </w:rPr>
        <w:t>school books</w:t>
      </w:r>
      <w:proofErr w:type="gramEnd"/>
      <w:r w:rsidRPr="009413BF">
        <w:rPr>
          <w:rFonts w:asciiTheme="minorHAnsi" w:hAnsiTheme="minorHAnsi"/>
          <w:color w:val="4A4A4A"/>
          <w:sz w:val="21"/>
          <w:szCs w:val="21"/>
        </w:rPr>
        <w:t xml:space="preserve"> and teaching materials, and peripheral</w:t>
      </w:r>
      <w:r>
        <w:rPr>
          <w:rFonts w:asciiTheme="minorHAnsi" w:hAnsiTheme="minorHAnsi"/>
          <w:color w:val="4A4A4A"/>
          <w:sz w:val="21"/>
          <w:szCs w:val="21"/>
        </w:rPr>
        <w:t xml:space="preserve"> </w:t>
      </w:r>
      <w:r w:rsidRPr="009413BF">
        <w:rPr>
          <w:rFonts w:asciiTheme="minorHAnsi" w:hAnsiTheme="minorHAnsi"/>
          <w:color w:val="4A4A4A"/>
          <w:sz w:val="21"/>
          <w:szCs w:val="21"/>
        </w:rPr>
        <w:t>educational goods and services such as ancillary services, general administration and other</w:t>
      </w:r>
      <w:r>
        <w:rPr>
          <w:rFonts w:asciiTheme="minorHAnsi" w:hAnsiTheme="minorHAnsi"/>
          <w:color w:val="4A4A4A"/>
          <w:sz w:val="21"/>
          <w:szCs w:val="21"/>
        </w:rPr>
        <w:t xml:space="preserve"> </w:t>
      </w:r>
      <w:r w:rsidRPr="009413BF">
        <w:rPr>
          <w:rFonts w:asciiTheme="minorHAnsi" w:hAnsiTheme="minorHAnsi"/>
          <w:color w:val="4A4A4A"/>
          <w:sz w:val="21"/>
          <w:szCs w:val="21"/>
        </w:rPr>
        <w:t>activities.</w:t>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044589" w:rsidR="00EC2915" w:rsidRDefault="00885E2E" w:rsidP="00576CFA">
      <w:pPr>
        <w:pStyle w:val="MText"/>
      </w:pPr>
      <w:r>
        <w:t xml:space="preserve">Percentage. This indicator is </w:t>
      </w:r>
      <w:r w:rsidR="005645F6">
        <w:t xml:space="preserve">the </w:t>
      </w:r>
      <w:r>
        <w:t>t</w:t>
      </w:r>
      <w:r w:rsidRPr="00FC006D">
        <w:t>otal general government expenditure on educatio</w:t>
      </w:r>
      <w:r>
        <w:t>n</w:t>
      </w:r>
      <w:r w:rsidRPr="00FC006D">
        <w:t>, expressed as a percentage of total general government expenditure on all sectors</w:t>
      </w:r>
      <w:r>
        <w:t xml:space="preserve">. </w:t>
      </w:r>
    </w:p>
    <w:p w14:paraId="5FA2CA7F" w14:textId="77777777" w:rsidR="00B965B1" w:rsidRPr="00A96255" w:rsidRDefault="00B965B1" w:rsidP="00576CFA">
      <w:pPr>
        <w:pStyle w:val="MText"/>
      </w:pPr>
    </w:p>
    <w:p w14:paraId="651AA7AC" w14:textId="5144B8C4" w:rsidR="00DA615C" w:rsidRPr="008046E8" w:rsidRDefault="008B0AC7" w:rsidP="00F719A8">
      <w:pPr>
        <w:pStyle w:val="MHeader2"/>
        <w:rPr>
          <w:color w:val="595959" w:themeColor="text1" w:themeTint="A6"/>
        </w:rPr>
      </w:pPr>
      <w:r w:rsidRPr="00E11831">
        <w:t>2.c. Classifications</w:t>
      </w:r>
      <w:r w:rsidRPr="008046E8">
        <w:rPr>
          <w:color w:val="595959" w:themeColor="text1" w:themeTint="A6"/>
        </w:rPr>
        <w:t xml:space="preserve"> </w:t>
      </w:r>
      <w:r>
        <w:rPr>
          <w:color w:val="B4B4B4"/>
          <w:sz w:val="20"/>
        </w:rPr>
        <w:t>(CLASS_SYSTEM)</w:t>
      </w:r>
    </w:p>
    <w:p w14:paraId="123172F4" w14:textId="63B3D30C" w:rsidR="00F719A8" w:rsidRDefault="008046E8" w:rsidP="008046E8">
      <w:pPr>
        <w:pStyle w:val="Default"/>
        <w:rPr>
          <w:rFonts w:asciiTheme="minorHAnsi" w:hAnsiTheme="minorHAnsi" w:cstheme="minorHAnsi"/>
          <w:color w:val="4A4A4A"/>
          <w:sz w:val="21"/>
          <w:szCs w:val="21"/>
        </w:rPr>
      </w:pPr>
      <w:r>
        <w:rPr>
          <w:rFonts w:asciiTheme="minorHAnsi" w:hAnsiTheme="minorHAnsi" w:cstheme="minorHAnsi"/>
          <w:color w:val="4A4A4A"/>
          <w:sz w:val="21"/>
          <w:szCs w:val="21"/>
        </w:rPr>
        <w:t>The formal education system comprises</w:t>
      </w:r>
      <w:r w:rsidRPr="008046E8">
        <w:rPr>
          <w:rFonts w:asciiTheme="minorHAnsi" w:hAnsiTheme="minorHAnsi" w:cstheme="minorHAnsi"/>
          <w:color w:val="4A4A4A"/>
          <w:sz w:val="21"/>
          <w:szCs w:val="21"/>
        </w:rPr>
        <w:t xml:space="preserve"> the levels of education defined in the 2011 revision of the </w:t>
      </w:r>
      <w:r w:rsidRPr="008046E8">
        <w:rPr>
          <w:rFonts w:asciiTheme="minorHAnsi" w:hAnsiTheme="minorHAnsi" w:cstheme="minorHAnsi"/>
          <w:i/>
          <w:iCs/>
          <w:color w:val="4A4A4A"/>
          <w:sz w:val="21"/>
          <w:szCs w:val="21"/>
        </w:rPr>
        <w:t>International Standard Classification of Education (ISCED 2011)</w:t>
      </w:r>
      <w:r w:rsidRPr="008046E8">
        <w:rPr>
          <w:rFonts w:asciiTheme="minorHAnsi" w:hAnsiTheme="minorHAnsi" w:cstheme="minorHAnsi"/>
          <w:color w:val="4A4A4A"/>
          <w:sz w:val="21"/>
          <w:szCs w:val="21"/>
        </w:rPr>
        <w:t xml:space="preserve">. </w:t>
      </w:r>
    </w:p>
    <w:p w14:paraId="171EAB61" w14:textId="77777777" w:rsidR="008046E8" w:rsidRPr="008046E8" w:rsidRDefault="008046E8" w:rsidP="008046E8">
      <w:pPr>
        <w:pStyle w:val="Default"/>
        <w:rPr>
          <w:color w:val="4A4A4A"/>
        </w:rPr>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9407685" w14:textId="77777777" w:rsidR="00682F5B" w:rsidRDefault="00682F5B" w:rsidP="00576CFA">
      <w:pPr>
        <w:pStyle w:val="MText"/>
        <w:rPr>
          <w:b/>
        </w:rPr>
      </w:pPr>
    </w:p>
    <w:p w14:paraId="7B341E28" w14:textId="46C49862" w:rsidR="008046E8" w:rsidRPr="008046E8" w:rsidRDefault="008046E8" w:rsidP="008046E8">
      <w:pPr>
        <w:pStyle w:val="MText"/>
        <w:rPr>
          <w:iCs/>
        </w:rPr>
      </w:pPr>
      <w:r w:rsidRPr="008046E8">
        <w:rPr>
          <w:iCs/>
        </w:rPr>
        <w:t>Data on government spending come from government budgetary documents, financial reports, and official statistics provided by government agencies responsible for finance and budgeting.</w:t>
      </w:r>
    </w:p>
    <w:p w14:paraId="4CE2EA46" w14:textId="77777777" w:rsidR="005419F8" w:rsidRDefault="005419F8" w:rsidP="008046E8">
      <w:pPr>
        <w:pStyle w:val="MText"/>
        <w:rPr>
          <w:iCs/>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38E11A9" w14:textId="77777777" w:rsidR="00610B27" w:rsidRPr="008046E8" w:rsidRDefault="00610B27" w:rsidP="00610B27">
      <w:pPr>
        <w:pStyle w:val="MText"/>
        <w:rPr>
          <w:iCs/>
        </w:rPr>
      </w:pPr>
      <w:r w:rsidRPr="008046E8">
        <w:rPr>
          <w:iCs/>
        </w:rPr>
        <w:t>The UIS compiles government spending data through:</w:t>
      </w:r>
    </w:p>
    <w:p w14:paraId="3C48598F" w14:textId="77777777" w:rsidR="00610B27" w:rsidRPr="008046E8" w:rsidRDefault="00610B27" w:rsidP="00610B27">
      <w:pPr>
        <w:pStyle w:val="MText"/>
        <w:numPr>
          <w:ilvl w:val="0"/>
          <w:numId w:val="8"/>
        </w:numPr>
        <w:rPr>
          <w:iCs/>
        </w:rPr>
      </w:pPr>
      <w:r w:rsidRPr="008046E8">
        <w:rPr>
          <w:iCs/>
        </w:rPr>
        <w:t xml:space="preserve">UIS Formal Education Survey: </w:t>
      </w:r>
    </w:p>
    <w:p w14:paraId="3EA0A2A2" w14:textId="0BA63A6A" w:rsidR="00610B27" w:rsidRPr="008046E8" w:rsidRDefault="00610B27" w:rsidP="00610B27">
      <w:pPr>
        <w:pStyle w:val="MText"/>
        <w:numPr>
          <w:ilvl w:val="1"/>
          <w:numId w:val="8"/>
        </w:numPr>
        <w:rPr>
          <w:iCs/>
        </w:rPr>
      </w:pPr>
      <w:r w:rsidRPr="008046E8">
        <w:rPr>
          <w:iCs/>
        </w:rPr>
        <w:t xml:space="preserve">Numerator: data provided by countries responding to the annual UIS survey on formal education </w:t>
      </w:r>
      <w:r>
        <w:rPr>
          <w:iCs/>
        </w:rPr>
        <w:t>including</w:t>
      </w:r>
      <w:r w:rsidRPr="008046E8">
        <w:rPr>
          <w:iCs/>
        </w:rPr>
        <w:t xml:space="preserve"> the UNESCO-OECD-Eurostat (UOE) data collection. </w:t>
      </w:r>
    </w:p>
    <w:p w14:paraId="338BF8F8" w14:textId="77777777" w:rsidR="00610B27" w:rsidRPr="008046E8" w:rsidRDefault="00610B27" w:rsidP="00610B27">
      <w:pPr>
        <w:pStyle w:val="MText"/>
        <w:numPr>
          <w:ilvl w:val="1"/>
          <w:numId w:val="8"/>
        </w:numPr>
        <w:rPr>
          <w:iCs/>
        </w:rPr>
      </w:pPr>
      <w:r w:rsidRPr="008046E8">
        <w:rPr>
          <w:iCs/>
        </w:rPr>
        <w:t>Denominator: data on total general government expenditure (all sectors) are extracted from the International Monetary Fund's World Economic Outlook database and are updated annually.</w:t>
      </w:r>
    </w:p>
    <w:p w14:paraId="1BDB0CF3" w14:textId="77777777" w:rsidR="00610B27" w:rsidRPr="008046E8" w:rsidRDefault="00610B27" w:rsidP="00610B27">
      <w:pPr>
        <w:pStyle w:val="MText"/>
        <w:numPr>
          <w:ilvl w:val="0"/>
          <w:numId w:val="8"/>
        </w:numPr>
        <w:rPr>
          <w:iCs/>
        </w:rPr>
      </w:pPr>
      <w:r w:rsidRPr="008046E8">
        <w:rPr>
          <w:iCs/>
        </w:rPr>
        <w:t>UIS Dynamic Template (numerator and denominator): data provided by countries or data obtained from the national official documents.</w:t>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4A2DBCE2" w14:textId="104D853E" w:rsidR="000F6D5B" w:rsidRDefault="00690884" w:rsidP="00284485">
      <w:pPr>
        <w:pStyle w:val="form-control-static"/>
        <w:numPr>
          <w:ilvl w:val="0"/>
          <w:numId w:val="7"/>
        </w:numPr>
        <w:shd w:val="clear" w:color="auto" w:fill="FFFFFF"/>
        <w:spacing w:before="120" w:beforeAutospacing="0" w:after="0" w:afterAutospacing="0"/>
        <w:rPr>
          <w:rFonts w:asciiTheme="minorHAnsi" w:hAnsiTheme="minorHAnsi"/>
          <w:color w:val="4A4A4A"/>
          <w:sz w:val="21"/>
          <w:szCs w:val="21"/>
        </w:rPr>
      </w:pPr>
      <w:r>
        <w:rPr>
          <w:rFonts w:asciiTheme="minorHAnsi" w:hAnsiTheme="minorHAnsi"/>
          <w:color w:val="4A4A4A"/>
          <w:sz w:val="21"/>
          <w:szCs w:val="21"/>
        </w:rPr>
        <w:lastRenderedPageBreak/>
        <w:t>Annual UIS (</w:t>
      </w:r>
      <w:r w:rsidR="00FC300F">
        <w:rPr>
          <w:rFonts w:asciiTheme="minorHAnsi" w:hAnsiTheme="minorHAnsi"/>
          <w:color w:val="4A4A4A"/>
          <w:sz w:val="21"/>
          <w:szCs w:val="21"/>
        </w:rPr>
        <w:t xml:space="preserve">usually </w:t>
      </w:r>
      <w:r>
        <w:rPr>
          <w:rFonts w:asciiTheme="minorHAnsi" w:hAnsiTheme="minorHAnsi"/>
          <w:color w:val="4A4A4A"/>
          <w:sz w:val="21"/>
          <w:szCs w:val="21"/>
        </w:rPr>
        <w:t xml:space="preserve">launched </w:t>
      </w:r>
      <w:r w:rsidR="00FC300F">
        <w:rPr>
          <w:rFonts w:asciiTheme="minorHAnsi" w:hAnsiTheme="minorHAnsi"/>
          <w:color w:val="4A4A4A"/>
          <w:sz w:val="21"/>
          <w:szCs w:val="21"/>
        </w:rPr>
        <w:t>the 4</w:t>
      </w:r>
      <w:r w:rsidR="00FC300F" w:rsidRPr="00950B63">
        <w:rPr>
          <w:rFonts w:asciiTheme="minorHAnsi" w:hAnsiTheme="minorHAnsi"/>
          <w:color w:val="4A4A4A"/>
          <w:sz w:val="21"/>
          <w:szCs w:val="21"/>
        </w:rPr>
        <w:t>th</w:t>
      </w:r>
      <w:r w:rsidR="00FC300F">
        <w:rPr>
          <w:rFonts w:asciiTheme="minorHAnsi" w:hAnsiTheme="minorHAnsi"/>
          <w:color w:val="4A4A4A"/>
          <w:sz w:val="21"/>
          <w:szCs w:val="21"/>
        </w:rPr>
        <w:t xml:space="preserve"> quarter every year</w:t>
      </w:r>
      <w:r>
        <w:rPr>
          <w:rFonts w:asciiTheme="minorHAnsi" w:hAnsiTheme="minorHAnsi"/>
          <w:color w:val="4A4A4A"/>
          <w:sz w:val="21"/>
          <w:szCs w:val="21"/>
        </w:rPr>
        <w:t>) and UOE survey (</w:t>
      </w:r>
      <w:r w:rsidR="00FC300F">
        <w:rPr>
          <w:rFonts w:asciiTheme="minorHAnsi" w:hAnsiTheme="minorHAnsi"/>
          <w:color w:val="4A4A4A"/>
          <w:sz w:val="21"/>
          <w:szCs w:val="21"/>
        </w:rPr>
        <w:t xml:space="preserve">usually </w:t>
      </w:r>
      <w:r>
        <w:rPr>
          <w:rFonts w:asciiTheme="minorHAnsi" w:hAnsiTheme="minorHAnsi"/>
          <w:color w:val="4A4A4A"/>
          <w:sz w:val="21"/>
          <w:szCs w:val="21"/>
        </w:rPr>
        <w:t>launched in June</w:t>
      </w:r>
      <w:r w:rsidR="00950B63">
        <w:rPr>
          <w:rFonts w:asciiTheme="minorHAnsi" w:hAnsiTheme="minorHAnsi"/>
          <w:color w:val="4A4A4A"/>
          <w:sz w:val="21"/>
          <w:szCs w:val="21"/>
        </w:rPr>
        <w:t xml:space="preserve"> </w:t>
      </w:r>
      <w:r w:rsidR="00FC300F">
        <w:rPr>
          <w:rFonts w:asciiTheme="minorHAnsi" w:hAnsiTheme="minorHAnsi"/>
          <w:color w:val="4A4A4A"/>
          <w:sz w:val="21"/>
          <w:szCs w:val="21"/>
        </w:rPr>
        <w:t>every year</w:t>
      </w:r>
      <w:r>
        <w:rPr>
          <w:rFonts w:asciiTheme="minorHAnsi" w:hAnsiTheme="minorHAnsi"/>
          <w:color w:val="4A4A4A"/>
          <w:sz w:val="21"/>
          <w:szCs w:val="21"/>
        </w:rPr>
        <w:t>).</w:t>
      </w:r>
      <w:r w:rsidR="00C00DDF">
        <w:rPr>
          <w:rFonts w:asciiTheme="minorHAnsi" w:hAnsiTheme="minorHAnsi"/>
          <w:color w:val="4A4A4A"/>
          <w:sz w:val="21"/>
          <w:szCs w:val="21"/>
        </w:rPr>
        <w:t xml:space="preserve"> </w:t>
      </w:r>
    </w:p>
    <w:p w14:paraId="292DFDEF" w14:textId="73616F1E" w:rsidR="00690884" w:rsidRPr="00BE3399" w:rsidRDefault="00C00DDF" w:rsidP="00950B63">
      <w:pPr>
        <w:pStyle w:val="form-control-static"/>
        <w:numPr>
          <w:ilvl w:val="0"/>
          <w:numId w:val="7"/>
        </w:numPr>
        <w:shd w:val="clear" w:color="auto" w:fill="FFFFFF"/>
        <w:spacing w:before="120" w:beforeAutospacing="0" w:after="0" w:afterAutospacing="0"/>
        <w:ind w:left="714" w:hanging="357"/>
        <w:rPr>
          <w:rFonts w:asciiTheme="minorHAnsi" w:hAnsiTheme="minorHAnsi"/>
          <w:color w:val="4A4A4A"/>
          <w:sz w:val="21"/>
          <w:szCs w:val="21"/>
        </w:rPr>
      </w:pPr>
      <w:r>
        <w:rPr>
          <w:rFonts w:asciiTheme="minorHAnsi" w:hAnsiTheme="minorHAnsi"/>
          <w:color w:val="4A4A4A"/>
          <w:sz w:val="21"/>
          <w:szCs w:val="21"/>
        </w:rPr>
        <w:t>Data</w:t>
      </w:r>
      <w:r w:rsidR="000F6D5B">
        <w:rPr>
          <w:rFonts w:asciiTheme="minorHAnsi" w:hAnsiTheme="minorHAnsi"/>
          <w:color w:val="4A4A4A"/>
          <w:sz w:val="21"/>
          <w:szCs w:val="21"/>
        </w:rPr>
        <w:t xml:space="preserve"> </w:t>
      </w:r>
      <w:r>
        <w:rPr>
          <w:rFonts w:asciiTheme="minorHAnsi" w:hAnsiTheme="minorHAnsi"/>
          <w:color w:val="4A4A4A"/>
          <w:sz w:val="21"/>
          <w:szCs w:val="21"/>
        </w:rPr>
        <w:t xml:space="preserve">mining </w:t>
      </w:r>
      <w:r w:rsidR="000F6D5B">
        <w:rPr>
          <w:rFonts w:asciiTheme="minorHAnsi" w:hAnsiTheme="minorHAnsi"/>
          <w:color w:val="4A4A4A"/>
          <w:sz w:val="21"/>
          <w:szCs w:val="21"/>
        </w:rPr>
        <w:t xml:space="preserve">is </w:t>
      </w:r>
      <w:r w:rsidR="00062C4E">
        <w:rPr>
          <w:rFonts w:asciiTheme="minorHAnsi" w:hAnsiTheme="minorHAnsi"/>
          <w:color w:val="4A4A4A"/>
          <w:sz w:val="21"/>
          <w:szCs w:val="21"/>
        </w:rPr>
        <w:t xml:space="preserve">conducted periodically to correspond to the UIS data release </w:t>
      </w:r>
      <w:proofErr w:type="gramStart"/>
      <w:r w:rsidR="00062C4E">
        <w:rPr>
          <w:rFonts w:asciiTheme="minorHAnsi" w:hAnsiTheme="minorHAnsi"/>
          <w:color w:val="4A4A4A"/>
          <w:sz w:val="21"/>
          <w:szCs w:val="21"/>
        </w:rPr>
        <w:t>schedule</w:t>
      </w:r>
      <w:proofErr w:type="gramEnd"/>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DD77212" w14:textId="7C5ECBEE" w:rsidR="00690884" w:rsidRPr="00BE3399"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Biannual UIS data release (February and September).</w:t>
      </w:r>
    </w:p>
    <w:p w14:paraId="64C749BD" w14:textId="77777777" w:rsidR="00EC2915" w:rsidRPr="00A96255" w:rsidRDefault="00EC2915" w:rsidP="00576CFA">
      <w:pPr>
        <w:pStyle w:val="MText"/>
      </w:pPr>
    </w:p>
    <w:p w14:paraId="3A4F3065" w14:textId="3AD52F9D" w:rsidR="00E46D96" w:rsidRPr="007E37D8" w:rsidRDefault="00E46D96" w:rsidP="00F719A8">
      <w:pPr>
        <w:pStyle w:val="MHeader2"/>
        <w:rPr>
          <w:lang w:val="it-IT"/>
        </w:rPr>
      </w:pPr>
      <w:r w:rsidRPr="007E37D8">
        <w:rPr>
          <w:lang w:val="it-IT"/>
        </w:rPr>
        <w:t xml:space="preserve">3.e. Data providers </w:t>
      </w:r>
      <w:r>
        <w:rPr>
          <w:color w:val="B4B4B4"/>
          <w:sz w:val="20"/>
        </w:rPr>
        <w:t>(DATA_SOURCE)</w:t>
      </w:r>
    </w:p>
    <w:p w14:paraId="6E9FC43A" w14:textId="77777777" w:rsidR="00690884" w:rsidRPr="00BE3399"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Ministries of Finance, </w:t>
      </w:r>
      <w:r w:rsidRPr="00BE3399">
        <w:rPr>
          <w:rFonts w:asciiTheme="minorHAnsi" w:hAnsiTheme="minorHAnsi"/>
          <w:color w:val="4A4A4A"/>
          <w:sz w:val="21"/>
          <w:szCs w:val="21"/>
        </w:rPr>
        <w:t>Ministries of Education</w:t>
      </w:r>
      <w:r>
        <w:rPr>
          <w:rFonts w:asciiTheme="minorHAnsi" w:hAnsiTheme="minorHAnsi"/>
          <w:color w:val="4A4A4A"/>
          <w:sz w:val="21"/>
          <w:szCs w:val="21"/>
        </w:rPr>
        <w:t xml:space="preserve">, </w:t>
      </w:r>
      <w:r w:rsidRPr="00BE3399">
        <w:rPr>
          <w:rFonts w:asciiTheme="minorHAnsi" w:hAnsiTheme="minorHAnsi"/>
          <w:color w:val="4A4A4A"/>
          <w:sz w:val="21"/>
          <w:szCs w:val="21"/>
        </w:rPr>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1B78737C" w14:textId="337918EF" w:rsidR="00690884" w:rsidRPr="00BE3399"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sidRPr="00BE3399">
        <w:rPr>
          <w:rFonts w:asciiTheme="minorHAnsi" w:hAnsiTheme="minorHAnsi"/>
          <w:color w:val="4A4A4A"/>
          <w:sz w:val="21"/>
          <w:szCs w:val="21"/>
        </w:rPr>
        <w:t>UNESCO Institute for Statistics</w:t>
      </w:r>
      <w:r>
        <w:rPr>
          <w:rFonts w:asciiTheme="minorHAnsi" w:hAnsiTheme="minorHAnsi"/>
          <w:color w:val="4A4A4A"/>
          <w:sz w:val="21"/>
          <w:szCs w:val="21"/>
        </w:rPr>
        <w:t>, OECD, Eurostat</w:t>
      </w:r>
      <w:r w:rsidR="00485DD7">
        <w:rPr>
          <w:rFonts w:asciiTheme="minorHAnsi" w:hAnsiTheme="minorHAnsi"/>
          <w:color w:val="4A4A4A"/>
          <w:sz w:val="21"/>
          <w:szCs w:val="21"/>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sdt>
      <w:sdtPr>
        <w:tag w:val="goog_rdk_40"/>
        <w:id w:val="-1137575018"/>
      </w:sdtPr>
      <w:sdtContent>
        <w:p w14:paraId="1D7902DC" w14:textId="77777777" w:rsidR="00DE798A" w:rsidRPr="00E132C5" w:rsidRDefault="00000000" w:rsidP="00284485">
          <w:pPr>
            <w:pBdr>
              <w:top w:val="nil"/>
              <w:left w:val="nil"/>
              <w:bottom w:val="nil"/>
              <w:right w:val="nil"/>
              <w:between w:val="nil"/>
            </w:pBdr>
            <w:shd w:val="clear" w:color="auto" w:fill="FFFFFF"/>
            <w:spacing w:after="0"/>
          </w:pPr>
          <w:sdt>
            <w:sdtPr>
              <w:tag w:val="goog_rdk_39"/>
              <w:id w:val="2145467189"/>
            </w:sdtPr>
            <w:sdtContent>
              <w:r w:rsidR="00DE798A" w:rsidRPr="00284485">
                <w:rPr>
                  <w:color w:val="4A4A4A"/>
                  <w:sz w:val="21"/>
                </w:rPr>
                <w:t xml:space="preserve">The UNESCO Institute for Statistics (UIS) is the statistical branch of the United Nations Educational, Scientific and Cultural Organization (UNESCO). The Institute produces internationally comparable data and methodologies in the fields of education, science, </w:t>
              </w:r>
              <w:proofErr w:type="gramStart"/>
              <w:r w:rsidR="00DE798A" w:rsidRPr="00284485">
                <w:rPr>
                  <w:color w:val="4A4A4A"/>
                  <w:sz w:val="21"/>
                </w:rPr>
                <w:t>culture</w:t>
              </w:r>
              <w:proofErr w:type="gramEnd"/>
              <w:r w:rsidR="00DE798A" w:rsidRPr="00284485">
                <w:rPr>
                  <w:color w:val="4A4A4A"/>
                  <w:sz w:val="21"/>
                </w:rPr>
                <w:t xml:space="preserve"> and communication for countries at all stages of development.</w:t>
              </w:r>
            </w:sdtContent>
          </w:sdt>
        </w:p>
      </w:sdtContent>
    </w:sdt>
    <w:p w14:paraId="466F71C3" w14:textId="14E0816F" w:rsidR="00DE798A" w:rsidRPr="00E132C5" w:rsidRDefault="00000000" w:rsidP="00284485">
      <w:pPr>
        <w:pBdr>
          <w:top w:val="nil"/>
          <w:left w:val="nil"/>
          <w:bottom w:val="nil"/>
          <w:right w:val="nil"/>
          <w:between w:val="nil"/>
        </w:pBdr>
        <w:shd w:val="clear" w:color="auto" w:fill="FFFFFF"/>
        <w:spacing w:after="0"/>
      </w:pPr>
      <w:sdt>
        <w:sdtPr>
          <w:tag w:val="goog_rdk_41"/>
          <w:id w:val="-1838530835"/>
        </w:sdtPr>
        <w:sdtContent>
          <w:r w:rsidR="00CE7449">
            <w:t>T</w:t>
          </w:r>
          <w:r w:rsidR="00DE798A" w:rsidRPr="00284485">
            <w:rPr>
              <w:color w:val="4A4A4A"/>
              <w:sz w:val="21"/>
            </w:rPr>
            <w:t xml:space="preserve">he </w:t>
          </w:r>
          <w:hyperlink r:id="rId11" w:history="1">
            <w:r w:rsidR="00DE798A" w:rsidRPr="00284485">
              <w:rPr>
                <w:color w:val="0000FF"/>
                <w:sz w:val="21"/>
                <w:u w:val="single"/>
              </w:rPr>
              <w:t xml:space="preserve">Education 2030 Framework for Action </w:t>
            </w:r>
            <w:r w:rsidR="00162344">
              <w:rPr>
                <w:rFonts w:cstheme="minorHAnsi"/>
                <w:color w:val="0000FF"/>
                <w:sz w:val="21"/>
                <w:szCs w:val="21"/>
                <w:u w:val="single"/>
              </w:rPr>
              <w:t>§</w:t>
            </w:r>
            <w:r w:rsidR="00DE798A" w:rsidRPr="00284485">
              <w:rPr>
                <w:color w:val="0000FF"/>
                <w:sz w:val="21"/>
                <w:u w:val="single"/>
              </w:rPr>
              <w:t>100</w:t>
            </w:r>
          </w:hyperlink>
          <w:r w:rsidR="00DE798A" w:rsidRPr="00284485">
            <w:rPr>
              <w:color w:val="4A4A4A"/>
              <w:sz w:val="21"/>
            </w:rPr>
            <w:t xml:space="preserve"> has clearly </w:t>
          </w:r>
          <w:r w:rsidR="00DE798A">
            <w:rPr>
              <w:color w:val="4A4A4A"/>
              <w:sz w:val="21"/>
              <w:szCs w:val="21"/>
            </w:rPr>
            <w:t>state</w:t>
          </w:r>
          <w:r w:rsidR="00CE7449">
            <w:rPr>
              <w:color w:val="4A4A4A"/>
              <w:sz w:val="21"/>
              <w:szCs w:val="21"/>
            </w:rPr>
            <w:t>d</w:t>
          </w:r>
          <w:r w:rsidR="00DE798A" w:rsidRPr="00284485">
            <w:rPr>
              <w:color w:val="4A4A4A"/>
              <w:sz w:val="21"/>
            </w:rPr>
            <w:t xml:space="preserve"> that: “</w:t>
          </w:r>
          <w:sdt>
            <w:sdtPr>
              <w:tag w:val="goog_rdk_42"/>
              <w:id w:val="402105702"/>
            </w:sdtPr>
            <w:sdtContent>
              <w:r w:rsidR="00DE798A" w:rsidRPr="00284485">
                <w:rPr>
                  <w:i/>
                  <w:color w:val="4A4A4A"/>
                  <w:sz w:val="21"/>
                </w:rPr>
                <w:t xml:space="preserve">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00DE798A" w:rsidRPr="00284485">
                <w:rPr>
                  <w:i/>
                  <w:color w:val="4A4A4A"/>
                  <w:sz w:val="21"/>
                </w:rPr>
                <w:t>approaches</w:t>
              </w:r>
              <w:proofErr w:type="gramEnd"/>
              <w:r w:rsidR="00DE798A" w:rsidRPr="00284485">
                <w:rPr>
                  <w:i/>
                  <w:color w:val="4A4A4A"/>
                  <w:sz w:val="21"/>
                </w:rPr>
                <w:t xml:space="preserve"> and monitoring tools to better assess progress across the targets related to UNESCO’s mandate, working in coordination with the SDG-Education 2030 SC</w:t>
              </w:r>
              <w:r w:rsidR="00DE798A" w:rsidRPr="00683C46">
                <w:rPr>
                  <w:i/>
                  <w:color w:val="4A4A4A"/>
                  <w:sz w:val="21"/>
                  <w:szCs w:val="21"/>
                </w:rPr>
                <w:t>”</w:t>
              </w:r>
              <w:r w:rsidR="000321B2">
                <w:rPr>
                  <w:i/>
                  <w:color w:val="4A4A4A"/>
                  <w:sz w:val="21"/>
                  <w:szCs w:val="21"/>
                </w:rPr>
                <w:t>.</w:t>
              </w:r>
            </w:sdtContent>
          </w:sdt>
        </w:sdtContent>
      </w:sdt>
    </w:p>
    <w:p w14:paraId="3D063F4C" w14:textId="77777777" w:rsidR="00F719A8" w:rsidRPr="00A96255" w:rsidRDefault="00F719A8" w:rsidP="00284485">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03D23367" w:rsidR="00576CFA" w:rsidRDefault="006D1551" w:rsidP="00576CFA">
      <w:pPr>
        <w:pStyle w:val="MText"/>
      </w:pPr>
      <w:r w:rsidRPr="006D1551">
        <w:t>The indicator is used to assess a government's emphasis on education relative to other sectors. The indicator shows how much of a priority education is for a given government, over time or in comparison with other countries.</w:t>
      </w:r>
    </w:p>
    <w:p w14:paraId="1488FE72" w14:textId="77777777" w:rsidR="006D1551" w:rsidRPr="00A96255" w:rsidRDefault="006D1551"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BE78781" w14:textId="161B3C5F" w:rsidR="00485DD7" w:rsidRDefault="00485DD7" w:rsidP="006D1551">
      <w:pPr>
        <w:pStyle w:val="MText"/>
      </w:pPr>
      <w:r w:rsidRPr="00485DD7">
        <w:t>A high proportion of government expenditure on education demonstrates a high government priority for education relative to other public investments. The Education 2030 Framework for Action has endorsed a benchmark for this indicator, which encourages countries to allocate at least 15% to 20% of their public expenditure to education.</w:t>
      </w:r>
    </w:p>
    <w:p w14:paraId="077A19D5" w14:textId="77777777" w:rsidR="00105C74" w:rsidRDefault="00105C74" w:rsidP="00105C74">
      <w:pPr>
        <w:pStyle w:val="MText"/>
      </w:pPr>
      <w:r>
        <w:t>While the indicator allows for cross-country comparisons, differences in government structures, budgeting practices, and definitions may limit the comparability of data between countries. Variations in how countries categorize and report spending on education can introduce biases into comparative analyses.</w:t>
      </w:r>
    </w:p>
    <w:p w14:paraId="02109A03" w14:textId="723DA431" w:rsidR="006D1551" w:rsidRDefault="00105C74" w:rsidP="00105C74">
      <w:pPr>
        <w:pStyle w:val="MText"/>
      </w:pPr>
      <w:r>
        <w:lastRenderedPageBreak/>
        <w:t>The indicator does not consider the demographic profile of a country's population, such as age distribution or socioeconomic status. Countries with younger populations may naturally allocate a higher proportion of spending to education, regardless of government priorities, while countries with aging populations may prioritize other essential services, such as healthcare or social security.</w:t>
      </w:r>
    </w:p>
    <w:p w14:paraId="05F7FFC1" w14:textId="77777777" w:rsidR="00105C74" w:rsidRPr="00A96255" w:rsidRDefault="00105C74" w:rsidP="00105C74">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569DA62" w14:textId="607C2B1C" w:rsidR="006D1551" w:rsidRDefault="00485DD7" w:rsidP="006D1551">
      <w:pPr>
        <w:pStyle w:val="form-control-static"/>
        <w:shd w:val="clear" w:color="auto" w:fill="FFFFFF"/>
        <w:spacing w:before="0" w:beforeAutospacing="0" w:after="0" w:afterAutospacing="0"/>
        <w:rPr>
          <w:rFonts w:asciiTheme="minorHAnsi" w:hAnsiTheme="minorHAnsi"/>
          <w:color w:val="4A4A4A"/>
          <w:sz w:val="21"/>
          <w:szCs w:val="21"/>
        </w:rPr>
      </w:pPr>
      <w:r w:rsidRPr="00485DD7">
        <w:rPr>
          <w:rFonts w:asciiTheme="minorHAnsi" w:hAnsiTheme="minorHAnsi"/>
          <w:color w:val="4A4A4A"/>
          <w:sz w:val="21"/>
          <w:szCs w:val="21"/>
        </w:rPr>
        <w:t>Total government expenditure for all levels of education combined expressed as a percentage of total general government expenditure (all sectors)</w:t>
      </w:r>
      <w:r w:rsidR="006D1551" w:rsidRPr="0010086A">
        <w:rPr>
          <w:rFonts w:asciiTheme="minorHAnsi" w:hAnsiTheme="minorHAnsi"/>
          <w:color w:val="4A4A4A"/>
          <w:sz w:val="21"/>
          <w:szCs w:val="21"/>
        </w:rPr>
        <w:t>.</w:t>
      </w:r>
    </w:p>
    <w:p w14:paraId="08EBBC0B" w14:textId="77777777" w:rsidR="006D1551" w:rsidRPr="003E4F8D"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p>
    <w:p w14:paraId="5699AEB0" w14:textId="016C740E" w:rsidR="006D1551" w:rsidRPr="003E4F8D" w:rsidRDefault="00000000" w:rsidP="006D1551">
      <w:pPr>
        <w:pStyle w:val="form-control-static"/>
        <w:shd w:val="clear" w:color="auto" w:fill="FFFFFF"/>
        <w:spacing w:before="0" w:beforeAutospacing="0" w:after="0" w:afterAutospacing="0"/>
        <w:rPr>
          <w:rFonts w:asciiTheme="minorHAnsi" w:hAnsiTheme="minorHAnsi"/>
          <w:color w:val="4A4A4A"/>
          <w:sz w:val="21"/>
          <w:szCs w:val="21"/>
        </w:rPr>
      </w:pPr>
      <m:oMathPara>
        <m:oMath>
          <m:sSub>
            <m:sSubPr>
              <m:ctrlPr>
                <w:rPr>
                  <w:rFonts w:ascii="Cambria Math" w:hAnsi="Cambria Math" w:cs="Cambria Math"/>
                  <w:i/>
                  <w:color w:val="4A4A4A"/>
                  <w:sz w:val="21"/>
                  <w:szCs w:val="21"/>
                </w:rPr>
              </m:ctrlPr>
            </m:sSubPr>
            <m:e>
              <m:r>
                <w:rPr>
                  <w:rFonts w:ascii="Cambria Math" w:hAnsi="Cambria Math" w:cs="Cambria Math"/>
                  <w:color w:val="4A4A4A"/>
                  <w:sz w:val="21"/>
                  <w:szCs w:val="21"/>
                </w:rPr>
                <m:t>PXE</m:t>
              </m:r>
            </m:e>
            <m:sub>
              <m:r>
                <w:rPr>
                  <w:rFonts w:ascii="Cambria Math" w:hAnsi="Cambria Math" w:cs="Cambria Math"/>
                  <w:color w:val="4A4A4A"/>
                  <w:sz w:val="21"/>
                  <w:szCs w:val="21"/>
                </w:rPr>
                <m:t>t</m:t>
              </m:r>
            </m:sub>
          </m:sSub>
          <m:r>
            <m:rPr>
              <m:sty m:val="p"/>
            </m:rPr>
            <w:rPr>
              <w:rFonts w:ascii="Cambria Math" w:hAnsi="Cambria Math" w:cs="Cambria Math"/>
              <w:color w:val="4A4A4A"/>
              <w:sz w:val="21"/>
              <w:szCs w:val="21"/>
            </w:rPr>
            <m:t>=</m:t>
          </m:r>
          <m:f>
            <m:fPr>
              <m:ctrlPr>
                <w:rPr>
                  <w:rFonts w:ascii="Cambria Math" w:hAnsi="Cambria Math"/>
                  <w:color w:val="4A4A4A"/>
                  <w:sz w:val="21"/>
                  <w:szCs w:val="21"/>
                </w:rPr>
              </m:ctrlPr>
            </m:fPr>
            <m:num>
              <m:r>
                <w:rPr>
                  <w:rFonts w:ascii="Cambria Math" w:hAnsi="Cambria Math"/>
                  <w:color w:val="4A4A4A"/>
                  <w:sz w:val="21"/>
                  <w:szCs w:val="21"/>
                </w:rPr>
                <m:t>T</m:t>
              </m:r>
              <m:sSub>
                <m:sSubPr>
                  <m:ctrlPr>
                    <w:rPr>
                      <w:rFonts w:ascii="Cambria Math" w:hAnsi="Cambria Math" w:cs="Cambria Math"/>
                      <w:i/>
                      <w:color w:val="4A4A4A"/>
                      <w:sz w:val="21"/>
                      <w:szCs w:val="21"/>
                    </w:rPr>
                  </m:ctrlPr>
                </m:sSubPr>
                <m:e>
                  <m:r>
                    <w:rPr>
                      <w:rFonts w:ascii="Cambria Math" w:hAnsi="Cambria Math" w:cs="Cambria Math"/>
                      <w:color w:val="4A4A4A"/>
                      <w:sz w:val="21"/>
                      <w:szCs w:val="21"/>
                    </w:rPr>
                    <m:t>XE</m:t>
                  </m:r>
                </m:e>
                <m:sub>
                  <m:r>
                    <w:rPr>
                      <w:rFonts w:ascii="Cambria Math" w:hAnsi="Cambria Math" w:cs="Cambria Math"/>
                      <w:color w:val="4A4A4A"/>
                      <w:sz w:val="21"/>
                      <w:szCs w:val="21"/>
                    </w:rPr>
                    <m:t>t</m:t>
                  </m:r>
                </m:sub>
              </m:sSub>
            </m:num>
            <m:den>
              <m:sSub>
                <m:sSubPr>
                  <m:ctrlPr>
                    <w:rPr>
                      <w:rFonts w:ascii="Cambria Math" w:hAnsi="Cambria Math" w:cs="Cambria Math"/>
                      <w:i/>
                      <w:color w:val="4A4A4A"/>
                      <w:sz w:val="21"/>
                      <w:szCs w:val="21"/>
                    </w:rPr>
                  </m:ctrlPr>
                </m:sSubPr>
                <m:e>
                  <m:r>
                    <w:rPr>
                      <w:rFonts w:ascii="Cambria Math" w:hAnsi="Cambria Math" w:cs="Cambria Math"/>
                      <w:color w:val="4A4A4A"/>
                      <w:sz w:val="21"/>
                      <w:szCs w:val="21"/>
                    </w:rPr>
                    <m:t>TPX</m:t>
                  </m:r>
                </m:e>
                <m:sub>
                  <m:r>
                    <w:rPr>
                      <w:rFonts w:ascii="Cambria Math" w:hAnsi="Cambria Math" w:cs="Cambria Math"/>
                      <w:color w:val="4A4A4A"/>
                      <w:sz w:val="21"/>
                      <w:szCs w:val="21"/>
                    </w:rPr>
                    <m:t>t</m:t>
                  </m:r>
                </m:sub>
              </m:sSub>
            </m:den>
          </m:f>
        </m:oMath>
      </m:oMathPara>
    </w:p>
    <w:p w14:paraId="60CF74B8" w14:textId="77777777" w:rsidR="006D1551" w:rsidRPr="003E4F8D"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p>
    <w:p w14:paraId="11BDAE6F" w14:textId="2535B3C2" w:rsidR="006D1551" w:rsidRPr="003E4F8D" w:rsidRDefault="00000000" w:rsidP="006D1551">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PXE</m:t>
            </m:r>
          </m:e>
          <m:sub>
            <m:r>
              <w:rPr>
                <w:rFonts w:ascii="Cambria Math" w:hAnsi="Cambria Math" w:cstheme="minorHAnsi"/>
                <w:color w:val="4A4A4A"/>
                <w:sz w:val="21"/>
                <w:szCs w:val="21"/>
              </w:rPr>
              <m:t>t</m:t>
            </m:r>
          </m:sub>
        </m:sSub>
      </m:oMath>
      <w:r w:rsidR="006D1551" w:rsidRPr="003E4F8D">
        <w:rPr>
          <w:rFonts w:eastAsia="Open Sans" w:cstheme="minorHAnsi"/>
          <w:color w:val="4A4A4A"/>
          <w:sz w:val="21"/>
          <w:szCs w:val="21"/>
          <w:lang w:val="en"/>
        </w:rPr>
        <w:t xml:space="preserve"> = </w:t>
      </w:r>
      <w:r w:rsidR="00485DD7">
        <w:rPr>
          <w:rFonts w:eastAsia="Open Sans" w:cstheme="minorHAnsi"/>
          <w:color w:val="4A4A4A"/>
          <w:sz w:val="21"/>
          <w:szCs w:val="21"/>
          <w:lang w:val="en"/>
        </w:rPr>
        <w:t xml:space="preserve">total general </w:t>
      </w:r>
      <w:r w:rsidR="00763EAD">
        <w:rPr>
          <w:rFonts w:eastAsia="Open Sans" w:cstheme="minorHAnsi"/>
          <w:color w:val="4A4A4A"/>
          <w:sz w:val="21"/>
          <w:szCs w:val="21"/>
          <w:lang w:val="en"/>
        </w:rPr>
        <w:t xml:space="preserve">government </w:t>
      </w:r>
      <w:r w:rsidR="006D1551" w:rsidRPr="003E4F8D">
        <w:rPr>
          <w:rFonts w:eastAsia="Open Sans" w:cstheme="minorHAnsi"/>
          <w:color w:val="4A4A4A"/>
          <w:sz w:val="21"/>
          <w:szCs w:val="21"/>
          <w:lang w:val="en"/>
        </w:rPr>
        <w:t xml:space="preserve">expenditure on education </w:t>
      </w:r>
      <w:r w:rsidR="00485DD7">
        <w:rPr>
          <w:rFonts w:eastAsia="Open Sans" w:cstheme="minorHAnsi"/>
          <w:color w:val="4A4A4A"/>
          <w:sz w:val="21"/>
          <w:szCs w:val="21"/>
          <w:lang w:val="en"/>
        </w:rPr>
        <w:t xml:space="preserve">(all levels of education combined) </w:t>
      </w:r>
      <w:r w:rsidR="006D1551" w:rsidRPr="003E4F8D">
        <w:rPr>
          <w:rFonts w:eastAsia="Open Sans" w:cstheme="minorHAnsi"/>
          <w:color w:val="4A4A4A"/>
          <w:sz w:val="21"/>
          <w:szCs w:val="21"/>
          <w:lang w:val="en"/>
        </w:rPr>
        <w:t xml:space="preserve">as a percentage of total government expenditure in financial year </w:t>
      </w:r>
      <w:r w:rsidR="006D1551" w:rsidRPr="003E4F8D">
        <w:rPr>
          <w:rFonts w:eastAsia="Open Sans" w:cstheme="minorHAnsi"/>
          <w:i/>
          <w:color w:val="4A4A4A"/>
          <w:sz w:val="21"/>
          <w:szCs w:val="21"/>
          <w:lang w:val="en"/>
        </w:rPr>
        <w:t>t</w:t>
      </w:r>
    </w:p>
    <w:p w14:paraId="34D987E8" w14:textId="7600762F" w:rsidR="006D1551" w:rsidRPr="003E4F8D" w:rsidRDefault="00000000" w:rsidP="006D1551">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TXE</m:t>
            </m:r>
          </m:e>
          <m:sub>
            <m:r>
              <w:rPr>
                <w:rFonts w:ascii="Cambria Math" w:hAnsi="Cambria Math" w:cstheme="minorHAnsi"/>
                <w:color w:val="4A4A4A"/>
                <w:sz w:val="21"/>
                <w:szCs w:val="21"/>
              </w:rPr>
              <m:t>t</m:t>
            </m:r>
          </m:sub>
        </m:sSub>
      </m:oMath>
      <w:r w:rsidR="006D1551" w:rsidRPr="003E4F8D">
        <w:rPr>
          <w:rFonts w:eastAsia="Open Sans" w:cstheme="minorHAnsi"/>
          <w:color w:val="4A4A4A"/>
          <w:sz w:val="21"/>
          <w:szCs w:val="21"/>
          <w:lang w:val="en"/>
        </w:rPr>
        <w:t xml:space="preserve"> = total general government expenditure on education </w:t>
      </w:r>
      <w:r w:rsidR="00026867">
        <w:rPr>
          <w:rFonts w:eastAsia="Open Sans" w:cstheme="minorHAnsi"/>
          <w:color w:val="4A4A4A"/>
          <w:sz w:val="21"/>
          <w:szCs w:val="21"/>
          <w:lang w:val="en"/>
        </w:rPr>
        <w:t xml:space="preserve">(all levels of education combined) </w:t>
      </w:r>
      <w:r w:rsidR="006D1551" w:rsidRPr="003E4F8D">
        <w:rPr>
          <w:rFonts w:eastAsia="Open Sans" w:cstheme="minorHAnsi"/>
          <w:color w:val="4A4A4A"/>
          <w:sz w:val="21"/>
          <w:szCs w:val="21"/>
          <w:lang w:val="en"/>
        </w:rPr>
        <w:t xml:space="preserve">in financial year </w:t>
      </w:r>
      <w:r w:rsidR="006D1551" w:rsidRPr="003E4F8D">
        <w:rPr>
          <w:rFonts w:eastAsia="Open Sans" w:cstheme="minorHAnsi"/>
          <w:i/>
          <w:color w:val="4A4A4A"/>
          <w:sz w:val="21"/>
          <w:szCs w:val="21"/>
          <w:lang w:val="en"/>
        </w:rPr>
        <w:t>t</w:t>
      </w:r>
    </w:p>
    <w:p w14:paraId="183F8FDF" w14:textId="0BC0C620" w:rsidR="006D1551" w:rsidRPr="003E4F8D" w:rsidRDefault="00000000" w:rsidP="006D1551">
      <w:pPr>
        <w:rPr>
          <w:rFonts w:eastAsia="Open Sans" w:cstheme="minorHAnsi"/>
          <w:i/>
          <w:color w:val="4A4A4A"/>
          <w:sz w:val="21"/>
          <w:szCs w:val="21"/>
          <w:lang w:val="en"/>
        </w:rPr>
      </w:pPr>
      <m:oMath>
        <m:sSub>
          <m:sSubPr>
            <m:ctrlPr>
              <w:rPr>
                <w:rFonts w:ascii="Cambria Math" w:hAnsi="Cambria Math" w:cstheme="minorHAnsi"/>
                <w:i/>
                <w:color w:val="4A4A4A"/>
                <w:sz w:val="21"/>
                <w:szCs w:val="21"/>
              </w:rPr>
            </m:ctrlPr>
          </m:sSubPr>
          <m:e>
            <m:r>
              <w:rPr>
                <w:rFonts w:ascii="Cambria Math" w:hAnsi="Cambria Math" w:cstheme="minorHAnsi"/>
                <w:color w:val="4A4A4A"/>
                <w:sz w:val="21"/>
                <w:szCs w:val="21"/>
              </w:rPr>
              <m:t>TPX</m:t>
            </m:r>
          </m:e>
          <m:sub>
            <m:r>
              <w:rPr>
                <w:rFonts w:ascii="Cambria Math" w:hAnsi="Cambria Math" w:cstheme="minorHAnsi"/>
                <w:color w:val="4A4A4A"/>
                <w:sz w:val="21"/>
                <w:szCs w:val="21"/>
              </w:rPr>
              <m:t>t</m:t>
            </m:r>
          </m:sub>
        </m:sSub>
      </m:oMath>
      <w:r w:rsidR="006D1551" w:rsidRPr="003E4F8D">
        <w:rPr>
          <w:rFonts w:eastAsia="Open Sans" w:cstheme="minorHAnsi"/>
          <w:color w:val="4A4A4A"/>
          <w:sz w:val="21"/>
          <w:szCs w:val="21"/>
          <w:lang w:val="en"/>
        </w:rPr>
        <w:t xml:space="preserve"> = total </w:t>
      </w:r>
      <w:r w:rsidR="00026867">
        <w:rPr>
          <w:rFonts w:eastAsia="Open Sans" w:cstheme="minorHAnsi"/>
          <w:color w:val="4A4A4A"/>
          <w:sz w:val="21"/>
          <w:szCs w:val="21"/>
          <w:lang w:val="en"/>
        </w:rPr>
        <w:t xml:space="preserve">general </w:t>
      </w:r>
      <w:r w:rsidR="006D1551" w:rsidRPr="003E4F8D">
        <w:rPr>
          <w:rFonts w:eastAsia="Open Sans" w:cstheme="minorHAnsi"/>
          <w:color w:val="4A4A4A"/>
          <w:sz w:val="21"/>
          <w:szCs w:val="21"/>
          <w:lang w:val="en"/>
        </w:rPr>
        <w:t xml:space="preserve">government expenditure in financial year </w:t>
      </w:r>
      <w:r w:rsidR="006D1551" w:rsidRPr="003E4F8D">
        <w:rPr>
          <w:rFonts w:eastAsia="Open Sans" w:cstheme="minorHAnsi"/>
          <w:i/>
          <w:color w:val="4A4A4A"/>
          <w:sz w:val="21"/>
          <w:szCs w:val="21"/>
          <w:lang w:val="en"/>
        </w:rPr>
        <w:t>t</w:t>
      </w:r>
    </w:p>
    <w:p w14:paraId="10E3EE37" w14:textId="77777777" w:rsidR="00FC300F" w:rsidRPr="003E4F8D" w:rsidRDefault="00FC300F"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E526183" w14:textId="1E74EBC7" w:rsidR="00026867" w:rsidRPr="00A96255" w:rsidRDefault="001B3560" w:rsidP="00026867">
      <w:pPr>
        <w:pStyle w:val="MText"/>
      </w:pPr>
      <w:r w:rsidRPr="001B3560">
        <w:t xml:space="preserve">The UNESCO Institute for Statistics shares all indicator values and notes on methodology with National Statistical Offices, Ministries of Education, or other relevant agencies in individual countries for their review, </w:t>
      </w:r>
      <w:proofErr w:type="gramStart"/>
      <w:r w:rsidRPr="001B3560">
        <w:t>feedback</w:t>
      </w:r>
      <w:proofErr w:type="gramEnd"/>
      <w:r w:rsidRPr="001B3560">
        <w:t xml:space="preserve"> and validation before the publication of the data. </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78BFAA5" w14:textId="51B96478" w:rsidR="000559E9" w:rsidRPr="00A96255" w:rsidRDefault="000559E9" w:rsidP="000559E9">
      <w:pPr>
        <w:pStyle w:val="MText"/>
      </w:pPr>
      <w:r>
        <w:t xml:space="preserve">Data should cover formal education only and should follow common definitions. </w:t>
      </w:r>
    </w:p>
    <w:p w14:paraId="7FBAEBBA" w14:textId="77777777" w:rsidR="00EC2915" w:rsidRPr="00A96255" w:rsidRDefault="00EC2915" w:rsidP="00576CFA">
      <w:pPr>
        <w:pStyle w:val="MText"/>
      </w:pPr>
    </w:p>
    <w:p w14:paraId="67043C18" w14:textId="62D86304" w:rsidR="00D51E7C" w:rsidRDefault="00576CFA" w:rsidP="006D1551">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61050B28" w:rsidR="00D51E7C" w:rsidRPr="00284485" w:rsidRDefault="00D51E7C" w:rsidP="00D51E7C">
      <w:pPr>
        <w:pStyle w:val="MText"/>
        <w:rPr>
          <w:b/>
          <w:bCs/>
        </w:rPr>
      </w:pPr>
      <w:r w:rsidRPr="00284485">
        <w:rPr>
          <w:b/>
          <w:bCs/>
        </w:rPr>
        <w:t>•</w:t>
      </w:r>
      <w:r w:rsidRPr="00284485">
        <w:rPr>
          <w:b/>
          <w:bCs/>
        </w:rPr>
        <w:tab/>
        <w:t>At country level</w:t>
      </w:r>
    </w:p>
    <w:p w14:paraId="1989E9CE" w14:textId="47A3F080" w:rsidR="006D1551" w:rsidRPr="00C019E5" w:rsidRDefault="00610B27" w:rsidP="00D51E7C">
      <w:pPr>
        <w:pStyle w:val="MText"/>
        <w:rPr>
          <w:highlight w:val="cyan"/>
        </w:rPr>
      </w:pPr>
      <w:r>
        <w:t>No imputations are made</w:t>
      </w:r>
      <w:r w:rsidR="006D1551" w:rsidRPr="006D1551">
        <w:t xml:space="preserve"> by data compiler.</w:t>
      </w:r>
    </w:p>
    <w:p w14:paraId="1B6182A5" w14:textId="54983DC5" w:rsidR="00D51E7C" w:rsidRPr="00C019E5" w:rsidRDefault="00D51E7C" w:rsidP="00D51E7C">
      <w:pPr>
        <w:pStyle w:val="MText"/>
        <w:rPr>
          <w:highlight w:val="cyan"/>
        </w:rPr>
      </w:pPr>
    </w:p>
    <w:p w14:paraId="06DDC253" w14:textId="65DE5C8A" w:rsidR="00D51E7C" w:rsidRPr="00284485" w:rsidRDefault="00D51E7C" w:rsidP="00D51E7C">
      <w:pPr>
        <w:pStyle w:val="MText"/>
        <w:rPr>
          <w:b/>
          <w:bCs/>
        </w:rPr>
      </w:pPr>
      <w:r w:rsidRPr="00284485">
        <w:rPr>
          <w:b/>
          <w:bCs/>
        </w:rPr>
        <w:t>•</w:t>
      </w:r>
      <w:r w:rsidRPr="00284485">
        <w:rPr>
          <w:b/>
          <w:bCs/>
        </w:rPr>
        <w:tab/>
        <w:t>At regional and global levels</w:t>
      </w:r>
    </w:p>
    <w:p w14:paraId="1E90F9E5" w14:textId="71967CFD" w:rsidR="006D1551" w:rsidRDefault="00E801B5" w:rsidP="00026867">
      <w:pPr>
        <w:pStyle w:val="MText"/>
      </w:pPr>
      <w:r>
        <w:t>D</w:t>
      </w:r>
      <w:r w:rsidR="00026867">
        <w:t>ata gaps</w:t>
      </w:r>
      <w:r>
        <w:t xml:space="preserve"> are filled with latest available value</w:t>
      </w:r>
      <w:r w:rsidR="006D1551" w:rsidRPr="006D1551">
        <w:t>.</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3FB081FD" w:rsidR="00EC2915" w:rsidRDefault="00E801B5" w:rsidP="00576CFA">
      <w:pPr>
        <w:pStyle w:val="MText"/>
      </w:pPr>
      <w:r>
        <w:t>Median with coverage equal or higher to 50% of countries.</w:t>
      </w:r>
    </w:p>
    <w:p w14:paraId="2D3D796F" w14:textId="77777777" w:rsidR="003E4F8D" w:rsidRPr="00A96255" w:rsidRDefault="003E4F8D"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24F98D0" w14:textId="2C27E61B" w:rsidR="00D77211" w:rsidRPr="00A96255" w:rsidRDefault="00D77211" w:rsidP="00576CFA">
      <w:pPr>
        <w:pStyle w:val="MText"/>
      </w:pPr>
      <w:r w:rsidRPr="000D053B">
        <w:lastRenderedPageBreak/>
        <w:t>The UIS has elaborated guidance for the countries on the methodology that should be used to calculate this indicator</w:t>
      </w:r>
      <w:r w:rsidR="008039CC">
        <w:t xml:space="preserve"> based on the Survey of Formal Education and its manual.</w:t>
      </w:r>
      <w:r w:rsidR="000D053B">
        <w:t xml:space="preserve"> The </w:t>
      </w:r>
      <w:r w:rsidR="000F6D5B">
        <w:t>s</w:t>
      </w:r>
      <w:r w:rsidR="000D053B">
        <w:t>tandardized</w:t>
      </w:r>
      <w:r w:rsidR="00E801B5">
        <w:t xml:space="preserve"> Dynamic</w:t>
      </w:r>
      <w:r w:rsidR="000D053B">
        <w:t xml:space="preserve"> template </w:t>
      </w:r>
      <w:proofErr w:type="spellStart"/>
      <w:r w:rsidR="000D053B">
        <w:t>containts</w:t>
      </w:r>
      <w:proofErr w:type="spellEnd"/>
      <w:r w:rsidR="000D053B">
        <w:t xml:space="preserve"> instructions</w:t>
      </w:r>
      <w:r w:rsidR="000F6D5B">
        <w:t xml:space="preserve"> for its completion</w:t>
      </w:r>
      <w:r w:rsidR="000D053B">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3D6C0CA4" w:rsidR="00EC2915" w:rsidRDefault="00AE2872" w:rsidP="00576CFA">
      <w:pPr>
        <w:pStyle w:val="MText"/>
      </w:pPr>
      <w:r w:rsidRPr="00AE2872">
        <w:t>The UIS maintains a global database used to produce this indicator and defines the protocols and standards for data reporting by countries. For transparency purposes, the inclusion of a data point in the database is completed by following a protocol and is reviewed by UIS technical focal points to ensure consistency and overall data quality, based on objective criteria to ensure that only the most recent and reliable information are included in the database.</w:t>
      </w: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84E7E7E" w14:textId="201E4581" w:rsidR="00E801B5" w:rsidRPr="00A96255" w:rsidRDefault="00E801B5" w:rsidP="00101221">
      <w:pPr>
        <w:pStyle w:val="MText"/>
      </w:pPr>
      <w:r w:rsidRPr="00E801B5">
        <w:t>The UNESCO Institute for Statistics (UIS) prioritizes the accuracy and reliability of its government spending data on education. The UIS validates with countries the indicator values compiled through the UIS Formal Education Survey and Dynamic Template. These tools allow countries to contribute data directly, while the UIS cross-references it with total government expenditure figures obtained from the International Monetary Fund (IMF) World Economic Outlook database.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2B68201F" w:rsidR="00576CFA" w:rsidRDefault="00FC0E22" w:rsidP="00576CFA">
      <w:pPr>
        <w:pStyle w:val="MText"/>
      </w:pPr>
      <w:r w:rsidRPr="00FC0E22">
        <w:t xml:space="preserve">The indicator should be produced based on consistent and actual data on total government expenditures on education and total government expenditures on all sectors combined. Criteria for quality assessment </w:t>
      </w:r>
      <w:proofErr w:type="gramStart"/>
      <w:r w:rsidRPr="00FC0E22">
        <w:t>include:</w:t>
      </w:r>
      <w:proofErr w:type="gramEnd"/>
      <w:r w:rsidRPr="00FC0E22">
        <w:t xml:space="preserve"> data sources must include proper documentation; data values must be representative at the national population level and, if not, should be footnoted; data are plausible and based on trends and consistency with previously published/reported values for the indicator.</w:t>
      </w:r>
    </w:p>
    <w:p w14:paraId="5B7C52CE" w14:textId="77777777" w:rsidR="00576CFA" w:rsidRPr="00A96255" w:rsidRDefault="00576CFA" w:rsidP="00576CFA">
      <w:pPr>
        <w:pStyle w:val="MText"/>
      </w:pPr>
    </w:p>
    <w:p w14:paraId="4CD8F3EF" w14:textId="5B57B0C0" w:rsidR="00F719A8" w:rsidRPr="006D1551" w:rsidRDefault="00576CFA" w:rsidP="006D1551">
      <w:pPr>
        <w:pStyle w:val="MHeader"/>
        <w:spacing w:after="100"/>
      </w:pPr>
      <w:r w:rsidRPr="00A96255">
        <w:t xml:space="preserve">5. Data availability and disaggregation </w:t>
      </w:r>
      <w:r>
        <w:rPr>
          <w:color w:val="B4B4B4"/>
          <w:sz w:val="20"/>
        </w:rPr>
        <w:t>(COVERAGE)</w:t>
      </w:r>
    </w:p>
    <w:p w14:paraId="464A8CCF" w14:textId="6200060B" w:rsidR="00576CFA" w:rsidRPr="00284485" w:rsidRDefault="00D51E7C" w:rsidP="00576CFA">
      <w:pPr>
        <w:pStyle w:val="MText"/>
        <w:rPr>
          <w:b/>
          <w:bCs/>
        </w:rPr>
      </w:pPr>
      <w:r w:rsidRPr="00284485">
        <w:rPr>
          <w:b/>
          <w:bCs/>
        </w:rPr>
        <w:t>Data availability:</w:t>
      </w:r>
    </w:p>
    <w:p w14:paraId="08198CC5" w14:textId="7D28AA27" w:rsidR="006D1551" w:rsidRPr="00B56898" w:rsidRDefault="00735E6D" w:rsidP="006D1551">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125</w:t>
      </w:r>
      <w:r w:rsidR="006D1551">
        <w:rPr>
          <w:rFonts w:asciiTheme="minorHAnsi" w:hAnsiTheme="minorHAnsi"/>
          <w:color w:val="4A4A4A"/>
          <w:sz w:val="21"/>
          <w:szCs w:val="21"/>
        </w:rPr>
        <w:t xml:space="preserve"> countries with at least one data point for the period </w:t>
      </w:r>
      <w:r>
        <w:rPr>
          <w:rFonts w:asciiTheme="minorHAnsi" w:hAnsiTheme="minorHAnsi"/>
          <w:color w:val="4A4A4A"/>
          <w:sz w:val="21"/>
          <w:szCs w:val="21"/>
        </w:rPr>
        <w:t>2000-2023</w:t>
      </w:r>
      <w:r w:rsidR="006D1551">
        <w:rPr>
          <w:rFonts w:asciiTheme="minorHAnsi" w:hAnsiTheme="minorHAnsi"/>
          <w:color w:val="4A4A4A"/>
          <w:sz w:val="21"/>
          <w:szCs w:val="21"/>
        </w:rPr>
        <w:t>.</w:t>
      </w:r>
    </w:p>
    <w:p w14:paraId="2D0542F7" w14:textId="3DE6BFAB" w:rsidR="00D51E7C" w:rsidRPr="00C019E5" w:rsidRDefault="00D51E7C" w:rsidP="00576CFA">
      <w:pPr>
        <w:pStyle w:val="MText"/>
        <w:rPr>
          <w:highlight w:val="cyan"/>
        </w:rPr>
      </w:pPr>
    </w:p>
    <w:p w14:paraId="5853D6F7" w14:textId="74131586" w:rsidR="00D51E7C" w:rsidRPr="00284485" w:rsidRDefault="00D51E7C" w:rsidP="00576CFA">
      <w:pPr>
        <w:pStyle w:val="MText"/>
        <w:rPr>
          <w:b/>
          <w:bCs/>
        </w:rPr>
      </w:pPr>
      <w:r w:rsidRPr="00284485">
        <w:rPr>
          <w:b/>
          <w:bCs/>
        </w:rPr>
        <w:t>Time series:</w:t>
      </w:r>
    </w:p>
    <w:p w14:paraId="42B03BF8" w14:textId="3E8D40E5" w:rsidR="006D1551" w:rsidRPr="00B56898" w:rsidRDefault="006D1551" w:rsidP="006D155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2000-</w:t>
      </w:r>
      <w:r w:rsidR="00735E6D">
        <w:rPr>
          <w:rFonts w:asciiTheme="minorHAnsi" w:hAnsiTheme="minorHAnsi"/>
          <w:color w:val="4A4A4A"/>
          <w:sz w:val="21"/>
          <w:szCs w:val="21"/>
        </w:rPr>
        <w:t>2023</w:t>
      </w:r>
      <w:r>
        <w:rPr>
          <w:rFonts w:asciiTheme="minorHAnsi" w:hAnsiTheme="minorHAnsi"/>
          <w:color w:val="4A4A4A"/>
          <w:sz w:val="21"/>
          <w:szCs w:val="21"/>
        </w:rPr>
        <w:t xml:space="preserve"> in the SDG Global database.</w:t>
      </w:r>
    </w:p>
    <w:p w14:paraId="760C013A" w14:textId="4597FCBD" w:rsidR="00D51E7C" w:rsidRPr="00C019E5" w:rsidRDefault="00D51E7C" w:rsidP="00576CFA">
      <w:pPr>
        <w:pStyle w:val="MText"/>
        <w:rPr>
          <w:highlight w:val="cyan"/>
        </w:rPr>
      </w:pPr>
    </w:p>
    <w:p w14:paraId="72C7C370" w14:textId="42707234" w:rsidR="00D51E7C" w:rsidRPr="00284485" w:rsidRDefault="00D51E7C" w:rsidP="006D1551">
      <w:pPr>
        <w:pStyle w:val="MText"/>
        <w:shd w:val="clear" w:color="auto" w:fill="auto"/>
        <w:rPr>
          <w:b/>
          <w:bCs/>
        </w:rPr>
      </w:pPr>
      <w:r w:rsidRPr="00284485">
        <w:rPr>
          <w:b/>
          <w:bCs/>
        </w:rPr>
        <w:t>Disaggregation:</w:t>
      </w:r>
    </w:p>
    <w:p w14:paraId="6EDA07E9" w14:textId="4BFF6290" w:rsidR="006D1551" w:rsidRDefault="00C00DDF" w:rsidP="00576CFA">
      <w:pPr>
        <w:pStyle w:val="MText"/>
      </w:pPr>
      <w:r>
        <w:t>None</w:t>
      </w:r>
      <w:r w:rsidR="00735E6D">
        <w:t>.</w:t>
      </w:r>
      <w:r>
        <w:t xml:space="preserv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6689006" w14:textId="77777777" w:rsidR="007B76E5" w:rsidRDefault="000D053B" w:rsidP="00576CFA">
      <w:pPr>
        <w:pStyle w:val="MText"/>
      </w:pPr>
      <w:r w:rsidRPr="00284485">
        <w:rPr>
          <w:b/>
          <w:bCs/>
        </w:rPr>
        <w:t>Sources of discrepancies</w:t>
      </w:r>
    </w:p>
    <w:p w14:paraId="3595E072" w14:textId="1174A3DD" w:rsidR="00D51E7C" w:rsidRPr="00284485" w:rsidRDefault="000D053B" w:rsidP="00576CFA">
      <w:pPr>
        <w:pStyle w:val="MText"/>
      </w:pPr>
      <w:r w:rsidRPr="000D053B">
        <w:t xml:space="preserve">The data </w:t>
      </w:r>
      <w:r w:rsidR="008039CC">
        <w:t xml:space="preserve">is derived </w:t>
      </w:r>
      <w:r w:rsidRPr="000D053B">
        <w:t>from different sources</w:t>
      </w:r>
      <w:r w:rsidR="008039CC">
        <w:t xml:space="preserve"> and may be subject to differences in national definitions of expenditure types</w:t>
      </w:r>
      <w:r w:rsidRPr="000D053B">
        <w:t xml:space="preserve">. </w:t>
      </w:r>
    </w:p>
    <w:p w14:paraId="3C2D4870" w14:textId="10C50B29" w:rsidR="00D51E7C" w:rsidRPr="00284485" w:rsidRDefault="00D51E7C" w:rsidP="00576CFA">
      <w:pPr>
        <w:pStyle w:val="MText"/>
        <w:rPr>
          <w:highlight w:val="yellow"/>
        </w:rPr>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024076A" w14:textId="336F9A68" w:rsidR="00690884" w:rsidRPr="00BE3399" w:rsidRDefault="00690884" w:rsidP="00690884">
      <w:pPr>
        <w:keepNext/>
        <w:keepLines/>
        <w:shd w:val="clear" w:color="auto" w:fill="FFFFFF"/>
        <w:spacing w:after="0"/>
        <w:rPr>
          <w:rFonts w:cs="Times New Roman"/>
          <w:color w:val="4A4A4A"/>
          <w:sz w:val="21"/>
          <w:szCs w:val="21"/>
        </w:rPr>
      </w:pPr>
      <w:r w:rsidRPr="00BE3399">
        <w:rPr>
          <w:rStyle w:val="Strong"/>
          <w:rFonts w:cs="Times New Roman"/>
          <w:color w:val="4A4A4A"/>
          <w:sz w:val="21"/>
          <w:szCs w:val="21"/>
        </w:rPr>
        <w:lastRenderedPageBreak/>
        <w:t>URL:</w:t>
      </w:r>
    </w:p>
    <w:p w14:paraId="613D49AB" w14:textId="1319D054" w:rsidR="00690884" w:rsidRDefault="00000000" w:rsidP="00690884">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12" w:history="1">
        <w:r w:rsidR="00105C74" w:rsidRPr="00B452CE">
          <w:rPr>
            <w:rStyle w:val="Hyperlink"/>
            <w:rFonts w:asciiTheme="minorHAnsi" w:hAnsiTheme="minorHAnsi"/>
            <w:sz w:val="21"/>
            <w:szCs w:val="21"/>
          </w:rPr>
          <w:t>http://sdg4-data.uis.unesco.org/</w:t>
        </w:r>
      </w:hyperlink>
      <w:r w:rsidR="00105C74">
        <w:rPr>
          <w:rFonts w:asciiTheme="minorHAnsi" w:hAnsiTheme="minorHAnsi"/>
          <w:color w:val="4A4A4A"/>
          <w:sz w:val="21"/>
          <w:szCs w:val="21"/>
        </w:rPr>
        <w:t xml:space="preserve"> </w:t>
      </w:r>
    </w:p>
    <w:p w14:paraId="07400F00" w14:textId="77777777" w:rsidR="00690884" w:rsidRPr="00BE3399" w:rsidRDefault="00690884" w:rsidP="00690884">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7CB5DE9F" w14:textId="5B834EBD" w:rsidR="00690884" w:rsidRPr="00BE3399" w:rsidRDefault="00690884" w:rsidP="00690884">
      <w:pPr>
        <w:shd w:val="clear" w:color="auto" w:fill="FFFFFF"/>
        <w:spacing w:after="0"/>
        <w:rPr>
          <w:rFonts w:cs="Times New Roman"/>
          <w:color w:val="4A4A4A"/>
          <w:sz w:val="21"/>
          <w:szCs w:val="21"/>
        </w:rPr>
      </w:pPr>
      <w:r w:rsidRPr="00BE3399">
        <w:rPr>
          <w:rStyle w:val="Strong"/>
          <w:rFonts w:cs="Times New Roman"/>
          <w:color w:val="4A4A4A"/>
          <w:sz w:val="21"/>
          <w:szCs w:val="21"/>
        </w:rPr>
        <w:t>References:</w:t>
      </w:r>
    </w:p>
    <w:p w14:paraId="682A71CB" w14:textId="77777777" w:rsidR="00690884"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UIS Instructional Manual: </w:t>
      </w:r>
      <w:r w:rsidRPr="00B56898">
        <w:rPr>
          <w:rFonts w:asciiTheme="minorHAnsi" w:hAnsiTheme="minorHAnsi"/>
          <w:color w:val="4A4A4A"/>
          <w:sz w:val="21"/>
          <w:szCs w:val="21"/>
        </w:rPr>
        <w:t xml:space="preserve">Survey of Formal Education </w:t>
      </w:r>
    </w:p>
    <w:p w14:paraId="3F5C78A6" w14:textId="52B23458" w:rsidR="00690884" w:rsidRDefault="00000000" w:rsidP="00690884">
      <w:pPr>
        <w:pStyle w:val="form-control-static"/>
        <w:shd w:val="clear" w:color="auto" w:fill="FFFFFF"/>
        <w:spacing w:before="0" w:beforeAutospacing="0" w:after="0" w:afterAutospacing="0"/>
        <w:rPr>
          <w:rFonts w:asciiTheme="minorHAnsi" w:hAnsiTheme="minorHAnsi"/>
          <w:color w:val="4A4A4A"/>
          <w:sz w:val="21"/>
          <w:szCs w:val="21"/>
        </w:rPr>
      </w:pPr>
      <w:hyperlink r:id="rId13" w:history="1">
        <w:r w:rsidR="00105C74" w:rsidRPr="00B452CE">
          <w:rPr>
            <w:rStyle w:val="Hyperlink"/>
            <w:rFonts w:asciiTheme="minorHAnsi" w:hAnsiTheme="minorHAnsi"/>
            <w:sz w:val="21"/>
            <w:szCs w:val="21"/>
          </w:rPr>
          <w:t>https://uis.unesco.org/sites/default/files/questionnaires/UIS_ED_M_2024_EN.pdf</w:t>
        </w:r>
      </w:hyperlink>
      <w:r w:rsidR="00105C74">
        <w:rPr>
          <w:rFonts w:asciiTheme="minorHAnsi" w:hAnsiTheme="minorHAnsi"/>
          <w:color w:val="4A4A4A"/>
          <w:sz w:val="21"/>
          <w:szCs w:val="21"/>
        </w:rPr>
        <w:t xml:space="preserve"> </w:t>
      </w:r>
    </w:p>
    <w:p w14:paraId="598D5477" w14:textId="77777777" w:rsidR="00690884"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p>
    <w:p w14:paraId="1DEE431B" w14:textId="77777777" w:rsidR="00690884"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UOE data collection on formal education: Manual on concepts, </w:t>
      </w:r>
      <w:proofErr w:type="gramStart"/>
      <w:r>
        <w:rPr>
          <w:rFonts w:asciiTheme="minorHAnsi" w:hAnsiTheme="minorHAnsi"/>
          <w:color w:val="4A4A4A"/>
          <w:sz w:val="21"/>
          <w:szCs w:val="21"/>
        </w:rPr>
        <w:t>definitions</w:t>
      </w:r>
      <w:proofErr w:type="gramEnd"/>
      <w:r>
        <w:rPr>
          <w:rFonts w:asciiTheme="minorHAnsi" w:hAnsiTheme="minorHAnsi"/>
          <w:color w:val="4A4A4A"/>
          <w:sz w:val="21"/>
          <w:szCs w:val="21"/>
        </w:rPr>
        <w:t xml:space="preserve"> and classifications</w:t>
      </w:r>
    </w:p>
    <w:p w14:paraId="0F13638E" w14:textId="541FF2D3" w:rsidR="000F6D2D" w:rsidRPr="008C2D8E" w:rsidRDefault="00000000" w:rsidP="00690884">
      <w:pPr>
        <w:pStyle w:val="form-control-static"/>
        <w:shd w:val="clear" w:color="auto" w:fill="FFFFFF"/>
        <w:spacing w:before="0" w:beforeAutospacing="0" w:after="0" w:afterAutospacing="0"/>
        <w:rPr>
          <w:rFonts w:asciiTheme="minorHAnsi" w:hAnsiTheme="minorHAnsi" w:cstheme="minorHAnsi"/>
          <w:sz w:val="21"/>
          <w:szCs w:val="21"/>
        </w:rPr>
      </w:pPr>
      <w:hyperlink r:id="rId14" w:history="1">
        <w:r w:rsidR="00105C74" w:rsidRPr="00B452CE">
          <w:rPr>
            <w:rStyle w:val="Hyperlink"/>
            <w:rFonts w:asciiTheme="minorHAnsi" w:hAnsiTheme="minorHAnsi" w:cstheme="minorHAnsi"/>
            <w:sz w:val="21"/>
            <w:szCs w:val="21"/>
          </w:rPr>
          <w:t>https://www.oecd.org/statistics/data-collection/UOE-Manual.pdf</w:t>
        </w:r>
      </w:hyperlink>
      <w:r w:rsidR="00105C74">
        <w:rPr>
          <w:rFonts w:asciiTheme="minorHAnsi" w:hAnsiTheme="minorHAnsi" w:cstheme="minorHAnsi"/>
          <w:sz w:val="21"/>
          <w:szCs w:val="21"/>
        </w:rPr>
        <w:t xml:space="preserve"> </w:t>
      </w:r>
    </w:p>
    <w:p w14:paraId="54D9749C" w14:textId="77777777" w:rsidR="00690884" w:rsidRPr="00B56898"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p>
    <w:p w14:paraId="355B5658" w14:textId="77777777" w:rsidR="00690884" w:rsidRDefault="00690884" w:rsidP="00690884">
      <w:pPr>
        <w:pStyle w:val="form-control-static"/>
        <w:shd w:val="clear" w:color="auto" w:fill="FFFFFF"/>
        <w:spacing w:before="0" w:beforeAutospacing="0" w:after="0" w:afterAutospacing="0"/>
        <w:rPr>
          <w:rFonts w:asciiTheme="minorHAnsi" w:hAnsiTheme="minorHAnsi"/>
          <w:color w:val="4A4A4A"/>
          <w:sz w:val="21"/>
          <w:szCs w:val="21"/>
          <w:lang w:val="fr-FR"/>
        </w:rPr>
      </w:pPr>
      <w:r w:rsidRPr="009413BF">
        <w:rPr>
          <w:rFonts w:asciiTheme="minorHAnsi" w:hAnsiTheme="minorHAnsi"/>
          <w:color w:val="4A4A4A"/>
          <w:sz w:val="21"/>
          <w:szCs w:val="21"/>
          <w:lang w:val="fr-FR"/>
        </w:rPr>
        <w:t xml:space="preserve">UIS Questionnaire on </w:t>
      </w:r>
      <w:proofErr w:type="spellStart"/>
      <w:r w:rsidRPr="009413BF">
        <w:rPr>
          <w:rFonts w:asciiTheme="minorHAnsi" w:hAnsiTheme="minorHAnsi"/>
          <w:color w:val="4A4A4A"/>
          <w:sz w:val="21"/>
          <w:szCs w:val="21"/>
          <w:lang w:val="fr-FR"/>
        </w:rPr>
        <w:t>Educational</w:t>
      </w:r>
      <w:proofErr w:type="spellEnd"/>
      <w:r w:rsidRPr="009413BF">
        <w:rPr>
          <w:rFonts w:asciiTheme="minorHAnsi" w:hAnsiTheme="minorHAnsi"/>
          <w:color w:val="4A4A4A"/>
          <w:sz w:val="21"/>
          <w:szCs w:val="21"/>
          <w:lang w:val="fr-FR"/>
        </w:rPr>
        <w:t xml:space="preserve"> </w:t>
      </w:r>
      <w:proofErr w:type="spellStart"/>
      <w:r w:rsidRPr="009413BF">
        <w:rPr>
          <w:rFonts w:asciiTheme="minorHAnsi" w:hAnsiTheme="minorHAnsi"/>
          <w:color w:val="4A4A4A"/>
          <w:sz w:val="21"/>
          <w:szCs w:val="21"/>
          <w:lang w:val="fr-FR"/>
        </w:rPr>
        <w:t>Expenditure</w:t>
      </w:r>
      <w:proofErr w:type="spellEnd"/>
      <w:r w:rsidRPr="009413BF">
        <w:rPr>
          <w:rFonts w:asciiTheme="minorHAnsi" w:hAnsiTheme="minorHAnsi"/>
          <w:color w:val="4A4A4A"/>
          <w:sz w:val="21"/>
          <w:szCs w:val="21"/>
          <w:lang w:val="fr-FR"/>
        </w:rPr>
        <w:t xml:space="preserve"> (ISCED 0-</w:t>
      </w:r>
      <w:r>
        <w:rPr>
          <w:rFonts w:asciiTheme="minorHAnsi" w:hAnsiTheme="minorHAnsi"/>
          <w:color w:val="4A4A4A"/>
          <w:sz w:val="21"/>
          <w:szCs w:val="21"/>
          <w:lang w:val="fr-FR"/>
        </w:rPr>
        <w:t>8</w:t>
      </w:r>
      <w:r w:rsidRPr="009413BF">
        <w:rPr>
          <w:rFonts w:asciiTheme="minorHAnsi" w:hAnsiTheme="minorHAnsi"/>
          <w:color w:val="4A4A4A"/>
          <w:sz w:val="21"/>
          <w:szCs w:val="21"/>
          <w:lang w:val="fr-FR"/>
        </w:rPr>
        <w:t>)</w:t>
      </w:r>
    </w:p>
    <w:p w14:paraId="0C0C475D" w14:textId="2D235092" w:rsidR="00690884" w:rsidRDefault="006B4DA7" w:rsidP="00690884">
      <w:pPr>
        <w:pStyle w:val="form-control-static"/>
        <w:shd w:val="clear" w:color="auto" w:fill="FFFFFF"/>
        <w:spacing w:before="0" w:beforeAutospacing="0" w:after="0" w:afterAutospacing="0"/>
        <w:rPr>
          <w:rFonts w:asciiTheme="minorHAnsi" w:hAnsiTheme="minorHAnsi"/>
          <w:color w:val="4A4A4A"/>
          <w:sz w:val="21"/>
          <w:szCs w:val="21"/>
          <w:lang w:val="fr-FR"/>
        </w:rPr>
      </w:pPr>
      <w:hyperlink r:id="rId15" w:history="1">
        <w:r w:rsidR="00FC300F" w:rsidRPr="00FC300F">
          <w:rPr>
            <w:rStyle w:val="Hyperlink"/>
            <w:rFonts w:asciiTheme="minorHAnsi" w:hAnsiTheme="minorHAnsi"/>
            <w:sz w:val="21"/>
            <w:szCs w:val="21"/>
            <w:lang w:val="fr-FR"/>
          </w:rPr>
          <w:t>http://uis.unesco.org/en/uis-questionnaires</w:t>
        </w:r>
      </w:hyperlink>
    </w:p>
    <w:p w14:paraId="4E1A62A5" w14:textId="77777777" w:rsidR="00690884" w:rsidRDefault="00690884" w:rsidP="00690884">
      <w:pPr>
        <w:pStyle w:val="form-control-static"/>
        <w:shd w:val="clear" w:color="auto" w:fill="FFFFFF"/>
        <w:spacing w:before="0" w:beforeAutospacing="0" w:after="0" w:afterAutospacing="0"/>
        <w:rPr>
          <w:rFonts w:asciiTheme="minorHAnsi" w:hAnsiTheme="minorHAnsi"/>
          <w:color w:val="4A4A4A"/>
          <w:sz w:val="21"/>
          <w:szCs w:val="21"/>
          <w:lang w:val="fr-FR"/>
        </w:rPr>
      </w:pPr>
    </w:p>
    <w:p w14:paraId="71550C2B" w14:textId="2B09EF82" w:rsidR="00105C74" w:rsidRPr="00E11831" w:rsidRDefault="00105C74" w:rsidP="00690884">
      <w:pPr>
        <w:pStyle w:val="form-control-static"/>
        <w:shd w:val="clear" w:color="auto" w:fill="FFFFFF"/>
        <w:spacing w:before="0" w:beforeAutospacing="0" w:after="0" w:afterAutospacing="0"/>
        <w:rPr>
          <w:rFonts w:asciiTheme="minorHAnsi" w:hAnsiTheme="minorHAnsi"/>
          <w:color w:val="4A4A4A"/>
          <w:sz w:val="21"/>
          <w:lang w:val="en-US"/>
        </w:rPr>
      </w:pPr>
      <w:r w:rsidRPr="00E11831">
        <w:rPr>
          <w:rFonts w:asciiTheme="minorHAnsi" w:hAnsiTheme="minorHAnsi"/>
          <w:color w:val="4A4A4A"/>
          <w:sz w:val="21"/>
          <w:lang w:val="en-US"/>
        </w:rPr>
        <w:t xml:space="preserve">UIS dynamic </w:t>
      </w:r>
      <w:proofErr w:type="gramStart"/>
      <w:r w:rsidRPr="00E11831">
        <w:rPr>
          <w:rFonts w:asciiTheme="minorHAnsi" w:hAnsiTheme="minorHAnsi"/>
          <w:color w:val="4A4A4A"/>
          <w:sz w:val="21"/>
          <w:lang w:val="en-US"/>
        </w:rPr>
        <w:t>templates :</w:t>
      </w:r>
      <w:proofErr w:type="gramEnd"/>
      <w:r w:rsidRPr="00E11831">
        <w:rPr>
          <w:rFonts w:asciiTheme="minorHAnsi" w:hAnsiTheme="minorHAnsi"/>
          <w:color w:val="4A4A4A"/>
          <w:sz w:val="21"/>
          <w:lang w:val="en-US"/>
        </w:rPr>
        <w:t xml:space="preserve"> </w:t>
      </w:r>
    </w:p>
    <w:p w14:paraId="2E7341FC" w14:textId="021D9591" w:rsidR="00105C74" w:rsidRPr="00E11831" w:rsidRDefault="006B4DA7" w:rsidP="00690884">
      <w:pPr>
        <w:pStyle w:val="form-control-static"/>
        <w:shd w:val="clear" w:color="auto" w:fill="FFFFFF"/>
        <w:spacing w:before="0" w:beforeAutospacing="0" w:after="0" w:afterAutospacing="0"/>
        <w:rPr>
          <w:rFonts w:asciiTheme="minorHAnsi" w:hAnsiTheme="minorHAnsi"/>
          <w:color w:val="4A4A4A"/>
          <w:sz w:val="21"/>
          <w:lang w:val="en-US"/>
        </w:rPr>
      </w:pPr>
      <w:hyperlink r:id="rId16" w:history="1">
        <w:r w:rsidR="00105C74" w:rsidRPr="00E11831">
          <w:rPr>
            <w:rStyle w:val="Hyperlink"/>
            <w:rFonts w:asciiTheme="minorHAnsi" w:hAnsiTheme="minorHAnsi"/>
            <w:sz w:val="21"/>
            <w:lang w:val="en-US"/>
          </w:rPr>
          <w:t>https://tcg.uis.unesco.org/wp-content/uploads/sites/4/2022/11/WG_EMIS_2_Dynamic-Templates.pdf</w:t>
        </w:r>
      </w:hyperlink>
      <w:r w:rsidR="00105C74" w:rsidRPr="00E11831">
        <w:rPr>
          <w:rFonts w:asciiTheme="minorHAnsi" w:hAnsiTheme="minorHAnsi"/>
          <w:color w:val="4A4A4A"/>
          <w:sz w:val="21"/>
          <w:lang w:val="en-US"/>
        </w:rPr>
        <w:t xml:space="preserve"> </w:t>
      </w:r>
    </w:p>
    <w:p w14:paraId="0C54989C" w14:textId="77777777" w:rsidR="00105C74" w:rsidRPr="00E11831" w:rsidRDefault="00105C74" w:rsidP="00690884">
      <w:pPr>
        <w:pStyle w:val="form-control-static"/>
        <w:shd w:val="clear" w:color="auto" w:fill="FFFFFF"/>
        <w:spacing w:before="0" w:beforeAutospacing="0" w:after="0" w:afterAutospacing="0"/>
        <w:rPr>
          <w:rFonts w:asciiTheme="minorHAnsi" w:hAnsiTheme="minorHAnsi"/>
          <w:color w:val="4A4A4A"/>
          <w:sz w:val="21"/>
          <w:lang w:val="en-US"/>
        </w:rPr>
      </w:pPr>
    </w:p>
    <w:p w14:paraId="6547460E" w14:textId="77777777" w:rsidR="00690884" w:rsidRPr="00B8003F" w:rsidRDefault="00690884" w:rsidP="00690884">
      <w:pPr>
        <w:pStyle w:val="form-control-static"/>
        <w:shd w:val="clear" w:color="auto" w:fill="FFFFFF"/>
        <w:spacing w:before="0" w:beforeAutospacing="0" w:after="0" w:afterAutospacing="0"/>
        <w:rPr>
          <w:rFonts w:asciiTheme="minorHAnsi" w:hAnsiTheme="minorHAnsi"/>
          <w:color w:val="4A4A4A"/>
          <w:sz w:val="21"/>
          <w:szCs w:val="21"/>
        </w:rPr>
      </w:pPr>
      <w:r w:rsidRPr="00B8003F">
        <w:rPr>
          <w:rFonts w:asciiTheme="minorHAnsi" w:hAnsiTheme="minorHAnsi"/>
          <w:color w:val="4A4A4A"/>
          <w:sz w:val="21"/>
          <w:szCs w:val="21"/>
        </w:rPr>
        <w:t>IMF World Economic Outlook</w:t>
      </w:r>
    </w:p>
    <w:p w14:paraId="7A57796C" w14:textId="77777777" w:rsidR="00690884" w:rsidRDefault="00000000" w:rsidP="00690884">
      <w:pPr>
        <w:pStyle w:val="form-control-static"/>
        <w:shd w:val="clear" w:color="auto" w:fill="FFFFFF"/>
        <w:spacing w:before="0" w:beforeAutospacing="0" w:after="0" w:afterAutospacing="0"/>
        <w:rPr>
          <w:rFonts w:asciiTheme="minorHAnsi" w:hAnsiTheme="minorHAnsi"/>
          <w:color w:val="4A4A4A"/>
          <w:sz w:val="21"/>
          <w:szCs w:val="21"/>
        </w:rPr>
      </w:pPr>
      <w:hyperlink r:id="rId17" w:history="1">
        <w:r w:rsidR="00690884" w:rsidRPr="008E3BE3">
          <w:rPr>
            <w:rStyle w:val="Hyperlink"/>
            <w:rFonts w:asciiTheme="minorHAnsi" w:hAnsiTheme="minorHAnsi"/>
            <w:sz w:val="21"/>
            <w:szCs w:val="21"/>
          </w:rPr>
          <w:t>https://www.imf.org/en/Publications/WEO</w:t>
        </w:r>
      </w:hyperlink>
    </w:p>
    <w:p w14:paraId="384B0992" w14:textId="36889691" w:rsidR="00186795" w:rsidRDefault="00186795"/>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1D67" w14:textId="77777777" w:rsidR="00591B39" w:rsidRDefault="00591B39" w:rsidP="00573C0B">
      <w:pPr>
        <w:spacing w:after="0" w:line="240" w:lineRule="auto"/>
      </w:pPr>
      <w:r>
        <w:separator/>
      </w:r>
    </w:p>
  </w:endnote>
  <w:endnote w:type="continuationSeparator" w:id="0">
    <w:p w14:paraId="0C0B8C96" w14:textId="77777777" w:rsidR="00591B39" w:rsidRDefault="00591B39" w:rsidP="00573C0B">
      <w:pPr>
        <w:spacing w:after="0" w:line="240" w:lineRule="auto"/>
      </w:pPr>
      <w:r>
        <w:continuationSeparator/>
      </w:r>
    </w:p>
  </w:endnote>
  <w:endnote w:type="continuationNotice" w:id="1">
    <w:p w14:paraId="1D87929D" w14:textId="77777777" w:rsidR="00591B39" w:rsidRDefault="00591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1178" w14:textId="77777777" w:rsidR="00591B39" w:rsidRDefault="00591B39" w:rsidP="00573C0B">
      <w:pPr>
        <w:spacing w:after="0" w:line="240" w:lineRule="auto"/>
      </w:pPr>
      <w:r>
        <w:separator/>
      </w:r>
    </w:p>
  </w:footnote>
  <w:footnote w:type="continuationSeparator" w:id="0">
    <w:p w14:paraId="3B48916F" w14:textId="77777777" w:rsidR="00591B39" w:rsidRDefault="00591B39" w:rsidP="00573C0B">
      <w:pPr>
        <w:spacing w:after="0" w:line="240" w:lineRule="auto"/>
      </w:pPr>
      <w:r>
        <w:continuationSeparator/>
      </w:r>
    </w:p>
  </w:footnote>
  <w:footnote w:type="continuationNotice" w:id="1">
    <w:p w14:paraId="1FE52836" w14:textId="77777777" w:rsidR="00591B39" w:rsidRDefault="00591B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9295CB8"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1667B7">
      <w:rPr>
        <w:color w:val="404040" w:themeColor="text1" w:themeTint="BF"/>
        <w:sz w:val="18"/>
        <w:szCs w:val="18"/>
      </w:rPr>
      <w:t>202</w:t>
    </w:r>
    <w:r w:rsidR="00CA4C26">
      <w:rPr>
        <w:color w:val="404040" w:themeColor="text1" w:themeTint="BF"/>
        <w:sz w:val="18"/>
        <w:szCs w:val="18"/>
      </w:rPr>
      <w:t>4</w:t>
    </w:r>
    <w:r w:rsidR="007B76E5">
      <w:rPr>
        <w:color w:val="404040" w:themeColor="text1" w:themeTint="BF"/>
        <w:sz w:val="18"/>
        <w:szCs w:val="18"/>
      </w:rPr>
      <w:t>-</w:t>
    </w:r>
    <w:r w:rsidR="00CA4C26">
      <w:rPr>
        <w:color w:val="404040" w:themeColor="text1" w:themeTint="BF"/>
        <w:sz w:val="18"/>
        <w:szCs w:val="18"/>
      </w:rPr>
      <w:t>06</w:t>
    </w:r>
    <w:r w:rsidR="007B76E5">
      <w:rPr>
        <w:color w:val="404040" w:themeColor="text1" w:themeTint="BF"/>
        <w:sz w:val="18"/>
        <w:szCs w:val="18"/>
      </w:rPr>
      <w:t>-2</w:t>
    </w:r>
    <w:r w:rsidR="00CA4C26">
      <w:rPr>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037"/>
    <w:multiLevelType w:val="hybridMultilevel"/>
    <w:tmpl w:val="67967424"/>
    <w:lvl w:ilvl="0" w:tplc="CD6AE8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0A5305"/>
    <w:multiLevelType w:val="hybridMultilevel"/>
    <w:tmpl w:val="1402D38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3403C8"/>
    <w:multiLevelType w:val="hybridMultilevel"/>
    <w:tmpl w:val="58F40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C2B54"/>
    <w:multiLevelType w:val="hybridMultilevel"/>
    <w:tmpl w:val="1402D38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057AC"/>
    <w:multiLevelType w:val="hybridMultilevel"/>
    <w:tmpl w:val="4FE69F9A"/>
    <w:lvl w:ilvl="0" w:tplc="5726A7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2269A8"/>
    <w:multiLevelType w:val="hybridMultilevel"/>
    <w:tmpl w:val="1402D3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1C38AC"/>
    <w:multiLevelType w:val="hybridMultilevel"/>
    <w:tmpl w:val="D8BEB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0273215">
    <w:abstractNumId w:val="6"/>
  </w:num>
  <w:num w:numId="2" w16cid:durableId="1516726209">
    <w:abstractNumId w:val="1"/>
  </w:num>
  <w:num w:numId="3" w16cid:durableId="241987837">
    <w:abstractNumId w:val="8"/>
  </w:num>
  <w:num w:numId="4" w16cid:durableId="345861987">
    <w:abstractNumId w:val="2"/>
  </w:num>
  <w:num w:numId="5" w16cid:durableId="1814639212">
    <w:abstractNumId w:val="3"/>
  </w:num>
  <w:num w:numId="6" w16cid:durableId="961692342">
    <w:abstractNumId w:val="10"/>
  </w:num>
  <w:num w:numId="7" w16cid:durableId="1912615111">
    <w:abstractNumId w:val="5"/>
  </w:num>
  <w:num w:numId="8" w16cid:durableId="241332239">
    <w:abstractNumId w:val="4"/>
  </w:num>
  <w:num w:numId="9" w16cid:durableId="246572684">
    <w:abstractNumId w:val="0"/>
  </w:num>
  <w:num w:numId="10" w16cid:durableId="1183132018">
    <w:abstractNumId w:val="7"/>
  </w:num>
  <w:num w:numId="11" w16cid:durableId="6811281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hideSpellingErrors/>
  <w:hideGrammaticalErrors/>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E89"/>
    <w:rsid w:val="000070BA"/>
    <w:rsid w:val="00015F39"/>
    <w:rsid w:val="000173F9"/>
    <w:rsid w:val="0002569B"/>
    <w:rsid w:val="00026867"/>
    <w:rsid w:val="000321B2"/>
    <w:rsid w:val="00035670"/>
    <w:rsid w:val="000412A0"/>
    <w:rsid w:val="000430AE"/>
    <w:rsid w:val="00047DDA"/>
    <w:rsid w:val="00051360"/>
    <w:rsid w:val="0005455A"/>
    <w:rsid w:val="000559E9"/>
    <w:rsid w:val="00062C4E"/>
    <w:rsid w:val="00067EED"/>
    <w:rsid w:val="00071F07"/>
    <w:rsid w:val="00075E98"/>
    <w:rsid w:val="0007759D"/>
    <w:rsid w:val="000777AB"/>
    <w:rsid w:val="00077F46"/>
    <w:rsid w:val="000879F5"/>
    <w:rsid w:val="00090FB1"/>
    <w:rsid w:val="00096186"/>
    <w:rsid w:val="000A5B0D"/>
    <w:rsid w:val="000A72E4"/>
    <w:rsid w:val="000B0E2F"/>
    <w:rsid w:val="000B2430"/>
    <w:rsid w:val="000D053B"/>
    <w:rsid w:val="000D0B30"/>
    <w:rsid w:val="000D2E79"/>
    <w:rsid w:val="000D73FF"/>
    <w:rsid w:val="000E21F1"/>
    <w:rsid w:val="000F4F20"/>
    <w:rsid w:val="000F6D2D"/>
    <w:rsid w:val="000F6D5B"/>
    <w:rsid w:val="000F703E"/>
    <w:rsid w:val="00101221"/>
    <w:rsid w:val="00103C44"/>
    <w:rsid w:val="00105C74"/>
    <w:rsid w:val="00120E86"/>
    <w:rsid w:val="00125DE9"/>
    <w:rsid w:val="001332E0"/>
    <w:rsid w:val="00134DE7"/>
    <w:rsid w:val="001375FA"/>
    <w:rsid w:val="00162344"/>
    <w:rsid w:val="001667B7"/>
    <w:rsid w:val="00171F2D"/>
    <w:rsid w:val="001828E0"/>
    <w:rsid w:val="001831B6"/>
    <w:rsid w:val="00185354"/>
    <w:rsid w:val="001854DC"/>
    <w:rsid w:val="00186795"/>
    <w:rsid w:val="00190252"/>
    <w:rsid w:val="0019192E"/>
    <w:rsid w:val="00194D09"/>
    <w:rsid w:val="001A08BE"/>
    <w:rsid w:val="001A7D5C"/>
    <w:rsid w:val="001B3560"/>
    <w:rsid w:val="001B60AA"/>
    <w:rsid w:val="001B63C8"/>
    <w:rsid w:val="001C1972"/>
    <w:rsid w:val="001C421F"/>
    <w:rsid w:val="001D360D"/>
    <w:rsid w:val="001D5659"/>
    <w:rsid w:val="001E7AAF"/>
    <w:rsid w:val="0020655F"/>
    <w:rsid w:val="0022111A"/>
    <w:rsid w:val="00223373"/>
    <w:rsid w:val="00261A8D"/>
    <w:rsid w:val="00283C1C"/>
    <w:rsid w:val="00284485"/>
    <w:rsid w:val="00291A00"/>
    <w:rsid w:val="00291A11"/>
    <w:rsid w:val="002A315C"/>
    <w:rsid w:val="002A3342"/>
    <w:rsid w:val="002A64BA"/>
    <w:rsid w:val="002A67EE"/>
    <w:rsid w:val="002B005C"/>
    <w:rsid w:val="002B4989"/>
    <w:rsid w:val="002C2510"/>
    <w:rsid w:val="002D59B0"/>
    <w:rsid w:val="002D714E"/>
    <w:rsid w:val="002E53C3"/>
    <w:rsid w:val="002E559E"/>
    <w:rsid w:val="002F1468"/>
    <w:rsid w:val="002F5F0C"/>
    <w:rsid w:val="00313684"/>
    <w:rsid w:val="003265EB"/>
    <w:rsid w:val="0034329E"/>
    <w:rsid w:val="00343FAA"/>
    <w:rsid w:val="00346189"/>
    <w:rsid w:val="00347F5E"/>
    <w:rsid w:val="00353C98"/>
    <w:rsid w:val="00360EDB"/>
    <w:rsid w:val="00371A20"/>
    <w:rsid w:val="00375C3D"/>
    <w:rsid w:val="003821B4"/>
    <w:rsid w:val="00382CF3"/>
    <w:rsid w:val="00387043"/>
    <w:rsid w:val="00387D52"/>
    <w:rsid w:val="00396A11"/>
    <w:rsid w:val="003A075C"/>
    <w:rsid w:val="003A2612"/>
    <w:rsid w:val="003A7CEA"/>
    <w:rsid w:val="003D2D65"/>
    <w:rsid w:val="003E4F8D"/>
    <w:rsid w:val="003F0BD3"/>
    <w:rsid w:val="003F278A"/>
    <w:rsid w:val="003F7A02"/>
    <w:rsid w:val="00400756"/>
    <w:rsid w:val="00400C22"/>
    <w:rsid w:val="00406E11"/>
    <w:rsid w:val="00415C40"/>
    <w:rsid w:val="00422EA5"/>
    <w:rsid w:val="00422EFA"/>
    <w:rsid w:val="0042791F"/>
    <w:rsid w:val="0043603B"/>
    <w:rsid w:val="004456ED"/>
    <w:rsid w:val="00456668"/>
    <w:rsid w:val="00465C25"/>
    <w:rsid w:val="00474F5F"/>
    <w:rsid w:val="0048045A"/>
    <w:rsid w:val="004841B8"/>
    <w:rsid w:val="00485DD7"/>
    <w:rsid w:val="00491945"/>
    <w:rsid w:val="004930F2"/>
    <w:rsid w:val="004A0583"/>
    <w:rsid w:val="004B0F1C"/>
    <w:rsid w:val="004B20BE"/>
    <w:rsid w:val="004B77EB"/>
    <w:rsid w:val="004D0D95"/>
    <w:rsid w:val="004F2EE6"/>
    <w:rsid w:val="00502DBA"/>
    <w:rsid w:val="005040C4"/>
    <w:rsid w:val="00507637"/>
    <w:rsid w:val="00507852"/>
    <w:rsid w:val="0050798C"/>
    <w:rsid w:val="00514C05"/>
    <w:rsid w:val="00514DBF"/>
    <w:rsid w:val="00532BC1"/>
    <w:rsid w:val="005419F8"/>
    <w:rsid w:val="00550921"/>
    <w:rsid w:val="005554C3"/>
    <w:rsid w:val="00563712"/>
    <w:rsid w:val="005645F6"/>
    <w:rsid w:val="00573631"/>
    <w:rsid w:val="00573C0B"/>
    <w:rsid w:val="00576CFA"/>
    <w:rsid w:val="0058556D"/>
    <w:rsid w:val="00585C82"/>
    <w:rsid w:val="00591B39"/>
    <w:rsid w:val="00592AF2"/>
    <w:rsid w:val="005947AD"/>
    <w:rsid w:val="00597748"/>
    <w:rsid w:val="005979E8"/>
    <w:rsid w:val="005B0406"/>
    <w:rsid w:val="005B7699"/>
    <w:rsid w:val="005C0A35"/>
    <w:rsid w:val="005C5F83"/>
    <w:rsid w:val="005D0AF4"/>
    <w:rsid w:val="005E35A2"/>
    <w:rsid w:val="005E54BD"/>
    <w:rsid w:val="005E797B"/>
    <w:rsid w:val="005F6CCA"/>
    <w:rsid w:val="00607376"/>
    <w:rsid w:val="006104AF"/>
    <w:rsid w:val="00610B27"/>
    <w:rsid w:val="00621893"/>
    <w:rsid w:val="0063326F"/>
    <w:rsid w:val="006351E1"/>
    <w:rsid w:val="00637030"/>
    <w:rsid w:val="006447B1"/>
    <w:rsid w:val="00646871"/>
    <w:rsid w:val="00662775"/>
    <w:rsid w:val="00682F5B"/>
    <w:rsid w:val="006852FC"/>
    <w:rsid w:val="00690884"/>
    <w:rsid w:val="00691E64"/>
    <w:rsid w:val="006B40AB"/>
    <w:rsid w:val="006B4DA7"/>
    <w:rsid w:val="006B5DC5"/>
    <w:rsid w:val="006C4BFD"/>
    <w:rsid w:val="006C7D30"/>
    <w:rsid w:val="006D1551"/>
    <w:rsid w:val="006D7472"/>
    <w:rsid w:val="006E3C08"/>
    <w:rsid w:val="00700ACF"/>
    <w:rsid w:val="00702113"/>
    <w:rsid w:val="00712487"/>
    <w:rsid w:val="007173E4"/>
    <w:rsid w:val="007225EF"/>
    <w:rsid w:val="00725552"/>
    <w:rsid w:val="007275EA"/>
    <w:rsid w:val="00732596"/>
    <w:rsid w:val="00735E6D"/>
    <w:rsid w:val="00750BFD"/>
    <w:rsid w:val="007530CA"/>
    <w:rsid w:val="00756D68"/>
    <w:rsid w:val="007578D9"/>
    <w:rsid w:val="00757E8A"/>
    <w:rsid w:val="00763E43"/>
    <w:rsid w:val="00763EAD"/>
    <w:rsid w:val="00764EB5"/>
    <w:rsid w:val="00777A95"/>
    <w:rsid w:val="00782416"/>
    <w:rsid w:val="0078790C"/>
    <w:rsid w:val="007B0364"/>
    <w:rsid w:val="007B41B5"/>
    <w:rsid w:val="007B76E5"/>
    <w:rsid w:val="007D0981"/>
    <w:rsid w:val="007D1929"/>
    <w:rsid w:val="007E37D8"/>
    <w:rsid w:val="008039CC"/>
    <w:rsid w:val="00803CF1"/>
    <w:rsid w:val="008046E8"/>
    <w:rsid w:val="00804F8F"/>
    <w:rsid w:val="008104BB"/>
    <w:rsid w:val="0082229D"/>
    <w:rsid w:val="008249C5"/>
    <w:rsid w:val="00845542"/>
    <w:rsid w:val="008526F9"/>
    <w:rsid w:val="0085285E"/>
    <w:rsid w:val="00853023"/>
    <w:rsid w:val="008534D4"/>
    <w:rsid w:val="00877389"/>
    <w:rsid w:val="00881E28"/>
    <w:rsid w:val="00885E2E"/>
    <w:rsid w:val="00892082"/>
    <w:rsid w:val="00894C4B"/>
    <w:rsid w:val="008A12E3"/>
    <w:rsid w:val="008A42FA"/>
    <w:rsid w:val="008B0AC7"/>
    <w:rsid w:val="008B5115"/>
    <w:rsid w:val="008C2335"/>
    <w:rsid w:val="008C2D8E"/>
    <w:rsid w:val="008C67C1"/>
    <w:rsid w:val="008D1A85"/>
    <w:rsid w:val="008D1D39"/>
    <w:rsid w:val="008E4505"/>
    <w:rsid w:val="008F07D2"/>
    <w:rsid w:val="00915319"/>
    <w:rsid w:val="00917851"/>
    <w:rsid w:val="00917F65"/>
    <w:rsid w:val="009311E7"/>
    <w:rsid w:val="00942694"/>
    <w:rsid w:val="00950B63"/>
    <w:rsid w:val="0097151F"/>
    <w:rsid w:val="0097481B"/>
    <w:rsid w:val="009A3D07"/>
    <w:rsid w:val="009A7BFF"/>
    <w:rsid w:val="009A7E3A"/>
    <w:rsid w:val="009B1265"/>
    <w:rsid w:val="009B4A15"/>
    <w:rsid w:val="009B5693"/>
    <w:rsid w:val="009C61A2"/>
    <w:rsid w:val="009C78E4"/>
    <w:rsid w:val="009D2D3A"/>
    <w:rsid w:val="009D3904"/>
    <w:rsid w:val="009D687E"/>
    <w:rsid w:val="009E7E80"/>
    <w:rsid w:val="009F2F7F"/>
    <w:rsid w:val="009F6182"/>
    <w:rsid w:val="009F6DE7"/>
    <w:rsid w:val="00A10583"/>
    <w:rsid w:val="00A37FCB"/>
    <w:rsid w:val="00A54863"/>
    <w:rsid w:val="00A56513"/>
    <w:rsid w:val="00A61D74"/>
    <w:rsid w:val="00A706FD"/>
    <w:rsid w:val="00A8688B"/>
    <w:rsid w:val="00A91163"/>
    <w:rsid w:val="00A9286F"/>
    <w:rsid w:val="00A95A4F"/>
    <w:rsid w:val="00A96255"/>
    <w:rsid w:val="00AA576B"/>
    <w:rsid w:val="00AB285B"/>
    <w:rsid w:val="00AE2872"/>
    <w:rsid w:val="00AF5552"/>
    <w:rsid w:val="00AF5CB4"/>
    <w:rsid w:val="00AF5ED1"/>
    <w:rsid w:val="00AF71D6"/>
    <w:rsid w:val="00B216EE"/>
    <w:rsid w:val="00B21A36"/>
    <w:rsid w:val="00B3175F"/>
    <w:rsid w:val="00B31E2C"/>
    <w:rsid w:val="00B329B0"/>
    <w:rsid w:val="00B402D8"/>
    <w:rsid w:val="00B4237C"/>
    <w:rsid w:val="00B42FE8"/>
    <w:rsid w:val="00B52AFD"/>
    <w:rsid w:val="00B54077"/>
    <w:rsid w:val="00B5574A"/>
    <w:rsid w:val="00B8087E"/>
    <w:rsid w:val="00B87FDF"/>
    <w:rsid w:val="00B965B1"/>
    <w:rsid w:val="00BB646E"/>
    <w:rsid w:val="00BC6CC5"/>
    <w:rsid w:val="00BD1BA1"/>
    <w:rsid w:val="00C00DDF"/>
    <w:rsid w:val="00C019E5"/>
    <w:rsid w:val="00C032A9"/>
    <w:rsid w:val="00C05254"/>
    <w:rsid w:val="00C21144"/>
    <w:rsid w:val="00C32B30"/>
    <w:rsid w:val="00C35BC4"/>
    <w:rsid w:val="00C43F5B"/>
    <w:rsid w:val="00C44D1F"/>
    <w:rsid w:val="00C74809"/>
    <w:rsid w:val="00C76D77"/>
    <w:rsid w:val="00C85336"/>
    <w:rsid w:val="00CA43D4"/>
    <w:rsid w:val="00CA4C26"/>
    <w:rsid w:val="00CB4371"/>
    <w:rsid w:val="00CC516D"/>
    <w:rsid w:val="00CE7449"/>
    <w:rsid w:val="00D24330"/>
    <w:rsid w:val="00D2600C"/>
    <w:rsid w:val="00D40056"/>
    <w:rsid w:val="00D51E7C"/>
    <w:rsid w:val="00D54F29"/>
    <w:rsid w:val="00D7020C"/>
    <w:rsid w:val="00D70AD9"/>
    <w:rsid w:val="00D72152"/>
    <w:rsid w:val="00D72A2F"/>
    <w:rsid w:val="00D77211"/>
    <w:rsid w:val="00D94BA5"/>
    <w:rsid w:val="00D94BF7"/>
    <w:rsid w:val="00D9510F"/>
    <w:rsid w:val="00DA4D24"/>
    <w:rsid w:val="00DA615C"/>
    <w:rsid w:val="00DB1608"/>
    <w:rsid w:val="00DB71D4"/>
    <w:rsid w:val="00DD1BC6"/>
    <w:rsid w:val="00DD625C"/>
    <w:rsid w:val="00DE5DC3"/>
    <w:rsid w:val="00DE798A"/>
    <w:rsid w:val="00E00D8A"/>
    <w:rsid w:val="00E1050F"/>
    <w:rsid w:val="00E11604"/>
    <w:rsid w:val="00E11831"/>
    <w:rsid w:val="00E11D92"/>
    <w:rsid w:val="00E130A0"/>
    <w:rsid w:val="00E132C5"/>
    <w:rsid w:val="00E210C4"/>
    <w:rsid w:val="00E23DB7"/>
    <w:rsid w:val="00E40F41"/>
    <w:rsid w:val="00E46D96"/>
    <w:rsid w:val="00E52CCA"/>
    <w:rsid w:val="00E65F1A"/>
    <w:rsid w:val="00E66409"/>
    <w:rsid w:val="00E75655"/>
    <w:rsid w:val="00E764C4"/>
    <w:rsid w:val="00E801B5"/>
    <w:rsid w:val="00E81D5B"/>
    <w:rsid w:val="00E976B9"/>
    <w:rsid w:val="00EA05D3"/>
    <w:rsid w:val="00EB19AD"/>
    <w:rsid w:val="00EB2F31"/>
    <w:rsid w:val="00EB6493"/>
    <w:rsid w:val="00EB7600"/>
    <w:rsid w:val="00EC2915"/>
    <w:rsid w:val="00EC3644"/>
    <w:rsid w:val="00ED05A9"/>
    <w:rsid w:val="00ED1BA0"/>
    <w:rsid w:val="00EE316B"/>
    <w:rsid w:val="00F146EF"/>
    <w:rsid w:val="00F17257"/>
    <w:rsid w:val="00F34092"/>
    <w:rsid w:val="00F34D24"/>
    <w:rsid w:val="00F4130B"/>
    <w:rsid w:val="00F556A2"/>
    <w:rsid w:val="00F61090"/>
    <w:rsid w:val="00F719A8"/>
    <w:rsid w:val="00F878B9"/>
    <w:rsid w:val="00FA092C"/>
    <w:rsid w:val="00FB24E8"/>
    <w:rsid w:val="00FB3B2B"/>
    <w:rsid w:val="00FB3F16"/>
    <w:rsid w:val="00FB4AAC"/>
    <w:rsid w:val="00FB63FD"/>
    <w:rsid w:val="00FB75DF"/>
    <w:rsid w:val="00FC0E22"/>
    <w:rsid w:val="00FC18DA"/>
    <w:rsid w:val="00FC300F"/>
    <w:rsid w:val="00FC3917"/>
    <w:rsid w:val="00FD4B16"/>
    <w:rsid w:val="00FD60DA"/>
    <w:rsid w:val="00FE175F"/>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6D15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1551"/>
    <w:rPr>
      <w:b/>
      <w:bCs/>
    </w:rPr>
  </w:style>
  <w:style w:type="character" w:styleId="FollowedHyperlink">
    <w:name w:val="FollowedHyperlink"/>
    <w:basedOn w:val="DefaultParagraphFont"/>
    <w:uiPriority w:val="99"/>
    <w:semiHidden/>
    <w:unhideWhenUsed/>
    <w:rsid w:val="0097151F"/>
    <w:rPr>
      <w:color w:val="800080" w:themeColor="followedHyperlink"/>
      <w:u w:val="single"/>
    </w:rPr>
  </w:style>
  <w:style w:type="paragraph" w:styleId="Revision">
    <w:name w:val="Revision"/>
    <w:hidden/>
    <w:uiPriority w:val="99"/>
    <w:semiHidden/>
    <w:rsid w:val="00015F39"/>
    <w:pPr>
      <w:spacing w:after="0" w:line="240" w:lineRule="auto"/>
    </w:pPr>
  </w:style>
  <w:style w:type="character" w:styleId="UnresolvedMention">
    <w:name w:val="Unresolved Mention"/>
    <w:basedOn w:val="DefaultParagraphFont"/>
    <w:uiPriority w:val="99"/>
    <w:semiHidden/>
    <w:unhideWhenUsed/>
    <w:rsid w:val="00AA576B"/>
    <w:rPr>
      <w:color w:val="605E5C"/>
      <w:shd w:val="clear" w:color="auto" w:fill="E1DFDD"/>
    </w:rPr>
  </w:style>
  <w:style w:type="paragraph" w:customStyle="1" w:styleId="Default">
    <w:name w:val="Default"/>
    <w:rsid w:val="008046E8"/>
    <w:pPr>
      <w:autoSpaceDE w:val="0"/>
      <w:autoSpaceDN w:val="0"/>
      <w:adjustRightInd w:val="0"/>
      <w:spacing w:after="0" w:line="240" w:lineRule="auto"/>
    </w:pPr>
    <w:rPr>
      <w:rFonts w:ascii="Open Sans" w:hAnsi="Open Sans" w:cs="Open San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624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is.unesco.org/sites/default/files/questionnaires/UIS_ED_M_2024_EN.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g4-data.uis.unesco.org/" TargetMode="External"/><Relationship Id="rId17" Type="http://schemas.openxmlformats.org/officeDocument/2006/relationships/hyperlink" Target="https://www.imf.org/en/Publications/WEO" TargetMode="External"/><Relationship Id="rId2" Type="http://schemas.openxmlformats.org/officeDocument/2006/relationships/customXml" Target="../customXml/item2.xml"/><Relationship Id="rId16" Type="http://schemas.openxmlformats.org/officeDocument/2006/relationships/hyperlink" Target="https://tcg.uis.unesco.org/wp-content/uploads/sites/4/2022/11/WG_EMIS_2_Dynamic-Templates.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yperlink" Target="http://uis.unesco.org/en/uis-questionnair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ecd.org/statistics/data-collection/UOE-Manual.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6B4E626-006D-457C-96BF-1DC191C7B3C4}"/>
      </w:docPartPr>
      <w:docPartBody>
        <w:p w:rsidR="008A0807" w:rsidRDefault="00D7529D">
          <w:r w:rsidRPr="0079520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9D"/>
    <w:rsid w:val="00095FD4"/>
    <w:rsid w:val="000F10CC"/>
    <w:rsid w:val="006A375F"/>
    <w:rsid w:val="008A0807"/>
    <w:rsid w:val="00D7529D"/>
    <w:rsid w:val="00F522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2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D4F36-E618-48E8-9CD8-A8368E4DF549}">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8e024d6-51f2-471b-ac2c-b1117d65062e}" enabled="1" method="Standard" siteId="{1d4fae52-39b3-4bfa-b0b3-022956b11194}"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2024-06-13T18:27:00Z</dcterms:created>
  <dcterms:modified xsi:type="dcterms:W3CDTF">2024-06-27T17:32:00Z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