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58E17"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7598FEE4" w14:textId="77777777"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6F277C">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0977584F" w14:textId="77777777" w:rsidR="006C4BFD" w:rsidRPr="00A96255" w:rsidRDefault="006C4BFD" w:rsidP="006C4BFD">
      <w:pPr>
        <w:spacing w:after="0"/>
        <w:rPr>
          <w:rFonts w:eastAsia="Times New Roman" w:cs="Times New Roman"/>
          <w:b/>
          <w:bCs/>
          <w:color w:val="4A4A4A"/>
          <w:sz w:val="21"/>
          <w:szCs w:val="21"/>
          <w:lang w:eastAsia="en-GB"/>
        </w:rPr>
      </w:pPr>
    </w:p>
    <w:p w14:paraId="42837C55" w14:textId="77777777" w:rsidR="00B31E2C" w:rsidRPr="00A96255" w:rsidRDefault="00B31E2C" w:rsidP="00EA05D3">
      <w:pPr>
        <w:pStyle w:val="MIndHeader2"/>
      </w:pPr>
      <w:r w:rsidRPr="00A96255">
        <w:t xml:space="preserve">0. Indicator information </w:t>
      </w:r>
      <w:r>
        <w:rPr>
          <w:color w:val="B4B4B4"/>
          <w:sz w:val="20"/>
        </w:rPr>
        <w:t>(SDG_INDICATOR_INFO)</w:t>
      </w:r>
    </w:p>
    <w:p w14:paraId="4945941B" w14:textId="77777777" w:rsidR="00D24330" w:rsidRPr="00A96255" w:rsidRDefault="00D24330" w:rsidP="00EA05D3">
      <w:pPr>
        <w:pStyle w:val="MIndHeader"/>
      </w:pPr>
      <w:r w:rsidRPr="00A96255">
        <w:t xml:space="preserve">0.a. Goal </w:t>
      </w:r>
      <w:r>
        <w:rPr>
          <w:color w:val="B4B4B4"/>
          <w:sz w:val="20"/>
        </w:rPr>
        <w:t>(SDG_GOAL)</w:t>
      </w:r>
    </w:p>
    <w:p w14:paraId="0D4FB7BD" w14:textId="77777777" w:rsidR="00D24330" w:rsidRPr="00A96255" w:rsidRDefault="00CA16A4" w:rsidP="002F5F0C">
      <w:pPr>
        <w:pStyle w:val="MGTHeader"/>
      </w:pPr>
      <w:r>
        <w:t>Goal 2: End hunger, achieve food security and improved nutrition and promote sustainable agriculture</w:t>
      </w:r>
    </w:p>
    <w:p w14:paraId="46487EAA" w14:textId="77777777" w:rsidR="00D24330" w:rsidRPr="00A96255" w:rsidRDefault="00D24330" w:rsidP="00D24330">
      <w:pPr>
        <w:pStyle w:val="MIndHeader"/>
      </w:pPr>
      <w:r w:rsidRPr="00A96255">
        <w:t xml:space="preserve">0.b. Target </w:t>
      </w:r>
      <w:r>
        <w:rPr>
          <w:color w:val="B4B4B4"/>
          <w:sz w:val="20"/>
        </w:rPr>
        <w:t>(SDG_TARGET)</w:t>
      </w:r>
    </w:p>
    <w:p w14:paraId="663011A7" w14:textId="77777777" w:rsidR="00D24330" w:rsidRPr="00A96255" w:rsidRDefault="00CA16A4" w:rsidP="00D24330">
      <w:pPr>
        <w:pStyle w:val="MGTHeader"/>
      </w:pPr>
      <w:r>
        <w:t>Target 2.4: By 2030, ensure sustainable food production systems and implement resilient agricultural practices that increase productivity and production, that help maintain ecosystems, that strengthen capacity for adaptation to climate change, extreme weather, drought, flooding and other disasters and that progressively improve land and soil quality</w:t>
      </w:r>
    </w:p>
    <w:p w14:paraId="5D2221F6" w14:textId="77777777" w:rsidR="00D24330" w:rsidRPr="00A96255" w:rsidRDefault="00D24330" w:rsidP="00D24330">
      <w:pPr>
        <w:pStyle w:val="MIndHeader"/>
      </w:pPr>
      <w:r w:rsidRPr="00A96255">
        <w:t xml:space="preserve">0.c. Indicator </w:t>
      </w:r>
      <w:r>
        <w:rPr>
          <w:color w:val="B4B4B4"/>
          <w:sz w:val="20"/>
        </w:rPr>
        <w:t>(SDG_INDICATOR)</w:t>
      </w:r>
    </w:p>
    <w:p w14:paraId="452AF2B7" w14:textId="182C76F4" w:rsidR="003C2224" w:rsidRPr="00AE3F05" w:rsidRDefault="009517A5" w:rsidP="009517A5">
      <w:pPr>
        <w:pStyle w:val="MGTHeader"/>
        <w:rPr>
          <w:b/>
          <w:bCs/>
        </w:rPr>
      </w:pPr>
      <w:r>
        <w:t>Indicator</w:t>
      </w:r>
      <w:r w:rsidR="00A9437C">
        <w:t xml:space="preserve"> </w:t>
      </w:r>
      <w:r>
        <w:t>2.4.1</w:t>
      </w:r>
      <w:r w:rsidR="00A9437C">
        <w:t>:</w:t>
      </w:r>
      <w:r>
        <w:t xml:space="preserve"> Proportion of agricultural area under productive and sustainable agriculture</w:t>
      </w:r>
    </w:p>
    <w:p w14:paraId="509F0E18" w14:textId="77777777" w:rsidR="00D24330" w:rsidRPr="00A96255" w:rsidRDefault="00D24330" w:rsidP="00D24330">
      <w:pPr>
        <w:pStyle w:val="MIndHeader"/>
      </w:pPr>
      <w:r w:rsidRPr="00A96255">
        <w:t xml:space="preserve">0.d. Series </w:t>
      </w:r>
      <w:r>
        <w:rPr>
          <w:color w:val="B4B4B4"/>
          <w:sz w:val="20"/>
        </w:rPr>
        <w:t>(SDG_SERIES_DESCR)</w:t>
      </w:r>
    </w:p>
    <w:p w14:paraId="33233AFE" w14:textId="77777777" w:rsidR="00955030" w:rsidRPr="00BD7FAB" w:rsidRDefault="00955030" w:rsidP="00955030">
      <w:pPr>
        <w:pStyle w:val="MGTHeader"/>
      </w:pPr>
      <w:r w:rsidRPr="00BD7FAB">
        <w:t>AG_LND_SUST_PRXTS - [PROXY] Progress toward productive and sustainable agriculture, trend score [2.4.1]</w:t>
      </w:r>
    </w:p>
    <w:p w14:paraId="25A0315D" w14:textId="75159ADD" w:rsidR="003A0524" w:rsidRPr="00BD7FAB" w:rsidRDefault="00955030" w:rsidP="00955030">
      <w:pPr>
        <w:pStyle w:val="MGTHeader"/>
      </w:pPr>
      <w:r w:rsidRPr="00BD7FAB">
        <w:t xml:space="preserve">AG_LND_SUST_PRXCSS - [PROXY] Progress toward productive and sustainable agriculture, </w:t>
      </w:r>
      <w:proofErr w:type="gramStart"/>
      <w:r w:rsidRPr="00BD7FAB">
        <w:t>current status</w:t>
      </w:r>
      <w:proofErr w:type="gramEnd"/>
      <w:r w:rsidRPr="00BD7FAB">
        <w:t xml:space="preserve"> score [2.4.1]</w:t>
      </w:r>
    </w:p>
    <w:p w14:paraId="0F565B09" w14:textId="77777777" w:rsidR="00D24330" w:rsidRPr="00915E7A" w:rsidRDefault="00D24330" w:rsidP="00D24330">
      <w:pPr>
        <w:pStyle w:val="MIndHeader"/>
        <w:rPr>
          <w:lang w:val="it-IT"/>
        </w:rPr>
      </w:pPr>
      <w:r w:rsidRPr="00915E7A">
        <w:rPr>
          <w:lang w:val="it-IT"/>
        </w:rPr>
        <w:t xml:space="preserve">0.e. Metadata update </w:t>
      </w:r>
      <w:r>
        <w:rPr>
          <w:color w:val="B4B4B4"/>
          <w:sz w:val="20"/>
        </w:rPr>
        <w:t>(META_LAST_UPDATE)</w:t>
      </w:r>
    </w:p>
    <w:sdt>
      <w:sdtPr>
        <w:id w:val="1186480725"/>
        <w:placeholder>
          <w:docPart w:val="DefaultPlaceholder_-1854013437"/>
        </w:placeholder>
        <w:date w:fullDate="2025-04-23T00:00:00Z">
          <w:dateFormat w:val="yyyy-MM-dd"/>
          <w:lid w:val="en-US"/>
          <w:storeMappedDataAs w:val="dateTime"/>
          <w:calendar w:val="gregorian"/>
        </w:date>
      </w:sdtPr>
      <w:sdtEndPr/>
      <w:sdtContent>
        <w:p w14:paraId="7EEF1406" w14:textId="2812FB18" w:rsidR="00D24330" w:rsidRPr="002C2F92" w:rsidRDefault="00461964" w:rsidP="00D24330">
          <w:pPr>
            <w:pStyle w:val="MGTHeader"/>
          </w:pPr>
          <w:r>
            <w:rPr>
              <w:lang w:val="en-US"/>
            </w:rPr>
            <w:t>2025-04-23</w:t>
          </w:r>
        </w:p>
      </w:sdtContent>
    </w:sdt>
    <w:p w14:paraId="34E038E2" w14:textId="77777777" w:rsidR="00D24330" w:rsidRPr="002C2F92" w:rsidRDefault="00D24330" w:rsidP="00D24330">
      <w:pPr>
        <w:pStyle w:val="MIndHeader"/>
      </w:pPr>
      <w:r w:rsidRPr="002C2F92">
        <w:t xml:space="preserve">0.f. Related indicators </w:t>
      </w:r>
      <w:r>
        <w:rPr>
          <w:color w:val="B4B4B4"/>
          <w:sz w:val="20"/>
        </w:rPr>
        <w:t>(SDG_RELATED_INDICATORS)</w:t>
      </w:r>
    </w:p>
    <w:p w14:paraId="18F2FA5D" w14:textId="77777777" w:rsidR="00CA16A4" w:rsidRPr="006F26AE" w:rsidRDefault="005376EC" w:rsidP="006F26AE">
      <w:pPr>
        <w:pStyle w:val="MGTHeader"/>
      </w:pPr>
      <w:r w:rsidRPr="006F26AE">
        <w:t>It links</w:t>
      </w:r>
      <w:r w:rsidR="00CA16A4" w:rsidRPr="006F26AE">
        <w:t xml:space="preserve"> to: </w:t>
      </w:r>
    </w:p>
    <w:p w14:paraId="6A08DD95" w14:textId="77777777" w:rsidR="002C2F92" w:rsidRPr="006F26AE" w:rsidRDefault="002C2F92" w:rsidP="006F26AE">
      <w:pPr>
        <w:pStyle w:val="MGTHeader"/>
      </w:pPr>
      <w:r w:rsidRPr="006F26AE">
        <w:t xml:space="preserve">Indicator 2.3.1: </w:t>
      </w:r>
      <w:r w:rsidR="00DA6833" w:rsidRPr="006F26AE">
        <w:t>Productivity of small-scale food producers</w:t>
      </w:r>
    </w:p>
    <w:p w14:paraId="712998E8" w14:textId="77777777" w:rsidR="00D24330" w:rsidRPr="00BD7FAB" w:rsidRDefault="00CA16A4" w:rsidP="006F26AE">
      <w:pPr>
        <w:pStyle w:val="MGTHeader"/>
      </w:pPr>
      <w:r w:rsidRPr="00BD7FAB">
        <w:t>Indicator 2.3.2: Average income of small-scale food producers, by sex and indigenous status</w:t>
      </w:r>
    </w:p>
    <w:p w14:paraId="63DBFF2E" w14:textId="7C857FD5" w:rsidR="005376EC" w:rsidRPr="00BD7FAB" w:rsidRDefault="005376EC" w:rsidP="006F26AE">
      <w:pPr>
        <w:pStyle w:val="MGTHeader"/>
      </w:pPr>
      <w:r w:rsidRPr="00BD7FAB">
        <w:t>Indicator 6.4.2</w:t>
      </w:r>
      <w:r w:rsidR="00F27E6B" w:rsidRPr="00BD7FAB">
        <w:t xml:space="preserve">: Level of water stress: </w:t>
      </w:r>
      <w:r w:rsidR="00FE62B2">
        <w:t>Agriculture component of water stress</w:t>
      </w:r>
    </w:p>
    <w:p w14:paraId="25BA15AB" w14:textId="1B3EE51B" w:rsidR="004E499A" w:rsidRPr="00BD7FAB" w:rsidRDefault="004E499A" w:rsidP="006F26AE">
      <w:pPr>
        <w:pStyle w:val="MGTHeader"/>
      </w:pPr>
      <w:r w:rsidRPr="00BD7FAB">
        <w:t>Indicator 8.3.1: Informal employment in agriculture</w:t>
      </w:r>
    </w:p>
    <w:p w14:paraId="09D96E24"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75631A2A" w14:textId="77777777" w:rsidR="00621893" w:rsidRPr="00A96255" w:rsidRDefault="00CA16A4" w:rsidP="00D24330">
      <w:pPr>
        <w:pStyle w:val="MGTHeader"/>
        <w:rPr>
          <w:color w:val="4A4A4A"/>
        </w:rPr>
      </w:pPr>
      <w:r>
        <w:t>Food and Agriculture Organization of the United Nations (FAO)</w:t>
      </w:r>
    </w:p>
    <w:p w14:paraId="75EFBB36"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08EDED7F" w14:textId="77777777"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2ABCE3C0" w14:textId="77777777" w:rsidR="00576CFA" w:rsidRPr="00A96255" w:rsidRDefault="00576CFA" w:rsidP="00F719A8">
      <w:pPr>
        <w:pStyle w:val="MHeader2"/>
      </w:pPr>
      <w:r w:rsidRPr="00A96255">
        <w:t xml:space="preserve">1.a. Organisation </w:t>
      </w:r>
      <w:r>
        <w:rPr>
          <w:color w:val="B4B4B4"/>
          <w:sz w:val="20"/>
        </w:rPr>
        <w:t>(CONTACT_ORGANISATION)</w:t>
      </w:r>
    </w:p>
    <w:p w14:paraId="2B7A0296" w14:textId="77777777" w:rsidR="00576CFA" w:rsidRDefault="00CA16A4" w:rsidP="00576CFA">
      <w:pPr>
        <w:pStyle w:val="MText"/>
      </w:pPr>
      <w:r>
        <w:t>Food and Agriculture Organization of the United Nations (FAO)</w:t>
      </w:r>
    </w:p>
    <w:p w14:paraId="69AA4C24" w14:textId="77777777" w:rsidR="00576CFA" w:rsidRPr="00190B88" w:rsidRDefault="00576CFA" w:rsidP="00576CFA">
      <w:pPr>
        <w:pStyle w:val="MText"/>
      </w:pPr>
    </w:p>
    <w:p w14:paraId="10371D19" w14:textId="77777777" w:rsidR="00B31E2C" w:rsidRPr="00A96255" w:rsidRDefault="00B31E2C" w:rsidP="008B0AC7">
      <w:pPr>
        <w:pStyle w:val="MHeader"/>
      </w:pPr>
      <w:r w:rsidRPr="00A96255">
        <w:t xml:space="preserve">2. Definition, concepts, and classifications </w:t>
      </w:r>
      <w:r>
        <w:rPr>
          <w:color w:val="B4B4B4"/>
          <w:sz w:val="20"/>
        </w:rPr>
        <w:t>(IND_DEF_CON_CLASS)</w:t>
      </w:r>
    </w:p>
    <w:p w14:paraId="2D641004" w14:textId="77777777" w:rsidR="008B0AC7" w:rsidRPr="00A96255" w:rsidRDefault="008B0AC7" w:rsidP="00F719A8">
      <w:pPr>
        <w:pStyle w:val="MHeader2"/>
      </w:pPr>
      <w:r w:rsidRPr="00A96255">
        <w:t xml:space="preserve">2.a. Definition and concepts </w:t>
      </w:r>
      <w:r>
        <w:rPr>
          <w:color w:val="B4B4B4"/>
          <w:sz w:val="20"/>
        </w:rPr>
        <w:t>(STAT_CONC_DEF)</w:t>
      </w:r>
    </w:p>
    <w:p w14:paraId="72C72B50" w14:textId="71BAB4B2" w:rsidR="002C2F92" w:rsidRPr="002C2F92" w:rsidRDefault="002C2F92" w:rsidP="00BD7FAB">
      <w:pPr>
        <w:pStyle w:val="MText"/>
        <w:rPr>
          <w:rFonts w:eastAsiaTheme="minorEastAsia"/>
        </w:rPr>
      </w:pPr>
      <w:r w:rsidRPr="002C2F92">
        <w:rPr>
          <w:rFonts w:eastAsiaTheme="minorEastAsia"/>
        </w:rPr>
        <w:lastRenderedPageBreak/>
        <w:t>Over the past 30 years, the definition and measurement of sustainable agriculture has been much debated. According to the 2030 Agenda for Sustainable Development, the performance of all sectors, including agriculture, must be assessed against the three dimensions of sustainability: economic, social and environmental. Until recently, there has been no internationally agreed method to measure sustainable agriculture. The SDG process created the opportunity to develop a commonly accepted measurement method. SDG target 2.4 requires that by 2030, countries “ensure sustainable food production systems and implement resilient agricultural practices that increase productivity and production, that help maintain ecosystems, that strengthen capacity for adaptation to climate change, extreme weather, drought, flooding and other disasters and that progressively improve land and soil quality”. During a meeting in December 2022, the Inter-agency and Expert Group on SDG Indicators (IAEG-SDGs), which governs the overall SDG monitoring process, endorsed the new methodology relating to SDG indicator 2.4.1, which operationalizes an internationally agreed definition of sustainable agriculture.</w:t>
      </w:r>
    </w:p>
    <w:p w14:paraId="5DD58F4D" w14:textId="77777777" w:rsidR="00EC2915" w:rsidRPr="00A96255" w:rsidRDefault="00EC2915" w:rsidP="00576CFA">
      <w:pPr>
        <w:pStyle w:val="MText"/>
      </w:pPr>
    </w:p>
    <w:p w14:paraId="64E764E5" w14:textId="77777777" w:rsidR="008B0AC7" w:rsidRPr="00A96255" w:rsidRDefault="00576CFA" w:rsidP="00F719A8">
      <w:pPr>
        <w:pStyle w:val="MHeader2"/>
      </w:pPr>
      <w:r w:rsidRPr="00A96255">
        <w:t xml:space="preserve">2.b. Unit of measure </w:t>
      </w:r>
      <w:r>
        <w:rPr>
          <w:color w:val="B4B4B4"/>
          <w:sz w:val="20"/>
        </w:rPr>
        <w:t>(UNIT_MEASURE)</w:t>
      </w:r>
    </w:p>
    <w:p w14:paraId="1C16A2EC" w14:textId="77777777" w:rsidR="00C2246B" w:rsidRDefault="00C2246B" w:rsidP="00C2246B">
      <w:pPr>
        <w:spacing w:after="120"/>
        <w:rPr>
          <w:color w:val="000000" w:themeColor="text1"/>
        </w:rPr>
      </w:pPr>
      <w:r w:rsidRPr="00BD7FAB">
        <w:rPr>
          <w:rStyle w:val="MTextChar"/>
          <w:rFonts w:eastAsiaTheme="minorEastAsia"/>
        </w:rPr>
        <w:t>For each country, scores are assigned to each sub-indicator based on the applicable method described in Annexes 1 and 2, and the average score determines the classification of the country into one of five bands with respect to the</w:t>
      </w:r>
      <w:r>
        <w:rPr>
          <w:color w:val="000000" w:themeColor="text1"/>
        </w:rPr>
        <w:t xml:space="preserve"> </w:t>
      </w:r>
      <w:r>
        <w:rPr>
          <w:color w:val="000000" w:themeColor="text1"/>
          <w:u w:val="single"/>
        </w:rPr>
        <w:t>trend</w:t>
      </w:r>
      <w:r w:rsidRPr="0066115D">
        <w:rPr>
          <w:color w:val="000000" w:themeColor="text1"/>
          <w:u w:val="single"/>
        </w:rPr>
        <w:t xml:space="preserve"> towards</w:t>
      </w:r>
      <w:r>
        <w:rPr>
          <w:color w:val="000000" w:themeColor="text1"/>
        </w:rPr>
        <w:t xml:space="preserve"> </w:t>
      </w:r>
      <w:r w:rsidRPr="00BD7FAB">
        <w:rPr>
          <w:rStyle w:val="MTextChar"/>
          <w:rFonts w:eastAsiaTheme="minorEastAsia"/>
        </w:rPr>
        <w:t>productive and sustainable agriculture as well as</w:t>
      </w:r>
      <w:r>
        <w:rPr>
          <w:color w:val="000000" w:themeColor="text1"/>
        </w:rPr>
        <w:t xml:space="preserve"> </w:t>
      </w:r>
      <w:r w:rsidRPr="0066115D">
        <w:rPr>
          <w:color w:val="000000" w:themeColor="text1"/>
          <w:u w:val="single"/>
        </w:rPr>
        <w:t>status with respect to</w:t>
      </w:r>
      <w:r>
        <w:rPr>
          <w:color w:val="000000" w:themeColor="text1"/>
        </w:rPr>
        <w:t xml:space="preserve"> </w:t>
      </w:r>
      <w:r w:rsidRPr="00BD7FAB">
        <w:rPr>
          <w:rStyle w:val="MTextChar"/>
          <w:rFonts w:eastAsiaTheme="minorEastAsia"/>
        </w:rPr>
        <w:t>productive and sustainable agriculture, as follows:</w:t>
      </w:r>
    </w:p>
    <w:p w14:paraId="4C6B292B" w14:textId="77777777" w:rsidR="00963D09" w:rsidRDefault="00963D09" w:rsidP="00C2246B">
      <w:pPr>
        <w:spacing w:after="120"/>
        <w:rPr>
          <w:color w:val="000000" w:themeColor="text1"/>
        </w:rPr>
      </w:pPr>
    </w:p>
    <w:tbl>
      <w:tblPr>
        <w:tblStyle w:val="PlainTable2"/>
        <w:tblW w:w="9498" w:type="dxa"/>
        <w:jc w:val="center"/>
        <w:tblLook w:val="04A0" w:firstRow="1" w:lastRow="0" w:firstColumn="1" w:lastColumn="0" w:noHBand="0" w:noVBand="1"/>
      </w:tblPr>
      <w:tblGrid>
        <w:gridCol w:w="1276"/>
        <w:gridCol w:w="8222"/>
      </w:tblGrid>
      <w:tr w:rsidR="00C2246B" w:rsidRPr="00B961AF" w14:paraId="353E07E2" w14:textId="77777777" w:rsidTr="005D1B4F">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2B7509A2" w14:textId="77777777" w:rsidR="00C2246B" w:rsidRPr="00B961AF" w:rsidRDefault="00C2246B" w:rsidP="005D1B4F">
            <w:pPr>
              <w:rPr>
                <w:color w:val="000000" w:themeColor="text1"/>
                <w:lang w:val="en-GB"/>
              </w:rPr>
            </w:pPr>
            <w:r>
              <w:rPr>
                <w:b w:val="0"/>
                <w:bCs w:val="0"/>
              </w:rPr>
              <w:br w:type="page"/>
            </w:r>
            <w:r w:rsidRPr="00B961AF">
              <w:rPr>
                <w:color w:val="000000" w:themeColor="text1"/>
                <w:lang w:val="en-GB"/>
              </w:rPr>
              <w:t>Score</w:t>
            </w:r>
          </w:p>
        </w:tc>
        <w:tc>
          <w:tcPr>
            <w:tcW w:w="8222" w:type="dxa"/>
          </w:tcPr>
          <w:p w14:paraId="43FF53C8" w14:textId="77777777" w:rsidR="00C2246B" w:rsidRPr="00B961AF" w:rsidRDefault="00C2246B" w:rsidP="005D1B4F">
            <w:pPr>
              <w:cnfStyle w:val="100000000000" w:firstRow="1"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T</w:t>
            </w:r>
            <w:r w:rsidRPr="00633C9D">
              <w:rPr>
                <w:color w:val="000000" w:themeColor="text1"/>
                <w:lang w:val="en-GB"/>
              </w:rPr>
              <w:t>rend towards productive and sustainable agriculture</w:t>
            </w:r>
          </w:p>
        </w:tc>
      </w:tr>
      <w:tr w:rsidR="00C2246B" w:rsidRPr="00B961AF" w14:paraId="5C377A03" w14:textId="77777777" w:rsidTr="005D1B4F">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27C135FB" w14:textId="77777777" w:rsidR="00C2246B" w:rsidRPr="00B961AF" w:rsidRDefault="00C2246B" w:rsidP="005D1B4F">
            <w:pPr>
              <w:rPr>
                <w:color w:val="000000" w:themeColor="text1"/>
                <w:lang w:val="en-GB"/>
              </w:rPr>
            </w:pPr>
            <w:r>
              <w:rPr>
                <w:color w:val="000000" w:themeColor="text1"/>
                <w:lang w:val="en-GB"/>
              </w:rPr>
              <w:t>1</w:t>
            </w:r>
            <w:r w:rsidRPr="00B961AF">
              <w:rPr>
                <w:color w:val="000000" w:themeColor="text1"/>
                <w:lang w:val="en-GB"/>
              </w:rPr>
              <w:t xml:space="preserve"> –&lt; </w:t>
            </w:r>
            <w:r>
              <w:rPr>
                <w:color w:val="000000" w:themeColor="text1"/>
                <w:lang w:val="en-GB"/>
              </w:rPr>
              <w:t>1.5</w:t>
            </w:r>
          </w:p>
        </w:tc>
        <w:tc>
          <w:tcPr>
            <w:tcW w:w="8222" w:type="dxa"/>
          </w:tcPr>
          <w:p w14:paraId="3A409F99" w14:textId="77777777" w:rsidR="00C2246B" w:rsidRPr="00B961AF" w:rsidRDefault="00C2246B" w:rsidP="005D1B4F">
            <w:pPr>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B961AF">
              <w:rPr>
                <w:color w:val="000000" w:themeColor="text1"/>
                <w:lang w:val="en-GB"/>
              </w:rPr>
              <w:t xml:space="preserve">Band 1: </w:t>
            </w:r>
            <w:r>
              <w:rPr>
                <w:color w:val="000000" w:themeColor="text1"/>
                <w:lang w:val="en-GB"/>
              </w:rPr>
              <w:t>Deterioration away from productive and sustainable agriculture</w:t>
            </w:r>
          </w:p>
        </w:tc>
      </w:tr>
      <w:tr w:rsidR="00C2246B" w:rsidRPr="00B961AF" w14:paraId="5C22B34D" w14:textId="77777777" w:rsidTr="005D1B4F">
        <w:trPr>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57509F3A" w14:textId="77777777" w:rsidR="00C2246B" w:rsidRPr="00B961AF" w:rsidRDefault="00C2246B" w:rsidP="005D1B4F">
            <w:pPr>
              <w:rPr>
                <w:color w:val="000000" w:themeColor="text1"/>
                <w:lang w:val="en-GB"/>
              </w:rPr>
            </w:pPr>
            <w:r>
              <w:rPr>
                <w:color w:val="000000" w:themeColor="text1"/>
                <w:lang w:val="en-GB"/>
              </w:rPr>
              <w:t>1.5</w:t>
            </w:r>
            <w:r w:rsidRPr="00B961AF">
              <w:rPr>
                <w:color w:val="000000" w:themeColor="text1"/>
                <w:lang w:val="en-GB"/>
              </w:rPr>
              <w:t xml:space="preserve"> –&lt;</w:t>
            </w:r>
            <w:r>
              <w:rPr>
                <w:color w:val="000000" w:themeColor="text1"/>
                <w:lang w:val="en-GB"/>
              </w:rPr>
              <w:t xml:space="preserve"> 2.5</w:t>
            </w:r>
          </w:p>
        </w:tc>
        <w:tc>
          <w:tcPr>
            <w:tcW w:w="8222" w:type="dxa"/>
          </w:tcPr>
          <w:p w14:paraId="4AF9619D" w14:textId="77777777" w:rsidR="00C2246B" w:rsidRPr="00B961AF" w:rsidRDefault="00C2246B" w:rsidP="005D1B4F">
            <w:pPr>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Band 2: Slight deterioration from productive and sustainable agriculture</w:t>
            </w:r>
          </w:p>
        </w:tc>
      </w:tr>
      <w:tr w:rsidR="00C2246B" w:rsidRPr="00B961AF" w14:paraId="7D12EAF7" w14:textId="77777777" w:rsidTr="005D1B4F">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3A45870F" w14:textId="77777777" w:rsidR="00C2246B" w:rsidRPr="00B961AF" w:rsidRDefault="00C2246B" w:rsidP="005D1B4F">
            <w:pPr>
              <w:rPr>
                <w:color w:val="000000" w:themeColor="text1"/>
                <w:lang w:val="en-GB"/>
              </w:rPr>
            </w:pPr>
            <w:r>
              <w:rPr>
                <w:color w:val="000000" w:themeColor="text1"/>
                <w:lang w:val="en-GB"/>
              </w:rPr>
              <w:t>2.5 –&lt; 3.5</w:t>
            </w:r>
          </w:p>
        </w:tc>
        <w:tc>
          <w:tcPr>
            <w:tcW w:w="8222" w:type="dxa"/>
          </w:tcPr>
          <w:p w14:paraId="185B2E7B" w14:textId="77777777" w:rsidR="00C2246B" w:rsidRPr="00B961AF" w:rsidRDefault="00C2246B" w:rsidP="005D1B4F">
            <w:pPr>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B961AF">
              <w:rPr>
                <w:color w:val="000000" w:themeColor="text1"/>
                <w:lang w:val="en-GB"/>
              </w:rPr>
              <w:t xml:space="preserve">Band 3: </w:t>
            </w:r>
            <w:r>
              <w:rPr>
                <w:color w:val="000000" w:themeColor="text1"/>
                <w:lang w:val="en-GB"/>
              </w:rPr>
              <w:t>No improvement towards productive and sustainable agriculture</w:t>
            </w:r>
          </w:p>
        </w:tc>
      </w:tr>
      <w:tr w:rsidR="00C2246B" w:rsidRPr="00B961AF" w14:paraId="520BFF2A" w14:textId="77777777" w:rsidTr="005D1B4F">
        <w:trPr>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59CCEE1B" w14:textId="77777777" w:rsidR="00C2246B" w:rsidRPr="00B961AF" w:rsidRDefault="00C2246B" w:rsidP="005D1B4F">
            <w:pPr>
              <w:rPr>
                <w:color w:val="000000" w:themeColor="text1"/>
                <w:lang w:val="en-GB"/>
              </w:rPr>
            </w:pPr>
            <w:r>
              <w:rPr>
                <w:color w:val="000000" w:themeColor="text1"/>
                <w:lang w:val="en-GB"/>
              </w:rPr>
              <w:t>3.5 –&lt; 4.5</w:t>
            </w:r>
          </w:p>
        </w:tc>
        <w:tc>
          <w:tcPr>
            <w:tcW w:w="8222" w:type="dxa"/>
          </w:tcPr>
          <w:p w14:paraId="25D75CB3" w14:textId="77777777" w:rsidR="00C2246B" w:rsidRPr="00B961AF" w:rsidRDefault="00C2246B" w:rsidP="005D1B4F">
            <w:pPr>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Band 4: Slight improvement towards productive and sustainable agriculture</w:t>
            </w:r>
          </w:p>
        </w:tc>
      </w:tr>
      <w:tr w:rsidR="00C2246B" w:rsidRPr="00B961AF" w14:paraId="5F91B263" w14:textId="77777777" w:rsidTr="005D1B4F">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3148DAAE" w14:textId="77777777" w:rsidR="00C2246B" w:rsidRPr="00B961AF" w:rsidRDefault="00C2246B" w:rsidP="005D1B4F">
            <w:pPr>
              <w:rPr>
                <w:color w:val="000000" w:themeColor="text1"/>
                <w:lang w:val="en-GB"/>
              </w:rPr>
            </w:pPr>
            <w:r>
              <w:rPr>
                <w:color w:val="000000" w:themeColor="text1"/>
                <w:lang w:val="en-GB"/>
              </w:rPr>
              <w:t>4.5 – 5</w:t>
            </w:r>
          </w:p>
        </w:tc>
        <w:tc>
          <w:tcPr>
            <w:tcW w:w="8222" w:type="dxa"/>
          </w:tcPr>
          <w:p w14:paraId="52FA18AE" w14:textId="77777777" w:rsidR="00C2246B" w:rsidRPr="00B961AF" w:rsidRDefault="00C2246B" w:rsidP="005D1B4F">
            <w:pPr>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Band 5: Improvement towards productive and sustainable agriculture</w:t>
            </w:r>
          </w:p>
        </w:tc>
      </w:tr>
    </w:tbl>
    <w:p w14:paraId="73755E5F" w14:textId="77777777" w:rsidR="00C2246B" w:rsidRPr="00D700B7" w:rsidRDefault="00C2246B" w:rsidP="00C2246B">
      <w:pPr>
        <w:rPr>
          <w:b/>
          <w:color w:val="000000" w:themeColor="text1"/>
          <w:sz w:val="28"/>
        </w:rPr>
      </w:pPr>
    </w:p>
    <w:tbl>
      <w:tblPr>
        <w:tblStyle w:val="PlainTable2"/>
        <w:tblW w:w="9498" w:type="dxa"/>
        <w:jc w:val="center"/>
        <w:tblLook w:val="04A0" w:firstRow="1" w:lastRow="0" w:firstColumn="1" w:lastColumn="0" w:noHBand="0" w:noVBand="1"/>
      </w:tblPr>
      <w:tblGrid>
        <w:gridCol w:w="1276"/>
        <w:gridCol w:w="8222"/>
      </w:tblGrid>
      <w:tr w:rsidR="00C2246B" w:rsidRPr="00B961AF" w14:paraId="3B9CE8F0" w14:textId="77777777" w:rsidTr="005D1B4F">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78B25D9E" w14:textId="77777777" w:rsidR="00C2246B" w:rsidRPr="00B961AF" w:rsidRDefault="00C2246B" w:rsidP="005D1B4F">
            <w:pPr>
              <w:rPr>
                <w:color w:val="000000" w:themeColor="text1"/>
                <w:lang w:val="en-GB"/>
              </w:rPr>
            </w:pPr>
            <w:r w:rsidRPr="00B961AF">
              <w:rPr>
                <w:color w:val="000000" w:themeColor="text1"/>
                <w:lang w:val="en-GB"/>
              </w:rPr>
              <w:t>Score</w:t>
            </w:r>
          </w:p>
        </w:tc>
        <w:tc>
          <w:tcPr>
            <w:tcW w:w="8222" w:type="dxa"/>
          </w:tcPr>
          <w:p w14:paraId="6DBE6105" w14:textId="77777777" w:rsidR="00C2246B" w:rsidRPr="00B961AF" w:rsidRDefault="00C2246B" w:rsidP="005D1B4F">
            <w:pPr>
              <w:cnfStyle w:val="100000000000" w:firstRow="1" w:lastRow="0" w:firstColumn="0" w:lastColumn="0" w:oddVBand="0" w:evenVBand="0" w:oddHBand="0" w:evenHBand="0" w:firstRowFirstColumn="0" w:firstRowLastColumn="0" w:lastRowFirstColumn="0" w:lastRowLastColumn="0"/>
              <w:rPr>
                <w:color w:val="000000" w:themeColor="text1"/>
                <w:lang w:val="en-GB"/>
              </w:rPr>
            </w:pPr>
            <w:proofErr w:type="gramStart"/>
            <w:r>
              <w:rPr>
                <w:color w:val="000000" w:themeColor="text1"/>
                <w:lang w:val="en-GB"/>
              </w:rPr>
              <w:t>Current status</w:t>
            </w:r>
            <w:proofErr w:type="gramEnd"/>
            <w:r>
              <w:rPr>
                <w:color w:val="000000" w:themeColor="text1"/>
                <w:lang w:val="en-GB"/>
              </w:rPr>
              <w:t xml:space="preserve"> with respect to</w:t>
            </w:r>
            <w:r w:rsidRPr="00633C9D">
              <w:rPr>
                <w:color w:val="000000" w:themeColor="text1"/>
                <w:lang w:val="en-GB"/>
              </w:rPr>
              <w:t xml:space="preserve"> productive and sustainable agriculture</w:t>
            </w:r>
          </w:p>
        </w:tc>
      </w:tr>
      <w:tr w:rsidR="00C2246B" w:rsidRPr="00B961AF" w14:paraId="676B883F" w14:textId="77777777" w:rsidTr="005D1B4F">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0DA11D3A" w14:textId="77777777" w:rsidR="00C2246B" w:rsidRPr="00B961AF" w:rsidRDefault="00C2246B" w:rsidP="005D1B4F">
            <w:pPr>
              <w:rPr>
                <w:color w:val="000000" w:themeColor="text1"/>
                <w:lang w:val="en-GB"/>
              </w:rPr>
            </w:pPr>
            <w:r>
              <w:rPr>
                <w:color w:val="000000" w:themeColor="text1"/>
                <w:lang w:val="en-GB"/>
              </w:rPr>
              <w:t>1</w:t>
            </w:r>
            <w:r w:rsidRPr="00B961AF">
              <w:rPr>
                <w:color w:val="000000" w:themeColor="text1"/>
                <w:lang w:val="en-GB"/>
              </w:rPr>
              <w:t xml:space="preserve"> –&lt; </w:t>
            </w:r>
            <w:r>
              <w:rPr>
                <w:color w:val="000000" w:themeColor="text1"/>
                <w:lang w:val="en-GB"/>
              </w:rPr>
              <w:t>1.5</w:t>
            </w:r>
          </w:p>
        </w:tc>
        <w:tc>
          <w:tcPr>
            <w:tcW w:w="8222" w:type="dxa"/>
          </w:tcPr>
          <w:p w14:paraId="78EAEBF8" w14:textId="77777777" w:rsidR="00C2246B" w:rsidRPr="00B961AF" w:rsidRDefault="00C2246B" w:rsidP="005D1B4F">
            <w:pPr>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B961AF">
              <w:rPr>
                <w:color w:val="000000" w:themeColor="text1"/>
                <w:lang w:val="en-GB"/>
              </w:rPr>
              <w:t xml:space="preserve">Band 1: </w:t>
            </w:r>
            <w:r>
              <w:rPr>
                <w:color w:val="000000" w:themeColor="text1"/>
                <w:lang w:val="en-GB"/>
              </w:rPr>
              <w:t>Very far from achieving productive and sustainable agriculture</w:t>
            </w:r>
          </w:p>
        </w:tc>
      </w:tr>
      <w:tr w:rsidR="00C2246B" w:rsidRPr="00B961AF" w14:paraId="58485123" w14:textId="77777777" w:rsidTr="005D1B4F">
        <w:trPr>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2356BC2B" w14:textId="77777777" w:rsidR="00C2246B" w:rsidRPr="00B961AF" w:rsidRDefault="00C2246B" w:rsidP="005D1B4F">
            <w:pPr>
              <w:rPr>
                <w:color w:val="000000" w:themeColor="text1"/>
                <w:lang w:val="en-GB"/>
              </w:rPr>
            </w:pPr>
            <w:r>
              <w:rPr>
                <w:color w:val="000000" w:themeColor="text1"/>
                <w:lang w:val="en-GB"/>
              </w:rPr>
              <w:t>1.5</w:t>
            </w:r>
            <w:r w:rsidRPr="00B961AF">
              <w:rPr>
                <w:color w:val="000000" w:themeColor="text1"/>
                <w:lang w:val="en-GB"/>
              </w:rPr>
              <w:t xml:space="preserve"> –&lt;</w:t>
            </w:r>
            <w:r>
              <w:rPr>
                <w:color w:val="000000" w:themeColor="text1"/>
                <w:lang w:val="en-GB"/>
              </w:rPr>
              <w:t xml:space="preserve"> 2.5</w:t>
            </w:r>
          </w:p>
        </w:tc>
        <w:tc>
          <w:tcPr>
            <w:tcW w:w="8222" w:type="dxa"/>
          </w:tcPr>
          <w:p w14:paraId="517D8AF2" w14:textId="77777777" w:rsidR="00C2246B" w:rsidRPr="00B961AF" w:rsidRDefault="00C2246B" w:rsidP="005D1B4F">
            <w:pPr>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Band 2: Far from achieving productive and sustainable agriculture</w:t>
            </w:r>
          </w:p>
        </w:tc>
      </w:tr>
      <w:tr w:rsidR="00C2246B" w:rsidRPr="00B961AF" w14:paraId="16A0F16A" w14:textId="77777777" w:rsidTr="005D1B4F">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695D82C8" w14:textId="77777777" w:rsidR="00C2246B" w:rsidRPr="00B961AF" w:rsidRDefault="00C2246B" w:rsidP="005D1B4F">
            <w:pPr>
              <w:rPr>
                <w:color w:val="000000" w:themeColor="text1"/>
                <w:lang w:val="en-GB"/>
              </w:rPr>
            </w:pPr>
            <w:r>
              <w:rPr>
                <w:color w:val="000000" w:themeColor="text1"/>
                <w:lang w:val="en-GB"/>
              </w:rPr>
              <w:t>2.5 –&lt; 3.5</w:t>
            </w:r>
          </w:p>
        </w:tc>
        <w:tc>
          <w:tcPr>
            <w:tcW w:w="8222" w:type="dxa"/>
          </w:tcPr>
          <w:p w14:paraId="436F0F0B" w14:textId="6F6E0E3F" w:rsidR="00C2246B" w:rsidRPr="00B961AF" w:rsidRDefault="00C2246B" w:rsidP="005D1B4F">
            <w:pPr>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B961AF">
              <w:rPr>
                <w:color w:val="000000" w:themeColor="text1"/>
                <w:lang w:val="en-GB"/>
              </w:rPr>
              <w:t xml:space="preserve">Band 3: </w:t>
            </w:r>
            <w:r w:rsidR="00C02AEB">
              <w:rPr>
                <w:color w:val="000000" w:themeColor="text1"/>
                <w:lang w:val="en-GB"/>
              </w:rPr>
              <w:t xml:space="preserve">At a moderate distance </w:t>
            </w:r>
            <w:r>
              <w:rPr>
                <w:color w:val="000000" w:themeColor="text1"/>
                <w:lang w:val="en-GB"/>
              </w:rPr>
              <w:t>to achieving productive and sustainable agriculture</w:t>
            </w:r>
          </w:p>
        </w:tc>
      </w:tr>
      <w:tr w:rsidR="00C2246B" w:rsidRPr="00B961AF" w14:paraId="74C135ED" w14:textId="77777777" w:rsidTr="005D1B4F">
        <w:trPr>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375A2FDF" w14:textId="77777777" w:rsidR="00C2246B" w:rsidRPr="00B961AF" w:rsidRDefault="00C2246B" w:rsidP="005D1B4F">
            <w:pPr>
              <w:rPr>
                <w:color w:val="000000" w:themeColor="text1"/>
                <w:lang w:val="en-GB"/>
              </w:rPr>
            </w:pPr>
            <w:r>
              <w:rPr>
                <w:color w:val="000000" w:themeColor="text1"/>
                <w:lang w:val="en-GB"/>
              </w:rPr>
              <w:t>3.5 –&lt; 4.5</w:t>
            </w:r>
          </w:p>
        </w:tc>
        <w:tc>
          <w:tcPr>
            <w:tcW w:w="8222" w:type="dxa"/>
          </w:tcPr>
          <w:p w14:paraId="19EB58FA" w14:textId="6C2584D7" w:rsidR="00C2246B" w:rsidRPr="00B961AF" w:rsidRDefault="00C2246B" w:rsidP="005D1B4F">
            <w:pPr>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Band 4: </w:t>
            </w:r>
            <w:r w:rsidR="00C02AEB">
              <w:rPr>
                <w:color w:val="000000" w:themeColor="text1"/>
                <w:lang w:val="en-GB"/>
              </w:rPr>
              <w:t>C</w:t>
            </w:r>
            <w:r>
              <w:rPr>
                <w:color w:val="000000" w:themeColor="text1"/>
                <w:lang w:val="en-GB"/>
              </w:rPr>
              <w:t>lose to achieving productive and sustainable agriculture</w:t>
            </w:r>
          </w:p>
        </w:tc>
      </w:tr>
      <w:tr w:rsidR="00C2246B" w:rsidRPr="00B961AF" w14:paraId="357C5C36" w14:textId="77777777" w:rsidTr="005D1B4F">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333EAD66" w14:textId="77777777" w:rsidR="00C2246B" w:rsidRPr="00B961AF" w:rsidRDefault="00C2246B" w:rsidP="005D1B4F">
            <w:pPr>
              <w:rPr>
                <w:color w:val="000000" w:themeColor="text1"/>
                <w:lang w:val="en-GB"/>
              </w:rPr>
            </w:pPr>
            <w:r>
              <w:rPr>
                <w:color w:val="000000" w:themeColor="text1"/>
                <w:lang w:val="en-GB"/>
              </w:rPr>
              <w:t>4.5 – 5</w:t>
            </w:r>
          </w:p>
        </w:tc>
        <w:tc>
          <w:tcPr>
            <w:tcW w:w="8222" w:type="dxa"/>
          </w:tcPr>
          <w:p w14:paraId="068EF5E7" w14:textId="77777777" w:rsidR="00C2246B" w:rsidRPr="00B961AF" w:rsidRDefault="00C2246B" w:rsidP="005D1B4F">
            <w:pPr>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Band 5: Productive and sustainable agriculture already achieved</w:t>
            </w:r>
          </w:p>
        </w:tc>
      </w:tr>
    </w:tbl>
    <w:p w14:paraId="7EEA4D6B" w14:textId="77777777" w:rsidR="000C1009" w:rsidRPr="00A96255" w:rsidRDefault="000C1009" w:rsidP="00C2246B">
      <w:r>
        <w:lastRenderedPageBreak/>
        <w:t xml:space="preserve"> </w:t>
      </w:r>
    </w:p>
    <w:p w14:paraId="7DA8FED9" w14:textId="77777777" w:rsidR="00DA615C" w:rsidRPr="00A96255" w:rsidRDefault="008B0AC7" w:rsidP="00F719A8">
      <w:pPr>
        <w:pStyle w:val="MHeader2"/>
      </w:pPr>
      <w:r w:rsidRPr="00A96255">
        <w:t xml:space="preserve">2.c. Classifications </w:t>
      </w:r>
      <w:r>
        <w:rPr>
          <w:color w:val="B4B4B4"/>
          <w:sz w:val="20"/>
        </w:rPr>
        <w:t>(CLASS_SYSTEM)</w:t>
      </w:r>
    </w:p>
    <w:p w14:paraId="5745CA22" w14:textId="1B7310E3" w:rsidR="00EC2915" w:rsidRDefault="00C2246B" w:rsidP="00576CFA">
      <w:pPr>
        <w:pStyle w:val="MText"/>
      </w:pPr>
      <w:r>
        <w:t xml:space="preserve">The </w:t>
      </w:r>
      <w:r w:rsidR="00AE3F05">
        <w:t>lan</w:t>
      </w:r>
      <w:r w:rsidR="00D8611E">
        <w:t>d area classification is the FAO</w:t>
      </w:r>
      <w:r w:rsidR="00AE3F05">
        <w:t xml:space="preserve"> Land Use Classification, as</w:t>
      </w:r>
      <w:r>
        <w:t xml:space="preserve"> implemented in the FAO Land Use, Irrigation and Agricultural Practices Questionnaire (</w:t>
      </w:r>
      <w:hyperlink r:id="rId11" w:anchor="data/RL/metadata" w:history="1">
        <w:r w:rsidR="00AE3F05" w:rsidRPr="00296CC1">
          <w:rPr>
            <w:rStyle w:val="Hyperlink"/>
          </w:rPr>
          <w:t>http://www.fao.org/faostat/en/#data/RL/metadata</w:t>
        </w:r>
      </w:hyperlink>
      <w:r w:rsidR="00AE3F05">
        <w:t xml:space="preserve">). It is </w:t>
      </w:r>
      <w:r>
        <w:t xml:space="preserve">consistent with the classification of </w:t>
      </w:r>
      <w:r w:rsidR="00AE3F05">
        <w:t xml:space="preserve">the </w:t>
      </w:r>
      <w:r>
        <w:t>Census of Agriculture and the System of Environmental and Economic Accounts (SEEA).</w:t>
      </w:r>
    </w:p>
    <w:p w14:paraId="2B686B92" w14:textId="77777777" w:rsidR="00F719A8" w:rsidRPr="00A96255" w:rsidRDefault="00F719A8" w:rsidP="00576CFA">
      <w:pPr>
        <w:pStyle w:val="MText"/>
      </w:pPr>
    </w:p>
    <w:p w14:paraId="5FF3851F" w14:textId="77777777" w:rsidR="00B31E2C" w:rsidRPr="00F719A8" w:rsidRDefault="00B31E2C" w:rsidP="00F719A8">
      <w:pPr>
        <w:pStyle w:val="MHeader"/>
      </w:pPr>
      <w:r w:rsidRPr="00F719A8">
        <w:t xml:space="preserve">3. Data source type and data collection method </w:t>
      </w:r>
      <w:r>
        <w:rPr>
          <w:color w:val="B4B4B4"/>
          <w:sz w:val="20"/>
        </w:rPr>
        <w:t>(SRC_TYPE_COLL_METHOD)</w:t>
      </w:r>
    </w:p>
    <w:p w14:paraId="1C46E23C" w14:textId="77777777" w:rsidR="008B0AC7" w:rsidRPr="00A96255" w:rsidRDefault="008B0AC7" w:rsidP="00F719A8">
      <w:pPr>
        <w:pStyle w:val="MHeader2"/>
      </w:pPr>
      <w:r w:rsidRPr="00A96255">
        <w:t xml:space="preserve">3.a. Data sources </w:t>
      </w:r>
      <w:r>
        <w:rPr>
          <w:color w:val="B4B4B4"/>
          <w:sz w:val="20"/>
        </w:rPr>
        <w:t>(SOURCE_TYPE)</w:t>
      </w:r>
    </w:p>
    <w:p w14:paraId="6661E7D1" w14:textId="7409D549" w:rsidR="00F27E6B" w:rsidRDefault="000B70FF" w:rsidP="00BD7FAB">
      <w:pPr>
        <w:pStyle w:val="MText"/>
      </w:pPr>
      <w:r w:rsidRPr="00783160">
        <w:rPr>
          <w:noProof/>
        </w:rPr>
        <w:t>T</w:t>
      </w:r>
      <w:r w:rsidR="003F2D70" w:rsidRPr="003F2D70">
        <w:rPr>
          <w:noProof/>
        </w:rPr>
        <w:t xml:space="preserve">he SDG 2.4.1. sub-indicators allow for monitoring </w:t>
      </w:r>
      <w:r w:rsidR="002B1826">
        <w:rPr>
          <w:noProof/>
        </w:rPr>
        <w:t>seven</w:t>
      </w:r>
      <w:r w:rsidR="002B1826" w:rsidRPr="003F2D70">
        <w:rPr>
          <w:noProof/>
        </w:rPr>
        <w:t xml:space="preserve"> </w:t>
      </w:r>
      <w:r w:rsidR="00F27E6B">
        <w:rPr>
          <w:noProof/>
        </w:rPr>
        <w:t>distinct themes</w:t>
      </w:r>
      <w:r w:rsidR="003F2D70" w:rsidRPr="003F2D70">
        <w:rPr>
          <w:noProof/>
        </w:rPr>
        <w:t xml:space="preserve">, using national statistics available either directly in countries, or sourced as default from existing UN </w:t>
      </w:r>
      <w:r w:rsidR="003F2D70" w:rsidRPr="00F27E6B">
        <w:rPr>
          <w:noProof/>
        </w:rPr>
        <w:t xml:space="preserve">databases, mostly from FAOSTAT (Table 1). </w:t>
      </w:r>
      <w:r w:rsidR="00F27E6B">
        <w:t>The</w:t>
      </w:r>
      <w:r w:rsidR="00F27E6B" w:rsidRPr="00F27E6B">
        <w:t xml:space="preserve"> annual </w:t>
      </w:r>
      <w:r w:rsidR="00F27E6B" w:rsidRPr="00F27E6B">
        <w:rPr>
          <w:i/>
        </w:rPr>
        <w:t>Questionnaire on Land Use, Irrigation and Agricultural Practices</w:t>
      </w:r>
      <w:r w:rsidR="00F27E6B">
        <w:t xml:space="preserve">, </w:t>
      </w:r>
      <w:r w:rsidR="00F27E6B" w:rsidRPr="00F27E6B">
        <w:t xml:space="preserve">which collects national data on land use (primarily focusing on agriculture, forestry, aquaculture and fisheries), irrigation and agricultural practices, SDG indicator 6.4.2 </w:t>
      </w:r>
      <w:r w:rsidR="00F27E6B">
        <w:t xml:space="preserve">(based on responses to the AQUASTAT </w:t>
      </w:r>
      <w:r w:rsidR="003619EF">
        <w:t>Questionnaire</w:t>
      </w:r>
      <w:r w:rsidR="00F27E6B">
        <w:t xml:space="preserve">) </w:t>
      </w:r>
      <w:r w:rsidR="00F27E6B" w:rsidRPr="00F27E6B">
        <w:t xml:space="preserve">and </w:t>
      </w:r>
      <w:r w:rsidR="00F27E6B">
        <w:t xml:space="preserve">SDG indicator </w:t>
      </w:r>
      <w:r w:rsidR="004B0F61">
        <w:t>8.3.1</w:t>
      </w:r>
      <w:r w:rsidR="00F27E6B" w:rsidRPr="00F27E6B">
        <w:t xml:space="preserve"> form the basis of data compilation for deriving this indicator. </w:t>
      </w:r>
    </w:p>
    <w:p w14:paraId="38DF0A29" w14:textId="384853D2" w:rsidR="006555CC" w:rsidRPr="00BD7FAB" w:rsidRDefault="003F2D70" w:rsidP="00BD7FAB">
      <w:pPr>
        <w:pStyle w:val="MText"/>
        <w:rPr>
          <w:rFonts w:eastAsia="Calibri"/>
        </w:rPr>
      </w:pPr>
      <w:r w:rsidRPr="003F2D70">
        <w:rPr>
          <w:noProof/>
        </w:rPr>
        <w:t xml:space="preserve">The choice of the </w:t>
      </w:r>
      <w:r w:rsidR="002B1826">
        <w:rPr>
          <w:noProof/>
        </w:rPr>
        <w:t>seven</w:t>
      </w:r>
      <w:r w:rsidR="002B1826" w:rsidRPr="003F2D70">
        <w:rPr>
          <w:noProof/>
        </w:rPr>
        <w:t xml:space="preserve"> </w:t>
      </w:r>
      <w:r w:rsidRPr="003F2D70">
        <w:rPr>
          <w:noProof/>
        </w:rPr>
        <w:t>sub-indicators proxies for SDG 2.4.1  is based on recent FAO work (</w:t>
      </w:r>
      <w:r w:rsidR="00AE3F05">
        <w:rPr>
          <w:noProof/>
        </w:rPr>
        <w:t xml:space="preserve">Progress Towards Monitoring Sustainable Agriculture, </w:t>
      </w:r>
      <w:hyperlink r:id="rId12" w:history="1">
        <w:proofErr w:type="spellStart"/>
        <w:r w:rsidR="005D1B4F">
          <w:rPr>
            <w:rStyle w:val="Hyperlink"/>
            <w:rFonts w:eastAsia="Calibri"/>
          </w:rPr>
          <w:t>Tubiello</w:t>
        </w:r>
        <w:proofErr w:type="spellEnd"/>
      </w:hyperlink>
      <w:r w:rsidR="005D1B4F">
        <w:rPr>
          <w:rStyle w:val="Hyperlink"/>
          <w:rFonts w:eastAsia="Calibri"/>
        </w:rPr>
        <w:t xml:space="preserve"> et al., 2021</w:t>
      </w:r>
      <w:r w:rsidRPr="00BD7FAB">
        <w:rPr>
          <w:rFonts w:eastAsia="Calibri"/>
        </w:rPr>
        <w:t>).</w:t>
      </w:r>
      <w:r w:rsidR="00C20A72" w:rsidRPr="00BD7FAB">
        <w:rPr>
          <w:rFonts w:eastAsia="Calibri"/>
        </w:rPr>
        <w:t xml:space="preserve">  </w:t>
      </w:r>
      <w:r w:rsidR="00AE3F05" w:rsidRPr="00BD7FAB">
        <w:rPr>
          <w:rFonts w:eastAsia="Calibri"/>
        </w:rPr>
        <w:t>I</w:t>
      </w:r>
      <w:r w:rsidR="006555CC" w:rsidRPr="00BD7FAB">
        <w:rPr>
          <w:rFonts w:eastAsia="Calibri"/>
        </w:rPr>
        <w:t xml:space="preserve">nformation may be complemented with statistics from national statistical yearbooks and other official publications and information from governmental data portals. </w:t>
      </w:r>
    </w:p>
    <w:p w14:paraId="4E646EF8" w14:textId="1893DB43" w:rsidR="00102A37" w:rsidRDefault="00102A37" w:rsidP="00BE58D0">
      <w:pPr>
        <w:pStyle w:val="MText"/>
      </w:pPr>
    </w:p>
    <w:p w14:paraId="3611F8DB" w14:textId="7262ABC4" w:rsidR="008B0AC7" w:rsidRPr="00A96255" w:rsidRDefault="00576CFA" w:rsidP="00F719A8">
      <w:pPr>
        <w:pStyle w:val="MHeader2"/>
      </w:pPr>
      <w:r w:rsidRPr="00A96255">
        <w:t xml:space="preserve">3.b. Data collection method </w:t>
      </w:r>
      <w:r>
        <w:rPr>
          <w:color w:val="B4B4B4"/>
          <w:sz w:val="20"/>
        </w:rPr>
        <w:t>(COLL_METHOD)</w:t>
      </w:r>
    </w:p>
    <w:p w14:paraId="3101FC4F" w14:textId="75B97025" w:rsidR="006A5EF9" w:rsidRDefault="00C2246B" w:rsidP="00BD7FAB">
      <w:pPr>
        <w:pStyle w:val="MText"/>
      </w:pPr>
      <w:r w:rsidRPr="00D4550B">
        <w:rPr>
          <w:color w:val="000000" w:themeColor="text1"/>
        </w:rPr>
        <w:t>D</w:t>
      </w:r>
      <w:r w:rsidR="000C1009" w:rsidRPr="00D4550B">
        <w:rPr>
          <w:color w:val="000000" w:themeColor="text1"/>
        </w:rPr>
        <w:t xml:space="preserve">ata for the </w:t>
      </w:r>
      <w:r w:rsidR="00B24AF8">
        <w:rPr>
          <w:color w:val="000000" w:themeColor="text1"/>
        </w:rPr>
        <w:t>7</w:t>
      </w:r>
      <w:r w:rsidR="000C1009" w:rsidRPr="00D4550B">
        <w:rPr>
          <w:color w:val="000000" w:themeColor="text1"/>
        </w:rPr>
        <w:t xml:space="preserve"> </w:t>
      </w:r>
      <w:r w:rsidR="00AE3F05">
        <w:rPr>
          <w:color w:val="000000" w:themeColor="text1"/>
        </w:rPr>
        <w:t xml:space="preserve">sub-indicators </w:t>
      </w:r>
      <w:r w:rsidR="000C1009" w:rsidRPr="00D4550B">
        <w:rPr>
          <w:color w:val="000000" w:themeColor="text1"/>
        </w:rPr>
        <w:t xml:space="preserve">measures are collected and analysed directly at national level. </w:t>
      </w:r>
      <w:r w:rsidR="00711087">
        <w:t xml:space="preserve">FAO </w:t>
      </w:r>
      <w:r w:rsidR="003619EF">
        <w:t>Questionnaire</w:t>
      </w:r>
      <w:r w:rsidR="00711087">
        <w:t xml:space="preserve">s on </w:t>
      </w:r>
      <w:r w:rsidR="00711087" w:rsidRPr="00711087">
        <w:t>Land Use, Irrigation and Agricultural Practices</w:t>
      </w:r>
      <w:r w:rsidR="00D4550B" w:rsidRPr="00711087">
        <w:t xml:space="preserve"> </w:t>
      </w:r>
      <w:r w:rsidR="00711087">
        <w:t xml:space="preserve">and </w:t>
      </w:r>
      <w:r w:rsidR="00F27E6B" w:rsidRPr="00711087">
        <w:t>AQUASTAT</w:t>
      </w:r>
      <w:r w:rsidR="00711087">
        <w:t xml:space="preserve">, are </w:t>
      </w:r>
      <w:r w:rsidR="00703A4F">
        <w:t>dispatched</w:t>
      </w:r>
      <w:r w:rsidR="0097117E">
        <w:t xml:space="preserve"> </w:t>
      </w:r>
      <w:r w:rsidR="00711087">
        <w:t xml:space="preserve">annually to relevant national entities. The measure based on </w:t>
      </w:r>
      <w:r w:rsidR="00A37F22">
        <w:rPr>
          <w:color w:val="000000" w:themeColor="text1"/>
        </w:rPr>
        <w:t xml:space="preserve">SDG 8.3.1 </w:t>
      </w:r>
      <w:r w:rsidR="00711087">
        <w:t xml:space="preserve">is prepared by </w:t>
      </w:r>
      <w:r w:rsidR="00434138">
        <w:t>International Labour Organization (ILO)</w:t>
      </w:r>
      <w:r w:rsidR="00711087">
        <w:t xml:space="preserve"> in close consultation with national governments.</w:t>
      </w:r>
      <w:r w:rsidR="003619EF">
        <w:t xml:space="preserve"> </w:t>
      </w:r>
      <w:r w:rsidR="004506A7">
        <w:t xml:space="preserve"> </w:t>
      </w:r>
    </w:p>
    <w:p w14:paraId="75908FD7" w14:textId="0662770B" w:rsidR="006A5EF9" w:rsidRDefault="009A2351" w:rsidP="00BD7FAB">
      <w:pPr>
        <w:pStyle w:val="MText"/>
        <w:rPr>
          <w:rFonts w:eastAsia="Calibri"/>
          <w:color w:val="000000"/>
          <w:lang w:eastAsia="en-US"/>
        </w:rPr>
      </w:pPr>
      <w:r>
        <w:rPr>
          <w:rFonts w:eastAsia="Calibri"/>
          <w:color w:val="000000"/>
          <w:lang w:eastAsia="en-US"/>
        </w:rPr>
        <w:t>Th</w:t>
      </w:r>
      <w:r w:rsidR="006A5EF9">
        <w:rPr>
          <w:rFonts w:eastAsia="Calibri"/>
          <w:color w:val="000000"/>
          <w:lang w:eastAsia="en-US"/>
        </w:rPr>
        <w:t xml:space="preserve">e list of the relevant FAO Questionnaires and their purpose are </w:t>
      </w:r>
      <w:r w:rsidR="00AE3F05">
        <w:rPr>
          <w:rFonts w:eastAsia="Calibri"/>
          <w:color w:val="000000"/>
          <w:lang w:eastAsia="en-US"/>
        </w:rPr>
        <w:t>as follows</w:t>
      </w:r>
      <w:r w:rsidR="006A5EF9">
        <w:rPr>
          <w:rFonts w:eastAsia="Calibri"/>
          <w:color w:val="000000"/>
          <w:lang w:eastAsia="en-US"/>
        </w:rPr>
        <w:t>:</w:t>
      </w:r>
    </w:p>
    <w:p w14:paraId="45EB10B5" w14:textId="77777777" w:rsidR="006A5EF9" w:rsidRDefault="006A5EF9" w:rsidP="006A5EF9">
      <w:pPr>
        <w:spacing w:after="0" w:line="240" w:lineRule="auto"/>
        <w:rPr>
          <w:rFonts w:eastAsia="Calibri"/>
          <w:color w:val="000000"/>
          <w:lang w:eastAsia="en-US"/>
        </w:rPr>
      </w:pPr>
    </w:p>
    <w:p w14:paraId="65ECD548" w14:textId="77777777" w:rsidR="006A5EF9" w:rsidRPr="00BD7FAB" w:rsidRDefault="006A5EF9" w:rsidP="006A5EF9">
      <w:pPr>
        <w:spacing w:after="0" w:line="240" w:lineRule="auto"/>
        <w:rPr>
          <w:rStyle w:val="MTextChar"/>
          <w:rFonts w:eastAsia="Calibri"/>
        </w:rPr>
      </w:pPr>
      <w:r w:rsidRPr="00746DA5">
        <w:rPr>
          <w:rFonts w:eastAsia="Calibri"/>
          <w:b/>
          <w:bCs/>
          <w:color w:val="000000"/>
          <w:lang w:eastAsia="en-US"/>
        </w:rPr>
        <w:t>Land Use, Irrigation and Agricultural Practices:</w:t>
      </w:r>
      <w:r>
        <w:rPr>
          <w:rFonts w:eastAsia="Calibri"/>
          <w:color w:val="000000"/>
          <w:lang w:eastAsia="en-US"/>
        </w:rPr>
        <w:t xml:space="preserve">  </w:t>
      </w:r>
      <w:r w:rsidRPr="00BD7FAB">
        <w:rPr>
          <w:rStyle w:val="MTextChar"/>
          <w:rFonts w:eastAsia="Calibri"/>
        </w:rPr>
        <w:t>Data on land use (primarily focusing on agriculture, forestry, aquaculture and fisheries), irrigation and agricultural practices.</w:t>
      </w:r>
    </w:p>
    <w:p w14:paraId="49BF09B7" w14:textId="77777777" w:rsidR="006A5EF9" w:rsidRDefault="006A5EF9" w:rsidP="006A5EF9">
      <w:pPr>
        <w:spacing w:after="0" w:line="240" w:lineRule="auto"/>
        <w:rPr>
          <w:rFonts w:eastAsia="Calibri"/>
          <w:color w:val="000000"/>
          <w:lang w:eastAsia="en-US"/>
        </w:rPr>
      </w:pPr>
    </w:p>
    <w:p w14:paraId="40E49429" w14:textId="40E66115" w:rsidR="006A5EF9" w:rsidRPr="00BD7FAB" w:rsidRDefault="006A5EF9" w:rsidP="006A5EF9">
      <w:pPr>
        <w:rPr>
          <w:rStyle w:val="MTextChar"/>
          <w:rFonts w:eastAsia="Calibri"/>
        </w:rPr>
      </w:pPr>
      <w:r w:rsidRPr="00746DA5">
        <w:rPr>
          <w:rFonts w:eastAsia="Calibri"/>
          <w:b/>
          <w:bCs/>
          <w:color w:val="000000"/>
          <w:lang w:eastAsia="en-US"/>
        </w:rPr>
        <w:t>Crop and Livestock Production and Utilization:</w:t>
      </w:r>
      <w:r>
        <w:rPr>
          <w:rFonts w:eastAsia="Calibri"/>
          <w:b/>
          <w:bCs/>
          <w:color w:val="000000"/>
          <w:lang w:eastAsia="en-US"/>
        </w:rPr>
        <w:t xml:space="preserve">  </w:t>
      </w:r>
      <w:r w:rsidRPr="00BD7FAB">
        <w:rPr>
          <w:rStyle w:val="MTextChar"/>
          <w:rFonts w:eastAsia="Calibri"/>
        </w:rPr>
        <w:t xml:space="preserve">Data </w:t>
      </w:r>
      <w:r w:rsidR="00AE3F05" w:rsidRPr="00BD7FAB">
        <w:rPr>
          <w:rStyle w:val="MTextChar"/>
          <w:rFonts w:eastAsia="Calibri"/>
        </w:rPr>
        <w:t>on</w:t>
      </w:r>
      <w:r w:rsidRPr="00BD7FAB">
        <w:rPr>
          <w:rStyle w:val="MTextChar"/>
          <w:rFonts w:eastAsia="Calibri"/>
        </w:rPr>
        <w:t xml:space="preserve"> primary crop production data, primary crop utilization data, area harvested, live animals number data, primary livestock production and loss data, oils utilization data, selected derived agricultural commodities production data.</w:t>
      </w:r>
    </w:p>
    <w:p w14:paraId="1C14CB34" w14:textId="77777777" w:rsidR="006A5EF9" w:rsidRPr="00BD7FAB" w:rsidRDefault="006A5EF9" w:rsidP="006A5EF9">
      <w:pPr>
        <w:rPr>
          <w:rStyle w:val="MTextChar"/>
          <w:rFonts w:eastAsiaTheme="minorEastAsia"/>
        </w:rPr>
      </w:pPr>
      <w:r w:rsidRPr="00746DA5">
        <w:rPr>
          <w:b/>
          <w:bCs/>
        </w:rPr>
        <w:t>Fertilizers:</w:t>
      </w:r>
      <w:r>
        <w:rPr>
          <w:b/>
          <w:bCs/>
        </w:rPr>
        <w:t xml:space="preserve">  </w:t>
      </w:r>
      <w:r w:rsidRPr="00BD7FAB">
        <w:rPr>
          <w:rStyle w:val="MTextChar"/>
          <w:rFonts w:eastAsiaTheme="minorEastAsia"/>
        </w:rPr>
        <w:t>Data on production, agricultural use and other uses of fertilizers (both chemical and organic)</w:t>
      </w:r>
    </w:p>
    <w:p w14:paraId="64C4495A" w14:textId="77777777" w:rsidR="006A5EF9" w:rsidRDefault="006A5EF9" w:rsidP="006A5EF9">
      <w:r w:rsidRPr="00746DA5">
        <w:rPr>
          <w:b/>
          <w:bCs/>
        </w:rPr>
        <w:t>AQUASTAT:</w:t>
      </w:r>
      <w:r>
        <w:rPr>
          <w:b/>
          <w:bCs/>
        </w:rPr>
        <w:t xml:space="preserve">  </w:t>
      </w:r>
      <w:r w:rsidRPr="00BD7FAB">
        <w:rPr>
          <w:rStyle w:val="MTextChar"/>
          <w:rFonts w:eastAsiaTheme="minorEastAsia"/>
        </w:rPr>
        <w:t>Data on water withdrawals by sectors and by sources, wastewater and irrigated areas.</w:t>
      </w:r>
    </w:p>
    <w:p w14:paraId="605B502F" w14:textId="3CD5CE14" w:rsidR="006A5EF9" w:rsidRPr="00BD7FAB" w:rsidRDefault="006A5EF9" w:rsidP="006A5EF9">
      <w:pPr>
        <w:rPr>
          <w:rStyle w:val="MTextChar"/>
          <w:rFonts w:eastAsiaTheme="minorEastAsia"/>
        </w:rPr>
      </w:pPr>
      <w:r w:rsidRPr="00746DA5">
        <w:rPr>
          <w:b/>
          <w:bCs/>
        </w:rPr>
        <w:t>Prices Received by Farmers: Primary Crop and Livestock Products:</w:t>
      </w:r>
      <w:r>
        <w:rPr>
          <w:b/>
          <w:bCs/>
        </w:rPr>
        <w:t xml:space="preserve">  </w:t>
      </w:r>
      <w:r w:rsidRPr="00BD7FAB">
        <w:rPr>
          <w:rStyle w:val="MTextChar"/>
          <w:rFonts w:eastAsiaTheme="minorEastAsia"/>
        </w:rPr>
        <w:t xml:space="preserve">Data on agricultural producer prices </w:t>
      </w:r>
      <w:r w:rsidR="00AE3F05" w:rsidRPr="00BD7FAB">
        <w:rPr>
          <w:rStyle w:val="MTextChar"/>
          <w:rFonts w:eastAsiaTheme="minorEastAsia"/>
        </w:rPr>
        <w:t>for primary crops and livestock.</w:t>
      </w:r>
    </w:p>
    <w:p w14:paraId="1AC2E1FB" w14:textId="77777777" w:rsidR="00E46D96" w:rsidRPr="00A96255" w:rsidRDefault="00E46D96" w:rsidP="00F719A8">
      <w:pPr>
        <w:pStyle w:val="MHeader2"/>
      </w:pPr>
      <w:r w:rsidRPr="00A96255">
        <w:t xml:space="preserve">3.c. Data collection calendar </w:t>
      </w:r>
      <w:r>
        <w:rPr>
          <w:color w:val="B4B4B4"/>
          <w:sz w:val="20"/>
        </w:rPr>
        <w:t>(FREQ_COLL)</w:t>
      </w:r>
    </w:p>
    <w:p w14:paraId="23FFCDE9" w14:textId="40B32168" w:rsidR="009A2351" w:rsidRDefault="009A2351" w:rsidP="00394266">
      <w:pPr>
        <w:pStyle w:val="MText"/>
      </w:pPr>
      <w:r w:rsidRPr="00AE3F05">
        <w:t>FAO Questionnaires</w:t>
      </w:r>
      <w:r w:rsidR="00A55644">
        <w:t xml:space="preserve"> Dispatch Dates</w:t>
      </w:r>
      <w:r>
        <w:t>:</w:t>
      </w:r>
    </w:p>
    <w:p w14:paraId="65249287" w14:textId="2E434CA6" w:rsidR="009A2351" w:rsidRPr="00A55644" w:rsidRDefault="009A2351" w:rsidP="00BD7FAB">
      <w:pPr>
        <w:pStyle w:val="MText"/>
        <w:rPr>
          <w:bCs/>
        </w:rPr>
      </w:pPr>
      <w:r w:rsidRPr="00746DA5">
        <w:rPr>
          <w:bCs/>
        </w:rPr>
        <w:t>Land Use, Irrigat</w:t>
      </w:r>
      <w:r w:rsidR="00A55644">
        <w:rPr>
          <w:bCs/>
        </w:rPr>
        <w:t xml:space="preserve">ion and Agricultural Practices: </w:t>
      </w:r>
      <w:r>
        <w:t>October</w:t>
      </w:r>
      <w:r w:rsidR="00A55644">
        <w:t xml:space="preserve"> </w:t>
      </w:r>
    </w:p>
    <w:p w14:paraId="07B38C32" w14:textId="353ABF1D" w:rsidR="009A2351" w:rsidRPr="00A55644" w:rsidRDefault="009A2351" w:rsidP="00BD7FAB">
      <w:pPr>
        <w:pStyle w:val="MText"/>
        <w:rPr>
          <w:bCs/>
        </w:rPr>
      </w:pPr>
      <w:r w:rsidRPr="00746DA5">
        <w:rPr>
          <w:bCs/>
        </w:rPr>
        <w:t>Crop and Livestock Production and Utilization:</w:t>
      </w:r>
      <w:r w:rsidR="00A55644">
        <w:rPr>
          <w:bCs/>
        </w:rPr>
        <w:t xml:space="preserve"> </w:t>
      </w:r>
      <w:r w:rsidR="00A55644">
        <w:t>May</w:t>
      </w:r>
    </w:p>
    <w:p w14:paraId="1262CA49" w14:textId="1706ADC7" w:rsidR="009A2351" w:rsidRPr="00A55644" w:rsidRDefault="009A2351" w:rsidP="00BD7FAB">
      <w:pPr>
        <w:pStyle w:val="MText"/>
        <w:rPr>
          <w:bCs/>
        </w:rPr>
      </w:pPr>
      <w:r w:rsidRPr="00746DA5">
        <w:rPr>
          <w:bCs/>
        </w:rPr>
        <w:t>Fertilizers:</w:t>
      </w:r>
      <w:r w:rsidR="00A55644">
        <w:rPr>
          <w:bCs/>
        </w:rPr>
        <w:t xml:space="preserve"> </w:t>
      </w:r>
      <w:r w:rsidR="00A55644">
        <w:t>October</w:t>
      </w:r>
    </w:p>
    <w:p w14:paraId="488AB5D2" w14:textId="1193F87B" w:rsidR="009A2351" w:rsidRPr="00A55644" w:rsidRDefault="009A2351" w:rsidP="00BD7FAB">
      <w:pPr>
        <w:pStyle w:val="MText"/>
        <w:rPr>
          <w:bCs/>
        </w:rPr>
      </w:pPr>
      <w:r w:rsidRPr="00746DA5">
        <w:rPr>
          <w:bCs/>
        </w:rPr>
        <w:t>AQUASTAT:</w:t>
      </w:r>
      <w:r w:rsidR="00A55644">
        <w:rPr>
          <w:bCs/>
        </w:rPr>
        <w:t xml:space="preserve"> </w:t>
      </w:r>
      <w:r>
        <w:t>May</w:t>
      </w:r>
    </w:p>
    <w:p w14:paraId="77D0A57A" w14:textId="56846AF0" w:rsidR="009A2351" w:rsidRDefault="009A2351" w:rsidP="00394266">
      <w:pPr>
        <w:pStyle w:val="MText"/>
      </w:pPr>
      <w:r w:rsidRPr="00746DA5">
        <w:rPr>
          <w:bCs/>
        </w:rPr>
        <w:t>Prices Received by Farmers: Primary Crop and Livestock Products</w:t>
      </w:r>
      <w:r>
        <w:rPr>
          <w:bCs/>
        </w:rPr>
        <w:t xml:space="preserve">: </w:t>
      </w:r>
      <w:r>
        <w:t>May</w:t>
      </w:r>
    </w:p>
    <w:p w14:paraId="53F7CC2E" w14:textId="77777777" w:rsidR="00394266" w:rsidRPr="00A55644" w:rsidRDefault="00394266" w:rsidP="00BD7FAB">
      <w:pPr>
        <w:pStyle w:val="MText"/>
        <w:rPr>
          <w:bCs/>
        </w:rPr>
      </w:pPr>
    </w:p>
    <w:p w14:paraId="1B2A8492" w14:textId="6472769E" w:rsidR="00E46D96" w:rsidRPr="00F719A8" w:rsidRDefault="00E46D96" w:rsidP="00F719A8">
      <w:pPr>
        <w:pStyle w:val="MHeader2"/>
      </w:pPr>
      <w:r w:rsidRPr="00A96255">
        <w:t xml:space="preserve">3.d. Data release calendar </w:t>
      </w:r>
      <w:r>
        <w:rPr>
          <w:color w:val="B4B4B4"/>
          <w:sz w:val="20"/>
        </w:rPr>
        <w:t>(REL_CAL_POLICY)</w:t>
      </w:r>
    </w:p>
    <w:p w14:paraId="76722E9A" w14:textId="0308FC50" w:rsidR="00EC18CB" w:rsidRPr="00AE3F05" w:rsidRDefault="00A55644" w:rsidP="00BD7FAB">
      <w:pPr>
        <w:pStyle w:val="MText"/>
      </w:pPr>
      <w:r>
        <w:t>Annual data dissemination schedules are as follows:</w:t>
      </w:r>
    </w:p>
    <w:p w14:paraId="3BCFB77B" w14:textId="0B33019C" w:rsidR="003B0715" w:rsidRDefault="00EC18CB" w:rsidP="00BD7FAB">
      <w:pPr>
        <w:pStyle w:val="MText"/>
        <w:rPr>
          <w:b/>
          <w:bCs/>
        </w:rPr>
      </w:pPr>
      <w:r w:rsidRPr="00746DA5">
        <w:rPr>
          <w:b/>
          <w:bCs/>
        </w:rPr>
        <w:t>Land Use, Irrigation and Agricultural Practices:</w:t>
      </w:r>
      <w:r w:rsidR="00A60CEB">
        <w:rPr>
          <w:b/>
          <w:bCs/>
        </w:rPr>
        <w:t xml:space="preserve">  </w:t>
      </w:r>
      <w:r w:rsidR="00A60CEB" w:rsidRPr="00AE3F05">
        <w:t>June 30</w:t>
      </w:r>
    </w:p>
    <w:p w14:paraId="03E9F287" w14:textId="28542CC6" w:rsidR="00EC18CB" w:rsidRPr="00AE3F05" w:rsidRDefault="00EC18CB" w:rsidP="00BD7FAB">
      <w:pPr>
        <w:pStyle w:val="MText"/>
      </w:pPr>
      <w:r w:rsidRPr="00746DA5">
        <w:rPr>
          <w:b/>
          <w:bCs/>
        </w:rPr>
        <w:t>Crop and Livestock Production and Utilization:</w:t>
      </w:r>
      <w:r w:rsidR="005A5CC5">
        <w:rPr>
          <w:b/>
          <w:bCs/>
        </w:rPr>
        <w:t xml:space="preserve">  </w:t>
      </w:r>
      <w:r w:rsidR="00AE3F05">
        <w:t>December 23</w:t>
      </w:r>
    </w:p>
    <w:p w14:paraId="2736A7FF" w14:textId="36BA6B9C" w:rsidR="005A5CC5" w:rsidRDefault="00EC18CB" w:rsidP="00BD7FAB">
      <w:pPr>
        <w:pStyle w:val="MText"/>
        <w:rPr>
          <w:b/>
          <w:bCs/>
        </w:rPr>
      </w:pPr>
      <w:r w:rsidRPr="00746DA5">
        <w:rPr>
          <w:b/>
          <w:bCs/>
        </w:rPr>
        <w:t>Fertilizers:</w:t>
      </w:r>
      <w:r w:rsidR="005A5CC5">
        <w:rPr>
          <w:b/>
          <w:bCs/>
        </w:rPr>
        <w:t xml:space="preserve">  </w:t>
      </w:r>
      <w:r w:rsidR="00AE3F05">
        <w:t>June 30</w:t>
      </w:r>
    </w:p>
    <w:p w14:paraId="6336863E" w14:textId="796D122E" w:rsidR="00EC18CB" w:rsidRDefault="00EC18CB" w:rsidP="00BD7FAB">
      <w:pPr>
        <w:pStyle w:val="MText"/>
        <w:rPr>
          <w:b/>
          <w:bCs/>
        </w:rPr>
      </w:pPr>
      <w:r w:rsidRPr="00746DA5">
        <w:rPr>
          <w:b/>
          <w:bCs/>
        </w:rPr>
        <w:t>AQUASTAT:</w:t>
      </w:r>
      <w:r w:rsidR="00362150">
        <w:rPr>
          <w:b/>
          <w:bCs/>
        </w:rPr>
        <w:t xml:space="preserve">  </w:t>
      </w:r>
      <w:r w:rsidR="00212064">
        <w:t xml:space="preserve">January </w:t>
      </w:r>
    </w:p>
    <w:p w14:paraId="5DBC1F08" w14:textId="27D08A24" w:rsidR="00A55644" w:rsidRDefault="00EC18CB" w:rsidP="00BD7FAB">
      <w:pPr>
        <w:pStyle w:val="MText"/>
      </w:pPr>
      <w:r w:rsidRPr="00746DA5">
        <w:rPr>
          <w:b/>
          <w:bCs/>
        </w:rPr>
        <w:t>Prices Received by Farmers: Primary Crop and Livestock Products</w:t>
      </w:r>
      <w:r>
        <w:rPr>
          <w:b/>
          <w:bCs/>
        </w:rPr>
        <w:t xml:space="preserve">: </w:t>
      </w:r>
      <w:r w:rsidR="00F90B5D">
        <w:t xml:space="preserve">December </w:t>
      </w:r>
    </w:p>
    <w:p w14:paraId="065049D8" w14:textId="36A276F1" w:rsidR="00A55644" w:rsidRDefault="00A55644" w:rsidP="00394266">
      <w:pPr>
        <w:pStyle w:val="MText"/>
      </w:pPr>
      <w:r>
        <w:t xml:space="preserve">Data for SDG </w:t>
      </w:r>
      <w:r w:rsidR="00173967">
        <w:t>8</w:t>
      </w:r>
      <w:r>
        <w:t>.</w:t>
      </w:r>
      <w:r w:rsidR="00173967">
        <w:t>3</w:t>
      </w:r>
      <w:r>
        <w:t xml:space="preserve">.1 are released annually </w:t>
      </w:r>
      <w:r w:rsidR="00DB247E">
        <w:t>by</w:t>
      </w:r>
      <w:r>
        <w:t xml:space="preserve"> the </w:t>
      </w:r>
      <w:r w:rsidR="00173967">
        <w:t>ILO</w:t>
      </w:r>
    </w:p>
    <w:p w14:paraId="7D0F1A44" w14:textId="77777777" w:rsidR="00394266" w:rsidRPr="00AF325F" w:rsidRDefault="00394266" w:rsidP="00BD7FAB">
      <w:pPr>
        <w:pStyle w:val="MText"/>
      </w:pPr>
    </w:p>
    <w:p w14:paraId="2C73707A" w14:textId="77777777" w:rsidR="00E46D96" w:rsidRPr="00DA6833" w:rsidRDefault="00E46D96" w:rsidP="00F719A8">
      <w:pPr>
        <w:pStyle w:val="MHeader2"/>
        <w:rPr>
          <w:lang w:val="it-IT"/>
        </w:rPr>
      </w:pPr>
      <w:r w:rsidRPr="00DA6833">
        <w:rPr>
          <w:lang w:val="it-IT"/>
        </w:rPr>
        <w:t xml:space="preserve">3.e. Data providers </w:t>
      </w:r>
      <w:r>
        <w:rPr>
          <w:color w:val="B4B4B4"/>
          <w:sz w:val="20"/>
        </w:rPr>
        <w:t>(DATA_SOURCE)</w:t>
      </w:r>
    </w:p>
    <w:p w14:paraId="3BF82E45" w14:textId="7992A85B" w:rsidR="009A2351" w:rsidRDefault="00D4550B">
      <w:pPr>
        <w:pStyle w:val="MText"/>
      </w:pPr>
      <w:r>
        <w:t xml:space="preserve">Data </w:t>
      </w:r>
      <w:r w:rsidR="00A55644">
        <w:t>are provided by</w:t>
      </w:r>
      <w:r>
        <w:t xml:space="preserve"> various governmental sources</w:t>
      </w:r>
      <w:r w:rsidR="00A55644">
        <w:t xml:space="preserve"> serving as official focal points</w:t>
      </w:r>
      <w:r>
        <w:t>. The institutions responsible for data collection at national level vary according to countries</w:t>
      </w:r>
      <w:r w:rsidR="00A55644">
        <w:t>, including</w:t>
      </w:r>
      <w:r>
        <w:t xml:space="preserve"> Ministry of Agriculture, Ministry of Water, Ministry of Environment, other</w:t>
      </w:r>
      <w:r w:rsidR="00A55644">
        <w:t xml:space="preserve"> relevant</w:t>
      </w:r>
      <w:r>
        <w:t xml:space="preserve"> line Ministries and the </w:t>
      </w:r>
      <w:r w:rsidR="00A55644">
        <w:t>National Statistics O</w:t>
      </w:r>
      <w:r>
        <w:t>ffice (NSO).</w:t>
      </w:r>
      <w:r w:rsidR="009A2351">
        <w:t xml:space="preserve"> </w:t>
      </w:r>
    </w:p>
    <w:p w14:paraId="7A498097" w14:textId="77777777" w:rsidR="003A0524" w:rsidRDefault="003A0524" w:rsidP="00BD7FAB">
      <w:pPr>
        <w:pStyle w:val="MText"/>
      </w:pPr>
    </w:p>
    <w:p w14:paraId="477866C5" w14:textId="77777777" w:rsidR="00E46D96" w:rsidRPr="00A96255" w:rsidRDefault="00E46D96" w:rsidP="00F719A8">
      <w:pPr>
        <w:pStyle w:val="MHeader2"/>
      </w:pPr>
      <w:r w:rsidRPr="00A96255">
        <w:t xml:space="preserve">3.f. Data compilers </w:t>
      </w:r>
      <w:r>
        <w:rPr>
          <w:color w:val="B4B4B4"/>
          <w:sz w:val="20"/>
        </w:rPr>
        <w:t>(COMPILING_ORG)</w:t>
      </w:r>
    </w:p>
    <w:p w14:paraId="710B769E" w14:textId="77777777" w:rsidR="00576CFA" w:rsidRPr="00394266" w:rsidRDefault="00D4550B" w:rsidP="00394266">
      <w:pPr>
        <w:pStyle w:val="MText"/>
      </w:pPr>
      <w:r w:rsidRPr="00394266">
        <w:t>Food and Agriculture Organization of the United Nations</w:t>
      </w:r>
    </w:p>
    <w:p w14:paraId="5FD2908B" w14:textId="77777777" w:rsidR="00EC2915" w:rsidRPr="00A96255" w:rsidRDefault="00EC2915" w:rsidP="00576CFA">
      <w:pPr>
        <w:pStyle w:val="MText"/>
      </w:pPr>
    </w:p>
    <w:p w14:paraId="2C001C28" w14:textId="77777777" w:rsidR="00E46D96" w:rsidRPr="00A96255" w:rsidRDefault="00E46D96" w:rsidP="00F719A8">
      <w:pPr>
        <w:pStyle w:val="MHeader2"/>
      </w:pPr>
      <w:r w:rsidRPr="00A96255">
        <w:t xml:space="preserve">3.g. Institutional mandate </w:t>
      </w:r>
      <w:r>
        <w:rPr>
          <w:color w:val="B4B4B4"/>
          <w:sz w:val="20"/>
        </w:rPr>
        <w:t>(INST_MANDATE)</w:t>
      </w:r>
    </w:p>
    <w:p w14:paraId="1B450772" w14:textId="77777777" w:rsidR="00EC2915" w:rsidRDefault="00D4550B" w:rsidP="00576CFA">
      <w:pPr>
        <w:pStyle w:val="MText"/>
      </w:pPr>
      <w:r w:rsidRPr="00394266">
        <w:t>Article I of the FAO constitution requires that the Organization collect, analyses, interpret and disseminate information relating to nutrition, food and agriculture</w:t>
      </w:r>
      <w:r>
        <w:t xml:space="preserve"> </w:t>
      </w:r>
      <w:hyperlink r:id="rId13" w:history="1">
        <w:r w:rsidRPr="00247639">
          <w:rPr>
            <w:rStyle w:val="Hyperlink"/>
          </w:rPr>
          <w:t>http://www.fao.org/3/K8024E/K8024E.pdf</w:t>
        </w:r>
      </w:hyperlink>
      <w:r>
        <w:t>.</w:t>
      </w:r>
    </w:p>
    <w:p w14:paraId="423B5CE2" w14:textId="77777777" w:rsidR="00D4550B" w:rsidRDefault="00D4550B" w:rsidP="00576CFA">
      <w:pPr>
        <w:pStyle w:val="MText"/>
      </w:pPr>
    </w:p>
    <w:p w14:paraId="7A6713FA" w14:textId="77777777" w:rsidR="00B31E2C" w:rsidRPr="00A96255" w:rsidRDefault="00B31E2C" w:rsidP="00AF5ED1">
      <w:pPr>
        <w:pStyle w:val="MHeader"/>
      </w:pPr>
      <w:r w:rsidRPr="00A96255">
        <w:t xml:space="preserve">4. Other methodological considerations </w:t>
      </w:r>
      <w:r>
        <w:rPr>
          <w:color w:val="B4B4B4"/>
          <w:sz w:val="20"/>
        </w:rPr>
        <w:t>(OTHER_METHOD)</w:t>
      </w:r>
    </w:p>
    <w:p w14:paraId="5F7661C4" w14:textId="77777777" w:rsidR="00AF5ED1" w:rsidRPr="00A96255" w:rsidRDefault="00576CFA" w:rsidP="00F719A8">
      <w:pPr>
        <w:pStyle w:val="MHeader2"/>
      </w:pPr>
      <w:r w:rsidRPr="00A96255">
        <w:t xml:space="preserve">4.a. Rationale </w:t>
      </w:r>
      <w:r>
        <w:rPr>
          <w:color w:val="B4B4B4"/>
          <w:sz w:val="20"/>
        </w:rPr>
        <w:t>(RATIONALE)</w:t>
      </w:r>
    </w:p>
    <w:p w14:paraId="5241DC53" w14:textId="49C47455" w:rsidR="00576CFA" w:rsidRPr="006F26AE" w:rsidRDefault="001F2ADC" w:rsidP="006F26AE">
      <w:pPr>
        <w:pStyle w:val="MText"/>
      </w:pPr>
      <w:r w:rsidRPr="006F26AE">
        <w:t>The SDG 2.4.1 Proxy offers a simplified methodology for monitoring progress on SDG 2.4.1 ‘’Proportion of agricultural area under productive and sustainable agriculture’’ based on national level statistic</w:t>
      </w:r>
      <w:r w:rsidR="00A55644" w:rsidRPr="006F26AE">
        <w:t xml:space="preserve"> (</w:t>
      </w:r>
      <w:proofErr w:type="spellStart"/>
      <w:r w:rsidR="00A55644" w:rsidRPr="006F26AE">
        <w:t>Tubiello</w:t>
      </w:r>
      <w:proofErr w:type="spellEnd"/>
      <w:r w:rsidR="00A55644" w:rsidRPr="006F26AE">
        <w:t xml:space="preserve"> et al., 2021). </w:t>
      </w:r>
      <w:r w:rsidRPr="006F26AE">
        <w:t xml:space="preserve"> The SDG 2.4.1 Proxy consists of </w:t>
      </w:r>
      <w:r w:rsidR="002B1826">
        <w:t>seven</w:t>
      </w:r>
      <w:r w:rsidR="002B1826" w:rsidRPr="006F26AE">
        <w:t xml:space="preserve"> </w:t>
      </w:r>
      <w:r w:rsidRPr="006F26AE">
        <w:t>sub-indicators computable from existing national statistics, with a default option to source data from FAOSTAT. A set of simple rules to assess status and trend of each sub-indicator and determine aggregate scores is also provided, based on the UN Global SDG Progress Chart and the FAO SDG Progress Report.</w:t>
      </w:r>
      <w:r w:rsidR="00A55644" w:rsidRPr="006F26AE">
        <w:t xml:space="preserve"> </w:t>
      </w:r>
      <w:r w:rsidR="003C4C45" w:rsidRPr="00BD7FAB">
        <w:t xml:space="preserve">The </w:t>
      </w:r>
      <w:r w:rsidR="00B24AF8" w:rsidRPr="00BD7FAB">
        <w:t>7</w:t>
      </w:r>
      <w:r w:rsidR="00A55644" w:rsidRPr="00BD7FAB">
        <w:t xml:space="preserve"> </w:t>
      </w:r>
      <w:r w:rsidR="003C4C45" w:rsidRPr="00BD7FAB">
        <w:t xml:space="preserve">sub-indicators </w:t>
      </w:r>
      <w:r w:rsidR="00A55644" w:rsidRPr="00BD7FAB">
        <w:t xml:space="preserve">cover relevant socio-economic and environmental dimensions of sustainability and </w:t>
      </w:r>
      <w:r w:rsidR="003C4C45" w:rsidRPr="00BD7FAB">
        <w:t xml:space="preserve">are based on </w:t>
      </w:r>
      <w:r w:rsidR="00A55644" w:rsidRPr="00BD7FAB">
        <w:t>readily</w:t>
      </w:r>
      <w:r w:rsidR="003C4C45" w:rsidRPr="00BD7FAB">
        <w:t xml:space="preserve"> available statistics</w:t>
      </w:r>
      <w:r w:rsidR="00A55644" w:rsidRPr="00BD7FAB">
        <w:t xml:space="preserve"> already collected by FAO</w:t>
      </w:r>
      <w:r w:rsidR="003C4C45" w:rsidRPr="00BD7FAB">
        <w:t xml:space="preserve"> </w:t>
      </w:r>
      <w:r w:rsidR="00A55644" w:rsidRPr="00BD7FAB">
        <w:t>from</w:t>
      </w:r>
      <w:r w:rsidR="001E7492" w:rsidRPr="00BD7FAB">
        <w:t xml:space="preserve"> member countries</w:t>
      </w:r>
      <w:r w:rsidR="00C2246B" w:rsidRPr="00BD7FAB">
        <w:t xml:space="preserve">, </w:t>
      </w:r>
      <w:r w:rsidR="00A55644" w:rsidRPr="00BD7FAB">
        <w:t xml:space="preserve">thus </w:t>
      </w:r>
      <w:r w:rsidR="00C2246B" w:rsidRPr="00BD7FAB">
        <w:t xml:space="preserve">easing the </w:t>
      </w:r>
      <w:r w:rsidR="00A55644" w:rsidRPr="00BD7FAB">
        <w:t xml:space="preserve">SDG </w:t>
      </w:r>
      <w:r w:rsidR="00C2246B" w:rsidRPr="00BD7FAB">
        <w:t>data collection burden on national entities</w:t>
      </w:r>
      <w:r w:rsidR="003C4C45" w:rsidRPr="00BD7FAB">
        <w:t xml:space="preserve">. </w:t>
      </w:r>
    </w:p>
    <w:p w14:paraId="0C9F4B5B" w14:textId="77777777" w:rsidR="003C4C45" w:rsidRPr="00A96255" w:rsidRDefault="003C4C45" w:rsidP="00576CFA">
      <w:pPr>
        <w:pStyle w:val="MText"/>
      </w:pPr>
    </w:p>
    <w:p w14:paraId="561A9469" w14:textId="77777777" w:rsidR="00E1050F" w:rsidRPr="00A96255" w:rsidRDefault="00E1050F" w:rsidP="00F719A8">
      <w:pPr>
        <w:pStyle w:val="MHeader2"/>
      </w:pPr>
      <w:r w:rsidRPr="00A96255">
        <w:t xml:space="preserve">4.b. Comment and limitations </w:t>
      </w:r>
      <w:r>
        <w:rPr>
          <w:color w:val="B4B4B4"/>
          <w:sz w:val="20"/>
        </w:rPr>
        <w:t>(REC_USE_LIM)</w:t>
      </w:r>
    </w:p>
    <w:p w14:paraId="0865E404" w14:textId="10E59293" w:rsidR="00EC2915" w:rsidRPr="00BD7FAB" w:rsidRDefault="003C4C45" w:rsidP="00394266">
      <w:pPr>
        <w:pStyle w:val="MText"/>
      </w:pPr>
      <w:r w:rsidRPr="00BD7FAB">
        <w:lastRenderedPageBreak/>
        <w:t xml:space="preserve">The scoring system for the indicator scores allows for </w:t>
      </w:r>
      <w:proofErr w:type="gramStart"/>
      <w:r w:rsidRPr="00BD7FAB">
        <w:t>a current status</w:t>
      </w:r>
      <w:proofErr w:type="gramEnd"/>
      <w:r w:rsidRPr="00BD7FAB">
        <w:t xml:space="preserve"> and trend overview for each of the </w:t>
      </w:r>
      <w:r w:rsidR="00D4550B" w:rsidRPr="00BD7FAB">
        <w:t>measures</w:t>
      </w:r>
      <w:r w:rsidRPr="00BD7FAB">
        <w:t xml:space="preserve"> which comprise the indicator, and the overall status and trend towards productive and sustainable agriculture. Therefore, in the absence of sufficient data to produce the indicator, status and trend assessment of available sub-indicators is possible. </w:t>
      </w:r>
    </w:p>
    <w:p w14:paraId="47E9153D" w14:textId="77777777" w:rsidR="003C4C45" w:rsidRPr="00A96255" w:rsidRDefault="003C4C45" w:rsidP="003C4C45">
      <w:pPr>
        <w:pStyle w:val="MText"/>
      </w:pPr>
    </w:p>
    <w:p w14:paraId="53E0B04F" w14:textId="77777777" w:rsidR="00E1050F" w:rsidRPr="00A96255" w:rsidRDefault="00E1050F" w:rsidP="00F719A8">
      <w:pPr>
        <w:pStyle w:val="MHeader2"/>
      </w:pPr>
      <w:r w:rsidRPr="00A96255">
        <w:t xml:space="preserve">4.c. Method of computation </w:t>
      </w:r>
      <w:r>
        <w:rPr>
          <w:color w:val="B4B4B4"/>
          <w:sz w:val="20"/>
        </w:rPr>
        <w:t>(DATA_COMP)</w:t>
      </w:r>
    </w:p>
    <w:p w14:paraId="7CA4B570" w14:textId="4454EFB8" w:rsidR="00F41A07" w:rsidRDefault="00F41A07" w:rsidP="00BD7FAB">
      <w:pPr>
        <w:pStyle w:val="MText"/>
      </w:pPr>
      <w:r w:rsidRPr="00BD7FAB">
        <w:rPr>
          <w:rStyle w:val="MTextChar"/>
          <w:rFonts w:eastAsiaTheme="minorEastAsia"/>
        </w:rPr>
        <w:t xml:space="preserve">The </w:t>
      </w:r>
      <w:r w:rsidR="00B24AF8" w:rsidRPr="00BD7FAB">
        <w:rPr>
          <w:rStyle w:val="MTextChar"/>
          <w:rFonts w:eastAsiaTheme="minorEastAsia"/>
        </w:rPr>
        <w:t>7</w:t>
      </w:r>
      <w:r w:rsidRPr="00BD7FAB">
        <w:rPr>
          <w:rStyle w:val="MTextChar"/>
          <w:rFonts w:eastAsiaTheme="minorEastAsia"/>
        </w:rPr>
        <w:t xml:space="preserve"> measures are assessed both in terms of the direction and consistency of their trend and in terms of their current status  according to the system-wide methodology adopted for the</w:t>
      </w:r>
      <w:r>
        <w:t xml:space="preserve"> </w:t>
      </w:r>
      <w:hyperlink r:id="rId14" w:history="1">
        <w:r w:rsidRPr="00CE17AC">
          <w:rPr>
            <w:rStyle w:val="Hyperlink"/>
          </w:rPr>
          <w:t>global SDG Progress Chart</w:t>
        </w:r>
      </w:hyperlink>
      <w:r w:rsidRPr="00BD7FAB">
        <w:rPr>
          <w:rStyle w:val="MTextChar"/>
          <w:rFonts w:eastAsiaTheme="minorEastAsia"/>
        </w:rPr>
        <w:t>, and also by FAO itself for its</w:t>
      </w:r>
      <w:r>
        <w:t xml:space="preserve"> </w:t>
      </w:r>
      <w:hyperlink r:id="rId15" w:history="1">
        <w:r w:rsidRPr="00CE17AC">
          <w:rPr>
            <w:rStyle w:val="Hyperlink"/>
          </w:rPr>
          <w:t>SDG Progress Report</w:t>
        </w:r>
      </w:hyperlink>
      <w:r>
        <w:t xml:space="preserve">. Of the </w:t>
      </w:r>
      <w:r w:rsidR="00B24AF8">
        <w:t>7</w:t>
      </w:r>
      <w:r>
        <w:t xml:space="preserve"> indicators, only one has a clearly defined numerical target, whereas a further 3 have a conventionally or scientifically established upper bound, which, however, cannot serve as a n</w:t>
      </w:r>
      <w:r w:rsidR="00D8611E">
        <w:t>ormative target for the purpose</w:t>
      </w:r>
      <w:r>
        <w:t xml:space="preserve"> of this progress assessment, given that countries that lie below this upper bound should not </w:t>
      </w:r>
      <w:proofErr w:type="gramStart"/>
      <w:r>
        <w:t>necessary</w:t>
      </w:r>
      <w:proofErr w:type="gramEnd"/>
      <w:r>
        <w:t xml:space="preserve"> strive to reach the upper bound.</w:t>
      </w:r>
    </w:p>
    <w:p w14:paraId="55D173EF" w14:textId="77777777" w:rsidR="00F41A07" w:rsidRDefault="00F41A07" w:rsidP="00BD7FAB">
      <w:pPr>
        <w:pStyle w:val="MText"/>
      </w:pPr>
      <w:r>
        <w:t xml:space="preserve">Therefore, the four main progress assessment methods, considering the trend and the </w:t>
      </w:r>
      <w:proofErr w:type="gramStart"/>
      <w:r>
        <w:t>current status</w:t>
      </w:r>
      <w:proofErr w:type="gramEnd"/>
      <w:r>
        <w:t xml:space="preserve"> for indicators with and without a numerical target, </w:t>
      </w:r>
      <w:r w:rsidR="0073199C">
        <w:t>are</w:t>
      </w:r>
      <w:r>
        <w:t xml:space="preserve"> as follows:</w:t>
      </w:r>
    </w:p>
    <w:p w14:paraId="50B46F41" w14:textId="77777777" w:rsidR="00190B88" w:rsidRDefault="00190B88" w:rsidP="00F41A07">
      <w:pPr>
        <w:spacing w:after="120"/>
        <w:rPr>
          <w:color w:val="000000" w:themeColor="text1"/>
        </w:rPr>
      </w:pPr>
    </w:p>
    <w:tbl>
      <w:tblPr>
        <w:tblStyle w:val="TableGrid"/>
        <w:tblW w:w="9542" w:type="dxa"/>
        <w:tblLook w:val="04A0" w:firstRow="1" w:lastRow="0" w:firstColumn="1" w:lastColumn="0" w:noHBand="0" w:noVBand="1"/>
      </w:tblPr>
      <w:tblGrid>
        <w:gridCol w:w="4771"/>
        <w:gridCol w:w="4771"/>
      </w:tblGrid>
      <w:tr w:rsidR="00F41A07" w14:paraId="2420156D" w14:textId="77777777" w:rsidTr="005D1B4F">
        <w:trPr>
          <w:trHeight w:val="1272"/>
        </w:trPr>
        <w:tc>
          <w:tcPr>
            <w:tcW w:w="4771" w:type="dxa"/>
            <w:shd w:val="clear" w:color="auto" w:fill="D99594" w:themeFill="accent2" w:themeFillTint="99"/>
          </w:tcPr>
          <w:p w14:paraId="5F59878A" w14:textId="77777777" w:rsidR="00F41A07" w:rsidRDefault="00F41A07" w:rsidP="005D1B4F">
            <w:pPr>
              <w:spacing w:after="120"/>
              <w:rPr>
                <w:color w:val="000000" w:themeColor="text1"/>
              </w:rPr>
            </w:pPr>
            <w:r>
              <w:rPr>
                <w:color w:val="000000" w:themeColor="text1"/>
              </w:rPr>
              <w:t xml:space="preserve">Trend assessment for indicators with a numerical target: </w:t>
            </w:r>
            <w:r w:rsidRPr="0062295D">
              <w:rPr>
                <w:color w:val="1B1D1F"/>
                <w:u w:val="single"/>
                <w:shd w:val="clear" w:color="auto" w:fill="D99594" w:themeFill="accent2" w:themeFillTint="99"/>
              </w:rPr>
              <w:t>Ratio actual vs. required (CR)</w:t>
            </w:r>
          </w:p>
        </w:tc>
        <w:tc>
          <w:tcPr>
            <w:tcW w:w="4771" w:type="dxa"/>
            <w:shd w:val="clear" w:color="auto" w:fill="E5B8B7" w:themeFill="accent2" w:themeFillTint="66"/>
          </w:tcPr>
          <w:p w14:paraId="08B1B2AC" w14:textId="77777777" w:rsidR="00F41A07" w:rsidRDefault="00F41A07" w:rsidP="005D1B4F">
            <w:pPr>
              <w:spacing w:after="120"/>
              <w:rPr>
                <w:color w:val="000000" w:themeColor="text1"/>
              </w:rPr>
            </w:pPr>
            <w:r>
              <w:rPr>
                <w:color w:val="000000" w:themeColor="text1"/>
              </w:rPr>
              <w:t xml:space="preserve">Trend assessment for indicators without a numerical target: </w:t>
            </w:r>
            <w:r w:rsidRPr="0062295D">
              <w:rPr>
                <w:color w:val="1B1D1F"/>
                <w:u w:val="single"/>
                <w:shd w:val="clear" w:color="auto" w:fill="E5B8B7" w:themeFill="accent2" w:themeFillTint="66"/>
              </w:rPr>
              <w:t>actual growth (CAGR)</w:t>
            </w:r>
            <w:r>
              <w:rPr>
                <w:color w:val="1B1D1F"/>
                <w:u w:val="single"/>
                <w:shd w:val="clear" w:color="auto" w:fill="E5B8B7" w:themeFill="accent2" w:themeFillTint="66"/>
              </w:rPr>
              <w:t xml:space="preserve"> compared to baseline</w:t>
            </w:r>
          </w:p>
        </w:tc>
      </w:tr>
      <w:tr w:rsidR="00F41A07" w14:paraId="52D35824" w14:textId="77777777" w:rsidTr="005D1B4F">
        <w:trPr>
          <w:trHeight w:val="1105"/>
        </w:trPr>
        <w:tc>
          <w:tcPr>
            <w:tcW w:w="4771" w:type="dxa"/>
            <w:shd w:val="clear" w:color="auto" w:fill="95B3D7" w:themeFill="accent1" w:themeFillTint="99"/>
          </w:tcPr>
          <w:p w14:paraId="7DE2BF20" w14:textId="77777777" w:rsidR="00F41A07" w:rsidRDefault="00F41A07" w:rsidP="005D1B4F">
            <w:pPr>
              <w:spacing w:after="120"/>
              <w:rPr>
                <w:color w:val="000000" w:themeColor="text1"/>
              </w:rPr>
            </w:pPr>
            <w:r>
              <w:rPr>
                <w:color w:val="000000" w:themeColor="text1"/>
              </w:rPr>
              <w:t xml:space="preserve">Status assessment for indicator with a numerical target: </w:t>
            </w:r>
            <w:r w:rsidRPr="00B823D8">
              <w:rPr>
                <w:color w:val="000000" w:themeColor="text1"/>
                <w:u w:val="single"/>
              </w:rPr>
              <w:t>distance to the target</w:t>
            </w:r>
          </w:p>
        </w:tc>
        <w:tc>
          <w:tcPr>
            <w:tcW w:w="4771" w:type="dxa"/>
            <w:shd w:val="clear" w:color="auto" w:fill="B8CCE4" w:themeFill="accent1" w:themeFillTint="66"/>
          </w:tcPr>
          <w:p w14:paraId="7ECB283B" w14:textId="77777777" w:rsidR="00F41A07" w:rsidRDefault="00F41A07" w:rsidP="005D1B4F">
            <w:pPr>
              <w:spacing w:after="120"/>
              <w:rPr>
                <w:color w:val="000000" w:themeColor="text1"/>
              </w:rPr>
            </w:pPr>
            <w:r>
              <w:rPr>
                <w:color w:val="000000" w:themeColor="text1"/>
              </w:rPr>
              <w:t xml:space="preserve">Status assessment for indicators without a numerical target: </w:t>
            </w:r>
            <w:r w:rsidRPr="00B823D8">
              <w:rPr>
                <w:color w:val="000000" w:themeColor="text1"/>
                <w:u w:val="single"/>
              </w:rPr>
              <w:t>quintile distribution</w:t>
            </w:r>
          </w:p>
        </w:tc>
      </w:tr>
    </w:tbl>
    <w:p w14:paraId="10E94EE6" w14:textId="77777777" w:rsidR="00F41A07" w:rsidRDefault="00F41A07" w:rsidP="00F41A07">
      <w:pPr>
        <w:spacing w:after="120"/>
        <w:rPr>
          <w:color w:val="000000" w:themeColor="text1"/>
        </w:rPr>
      </w:pPr>
    </w:p>
    <w:p w14:paraId="486E419D" w14:textId="069AC9D9" w:rsidR="000E2515" w:rsidRDefault="000E2515" w:rsidP="00BD7FAB">
      <w:pPr>
        <w:pStyle w:val="MText"/>
      </w:pPr>
      <w:r>
        <w:t xml:space="preserve">The compound annual growth rate </w:t>
      </w:r>
      <w:r w:rsidR="00F52722">
        <w:t xml:space="preserve">(CAGR) </w:t>
      </w:r>
      <w:r w:rsidR="001F7B7E">
        <w:t xml:space="preserve">for </w:t>
      </w:r>
      <w:r>
        <w:t>is calculated as:</w:t>
      </w:r>
    </w:p>
    <w:p w14:paraId="49531C19" w14:textId="7F0BBAD8" w:rsidR="00A63B9C" w:rsidRDefault="002A733C" w:rsidP="00F41A07">
      <w:pPr>
        <w:rPr>
          <w:color w:val="000000" w:themeColor="text1"/>
        </w:rPr>
      </w:pPr>
      <m:oMathPara>
        <m:oMath>
          <m:sSub>
            <m:sSubPr>
              <m:ctrlPr>
                <w:rPr>
                  <w:rFonts w:ascii="Cambria Math" w:hAnsi="Cambria Math"/>
                  <w:i/>
                </w:rPr>
              </m:ctrlPr>
            </m:sSubPr>
            <m:e>
              <m:r>
                <w:rPr>
                  <w:rFonts w:ascii="Cambria Math" w:hAnsi="Cambria Math"/>
                </w:rPr>
                <m:t>CAGR</m:t>
              </m:r>
            </m:e>
            <m:sub>
              <m:r>
                <w:rPr>
                  <w:rFonts w:ascii="Cambria Math" w:hAnsi="Cambria Math"/>
                </w:rPr>
                <m:t>a</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en>
                  </m:f>
                </m:e>
              </m:d>
            </m:e>
            <m:sup>
              <m:f>
                <m:fPr>
                  <m:ctrlPr>
                    <w:rPr>
                      <w:rFonts w:ascii="Cambria Math" w:hAnsi="Cambria Math"/>
                      <w:i/>
                    </w:rPr>
                  </m:ctrlPr>
                </m:fPr>
                <m:num>
                  <m:r>
                    <w:rPr>
                      <w:rFonts w:ascii="Cambria Math" w:hAnsi="Cambria Math"/>
                    </w:rPr>
                    <m:t>1</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sup>
          </m:sSup>
          <m:r>
            <w:rPr>
              <w:rFonts w:ascii="Cambria Math" w:hAnsi="Cambria Math"/>
            </w:rPr>
            <m:t>-1</m:t>
          </m:r>
        </m:oMath>
      </m:oMathPara>
    </w:p>
    <w:p w14:paraId="1C0C0759" w14:textId="4F222B5E" w:rsidR="001F7B7E" w:rsidRDefault="001F7B7E" w:rsidP="00BD7FAB">
      <w:pPr>
        <w:pStyle w:val="MText"/>
      </w:pPr>
      <w:r>
        <w:t xml:space="preserve">where </w:t>
      </w:r>
      <w:r w:rsidR="00075A85">
        <w:t>t</w:t>
      </w:r>
      <w:r w:rsidR="00075A85">
        <w:rPr>
          <w:vertAlign w:val="subscript"/>
        </w:rPr>
        <w:t>0</w:t>
      </w:r>
      <w:r w:rsidR="00075A85">
        <w:t xml:space="preserve"> (2015) is the beginning of the asse</w:t>
      </w:r>
      <w:r w:rsidR="00D8611E">
        <w:t>ss</w:t>
      </w:r>
      <w:r w:rsidR="00075A85">
        <w:t>ment period</w:t>
      </w:r>
      <w:r w:rsidR="00D0741C">
        <w:t xml:space="preserve">.  </w:t>
      </w:r>
      <w:r w:rsidR="00A32962">
        <w:t>The r</w:t>
      </w:r>
      <w:r w:rsidR="00A32962" w:rsidRPr="00A32962">
        <w:t>atio of actual vs. target growth rate (CR)</w:t>
      </w:r>
      <w:r w:rsidR="00397F49">
        <w:t xml:space="preserve"> is calculated as:</w:t>
      </w:r>
    </w:p>
    <w:p w14:paraId="2CADEC68" w14:textId="13601495" w:rsidR="00D0741C" w:rsidRPr="00AE3F05" w:rsidRDefault="00D0741C" w:rsidP="00F41A07">
      <w:pPr>
        <w:rPr>
          <w:color w:val="000000" w:themeColor="text1"/>
          <w:lang w:val="fr-FR"/>
        </w:rPr>
      </w:pPr>
      <m:oMathPara>
        <m:oMath>
          <m:r>
            <w:rPr>
              <w:rFonts w:ascii="Cambria Math" w:hAnsi="Cambria Math"/>
              <w:color w:val="000000" w:themeColor="text1"/>
            </w:rPr>
            <m:t>CR</m:t>
          </m:r>
          <m:r>
            <m:rPr>
              <m:sty m:val="p"/>
            </m:rP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CAG</m:t>
              </m:r>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a</m:t>
                  </m:r>
                </m:sub>
              </m:sSub>
            </m:num>
            <m:den>
              <m:r>
                <w:rPr>
                  <w:rFonts w:ascii="Cambria Math" w:hAnsi="Cambria Math"/>
                  <w:color w:val="000000" w:themeColor="text1"/>
                </w:rPr>
                <m:t>CAG</m:t>
              </m:r>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r</m:t>
                  </m:r>
                </m:sub>
              </m:sSub>
            </m:den>
          </m:f>
          <m:r>
            <m:rPr>
              <m:sty m:val="p"/>
            </m:rPr>
            <w:rPr>
              <w:rFonts w:ascii="Cambria Math" w:hAnsi="Cambria Math"/>
              <w:color w:val="000000" w:themeColor="text1"/>
            </w:rPr>
            <m:t xml:space="preserve">= </m:t>
          </m:r>
          <m:f>
            <m:fPr>
              <m:ctrlPr>
                <w:rPr>
                  <w:rFonts w:ascii="Cambria Math" w:hAnsi="Cambria Math"/>
                  <w:color w:val="000000" w:themeColor="text1"/>
                </w:rPr>
              </m:ctrlPr>
            </m:fPr>
            <m:num>
              <m:sSup>
                <m:sSupPr>
                  <m:ctrlPr>
                    <w:rPr>
                      <w:rFonts w:ascii="Cambria Math" w:hAnsi="Cambria Math"/>
                      <w:color w:val="000000" w:themeColor="text1"/>
                    </w:rPr>
                  </m:ctrlPr>
                </m:sSupPr>
                <m:e>
                  <m:d>
                    <m:dPr>
                      <m:ctrlPr>
                        <w:rPr>
                          <w:rFonts w:ascii="Cambria Math" w:hAnsi="Cambria Math"/>
                          <w:color w:val="000000" w:themeColor="text1"/>
                        </w:rPr>
                      </m:ctrlPr>
                    </m:dPr>
                    <m:e>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num>
                        <m:den>
                          <m:sSub>
                            <m:sSubPr>
                              <m:ctrlPr>
                                <w:rPr>
                                  <w:rFonts w:ascii="Cambria Math" w:hAnsi="Cambria Math"/>
                                  <w:color w:val="000000" w:themeColor="text1"/>
                                </w:rPr>
                              </m:ctrlPr>
                            </m:sSubPr>
                            <m:e>
                              <m:r>
                                <w:rPr>
                                  <w:rFonts w:ascii="Cambria Math" w:hAnsi="Cambria Math"/>
                                  <w:color w:val="000000" w:themeColor="text1"/>
                                </w:rPr>
                                <m:t>x</m:t>
                              </m:r>
                            </m:e>
                            <m:sub>
                              <m:sSub>
                                <m:sSubPr>
                                  <m:ctrlPr>
                                    <w:rPr>
                                      <w:rFonts w:ascii="Cambria Math" w:hAnsi="Cambria Math"/>
                                      <w:color w:val="000000" w:themeColor="text1"/>
                                    </w:rPr>
                                  </m:ctrlPr>
                                </m:sSubPr>
                                <m:e>
                                  <m:r>
                                    <w:rPr>
                                      <w:rFonts w:ascii="Cambria Math" w:hAnsi="Cambria Math"/>
                                      <w:color w:val="000000" w:themeColor="text1"/>
                                    </w:rPr>
                                    <m:t>t</m:t>
                                  </m:r>
                                </m:e>
                                <m:sub>
                                  <m:r>
                                    <m:rPr>
                                      <m:sty m:val="p"/>
                                    </m:rPr>
                                    <w:rPr>
                                      <w:rFonts w:ascii="Cambria Math" w:hAnsi="Cambria Math"/>
                                      <w:color w:val="000000" w:themeColor="text1"/>
                                    </w:rPr>
                                    <m:t>0</m:t>
                                  </m:r>
                                </m:sub>
                              </m:sSub>
                            </m:sub>
                          </m:sSub>
                        </m:den>
                      </m:f>
                    </m:e>
                  </m:d>
                </m:e>
                <m:sup>
                  <m:f>
                    <m:fPr>
                      <m:ctrlPr>
                        <w:rPr>
                          <w:rFonts w:ascii="Cambria Math" w:hAnsi="Cambria Math"/>
                          <w:color w:val="000000" w:themeColor="text1"/>
                        </w:rPr>
                      </m:ctrlPr>
                    </m:fPr>
                    <m:num>
                      <m:r>
                        <m:rPr>
                          <m:sty m:val="p"/>
                        </m:rPr>
                        <w:rPr>
                          <w:rFonts w:ascii="Cambria Math" w:hAnsi="Cambria Math"/>
                          <w:color w:val="000000" w:themeColor="text1"/>
                        </w:rPr>
                        <m:t>1</m:t>
                      </m:r>
                    </m:num>
                    <m:den>
                      <m:r>
                        <w:rPr>
                          <w:rFonts w:ascii="Cambria Math" w:hAnsi="Cambria Math"/>
                          <w:color w:val="000000" w:themeColor="text1"/>
                        </w:rPr>
                        <m:t>t</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t</m:t>
                          </m:r>
                        </m:e>
                        <m:sub>
                          <m:r>
                            <m:rPr>
                              <m:sty m:val="p"/>
                            </m:rPr>
                            <w:rPr>
                              <w:rFonts w:ascii="Cambria Math" w:hAnsi="Cambria Math"/>
                              <w:color w:val="000000" w:themeColor="text1"/>
                            </w:rPr>
                            <m:t>0</m:t>
                          </m:r>
                        </m:sub>
                      </m:sSub>
                    </m:den>
                  </m:f>
                </m:sup>
              </m:sSup>
              <m:r>
                <m:rPr>
                  <m:sty m:val="p"/>
                </m:rPr>
                <w:rPr>
                  <w:rFonts w:ascii="Cambria Math" w:hAnsi="Cambria Math"/>
                  <w:color w:val="000000" w:themeColor="text1"/>
                </w:rPr>
                <m:t>-1</m:t>
              </m:r>
            </m:num>
            <m:den>
              <m:sSup>
                <m:sSupPr>
                  <m:ctrlPr>
                    <w:rPr>
                      <w:rFonts w:ascii="Cambria Math" w:hAnsi="Cambria Math"/>
                      <w:color w:val="000000" w:themeColor="text1"/>
                    </w:rPr>
                  </m:ctrlPr>
                </m:sSupPr>
                <m:e>
                  <m:d>
                    <m:dPr>
                      <m:ctrlPr>
                        <w:rPr>
                          <w:rFonts w:ascii="Cambria Math" w:hAnsi="Cambria Math"/>
                          <w:color w:val="000000" w:themeColor="text1"/>
                        </w:rPr>
                      </m:ctrlPr>
                    </m:dPr>
                    <m:e>
                      <m:f>
                        <m:fPr>
                          <m:ctrlPr>
                            <w:rPr>
                              <w:rFonts w:ascii="Cambria Math" w:hAnsi="Cambria Math"/>
                              <w:color w:val="000000" w:themeColor="text1"/>
                            </w:rPr>
                          </m:ctrlPr>
                        </m:fPr>
                        <m:num>
                          <m:sSup>
                            <m:sSupPr>
                              <m:ctrlPr>
                                <w:rPr>
                                  <w:rFonts w:ascii="Cambria Math" w:hAnsi="Cambria Math"/>
                                  <w:color w:val="000000" w:themeColor="text1"/>
                                </w:rPr>
                              </m:ctrlPr>
                            </m:sSupPr>
                            <m:e>
                              <m:r>
                                <w:rPr>
                                  <w:rFonts w:ascii="Cambria Math" w:hAnsi="Cambria Math"/>
                                  <w:color w:val="000000" w:themeColor="text1"/>
                                </w:rPr>
                                <m:t>x</m:t>
                              </m:r>
                            </m:e>
                            <m:sup>
                              <m:r>
                                <m:rPr>
                                  <m:sty m:val="p"/>
                                </m:rPr>
                                <w:rPr>
                                  <w:rFonts w:ascii="Cambria Math" w:hAnsi="Cambria Math"/>
                                  <w:color w:val="000000" w:themeColor="text1"/>
                                </w:rPr>
                                <m:t>*</m:t>
                              </m:r>
                            </m:sup>
                          </m:sSup>
                        </m:num>
                        <m:den>
                          <m:sSub>
                            <m:sSubPr>
                              <m:ctrlPr>
                                <w:rPr>
                                  <w:rFonts w:ascii="Cambria Math" w:hAnsi="Cambria Math"/>
                                  <w:color w:val="000000" w:themeColor="text1"/>
                                </w:rPr>
                              </m:ctrlPr>
                            </m:sSubPr>
                            <m:e>
                              <m:r>
                                <w:rPr>
                                  <w:rFonts w:ascii="Cambria Math" w:hAnsi="Cambria Math"/>
                                  <w:color w:val="000000" w:themeColor="text1"/>
                                </w:rPr>
                                <m:t>x</m:t>
                              </m:r>
                            </m:e>
                            <m:sub>
                              <m:sSub>
                                <m:sSubPr>
                                  <m:ctrlPr>
                                    <w:rPr>
                                      <w:rFonts w:ascii="Cambria Math" w:hAnsi="Cambria Math"/>
                                      <w:color w:val="000000" w:themeColor="text1"/>
                                    </w:rPr>
                                  </m:ctrlPr>
                                </m:sSubPr>
                                <m:e>
                                  <m:r>
                                    <w:rPr>
                                      <w:rFonts w:ascii="Cambria Math" w:hAnsi="Cambria Math"/>
                                      <w:color w:val="000000" w:themeColor="text1"/>
                                    </w:rPr>
                                    <m:t>t</m:t>
                                  </m:r>
                                </m:e>
                                <m:sub>
                                  <m:r>
                                    <m:rPr>
                                      <m:sty m:val="p"/>
                                    </m:rPr>
                                    <w:rPr>
                                      <w:rFonts w:ascii="Cambria Math" w:hAnsi="Cambria Math"/>
                                      <w:color w:val="000000" w:themeColor="text1"/>
                                    </w:rPr>
                                    <m:t>0</m:t>
                                  </m:r>
                                </m:sub>
                              </m:sSub>
                            </m:sub>
                          </m:sSub>
                        </m:den>
                      </m:f>
                    </m:e>
                  </m:d>
                </m:e>
                <m:sup>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2030-</m:t>
                      </m:r>
                      <m:sSub>
                        <m:sSubPr>
                          <m:ctrlPr>
                            <w:rPr>
                              <w:rFonts w:ascii="Cambria Math" w:hAnsi="Cambria Math"/>
                              <w:color w:val="000000" w:themeColor="text1"/>
                            </w:rPr>
                          </m:ctrlPr>
                        </m:sSubPr>
                        <m:e>
                          <m:r>
                            <w:rPr>
                              <w:rFonts w:ascii="Cambria Math" w:hAnsi="Cambria Math"/>
                              <w:color w:val="000000" w:themeColor="text1"/>
                            </w:rPr>
                            <m:t>t</m:t>
                          </m:r>
                        </m:e>
                        <m:sub>
                          <m:r>
                            <m:rPr>
                              <m:sty m:val="p"/>
                            </m:rPr>
                            <w:rPr>
                              <w:rFonts w:ascii="Cambria Math" w:hAnsi="Cambria Math"/>
                              <w:color w:val="000000" w:themeColor="text1"/>
                            </w:rPr>
                            <m:t>0</m:t>
                          </m:r>
                        </m:sub>
                      </m:sSub>
                    </m:den>
                  </m:f>
                </m:sup>
              </m:sSup>
              <m:r>
                <m:rPr>
                  <m:sty m:val="p"/>
                </m:rPr>
                <w:rPr>
                  <w:rFonts w:ascii="Cambria Math" w:hAnsi="Cambria Math"/>
                  <w:color w:val="000000" w:themeColor="text1"/>
                </w:rPr>
                <m:t>-1</m:t>
              </m:r>
            </m:den>
          </m:f>
        </m:oMath>
      </m:oMathPara>
    </w:p>
    <w:p w14:paraId="61847DA8" w14:textId="097D3F63" w:rsidR="00F41A07" w:rsidRDefault="00F41A07">
      <w:pPr>
        <w:pStyle w:val="MText"/>
      </w:pPr>
      <w:r w:rsidRPr="00EA6907">
        <w:t xml:space="preserve">A full methodological note for each of the </w:t>
      </w:r>
      <w:r w:rsidR="00B24AF8">
        <w:t>7</w:t>
      </w:r>
      <w:r w:rsidRPr="00EA6907">
        <w:t xml:space="preserve"> measures and the two different assessment approaches can be found in the Annex</w:t>
      </w:r>
      <w:r w:rsidR="0073199C">
        <w:t xml:space="preserve"> 2</w:t>
      </w:r>
      <w:r w:rsidRPr="00EA6907">
        <w:t>.</w:t>
      </w:r>
    </w:p>
    <w:p w14:paraId="66B3945F" w14:textId="77777777" w:rsidR="003A0524" w:rsidRDefault="003A0524" w:rsidP="00BD7FAB">
      <w:pPr>
        <w:pStyle w:val="MText"/>
      </w:pPr>
    </w:p>
    <w:p w14:paraId="32D58766" w14:textId="77777777" w:rsidR="00F41A07" w:rsidRPr="000852F2" w:rsidRDefault="00F41A07" w:rsidP="00F41A07">
      <w:pPr>
        <w:rPr>
          <w:b/>
          <w:color w:val="000000" w:themeColor="text1"/>
        </w:rPr>
      </w:pPr>
      <w:r w:rsidRPr="000852F2">
        <w:rPr>
          <w:b/>
          <w:color w:val="000000" w:themeColor="text1"/>
        </w:rPr>
        <w:t>Translation of progress assessment into a country score:</w:t>
      </w:r>
    </w:p>
    <w:p w14:paraId="44B82713" w14:textId="77777777" w:rsidR="00F41A07" w:rsidRDefault="00F41A07" w:rsidP="00F41A07">
      <w:pPr>
        <w:pStyle w:val="ListParagraph"/>
        <w:numPr>
          <w:ilvl w:val="0"/>
          <w:numId w:val="9"/>
        </w:numPr>
        <w:spacing w:after="0" w:line="240" w:lineRule="auto"/>
        <w:rPr>
          <w:b/>
          <w:color w:val="000000" w:themeColor="text1"/>
        </w:rPr>
      </w:pPr>
      <w:r>
        <w:rPr>
          <w:b/>
          <w:color w:val="000000" w:themeColor="text1"/>
        </w:rPr>
        <w:t>Example of country results</w:t>
      </w:r>
    </w:p>
    <w:p w14:paraId="67BFE7A1" w14:textId="5ADF0A97" w:rsidR="00F41A07" w:rsidRDefault="00F41A07" w:rsidP="00BD7FAB">
      <w:pPr>
        <w:pStyle w:val="MText"/>
      </w:pPr>
      <w:r>
        <w:t xml:space="preserve">Country results are disseminated through a set of complementary modalities, including an aggregate score, a dashboard based on traffic-light colours, and a full dataset of absolute values for each of the </w:t>
      </w:r>
      <w:r w:rsidR="00B24AF8">
        <w:t>7</w:t>
      </w:r>
      <w:r>
        <w:t xml:space="preserve"> sub-indicators.</w:t>
      </w:r>
      <w:r w:rsidR="00395BF7">
        <w:t xml:space="preserve"> </w:t>
      </w:r>
      <w:r w:rsidR="00E052C7">
        <w:t>The global SDG database will only disseminate a</w:t>
      </w:r>
      <w:r w:rsidR="00395BF7">
        <w:t xml:space="preserve">ggregate country scores for </w:t>
      </w:r>
      <w:proofErr w:type="gramStart"/>
      <w:r w:rsidR="00395BF7">
        <w:t>current status</w:t>
      </w:r>
      <w:proofErr w:type="gramEnd"/>
      <w:r w:rsidR="00395BF7">
        <w:t xml:space="preserve"> </w:t>
      </w:r>
      <w:r w:rsidR="00395BF7">
        <w:lastRenderedPageBreak/>
        <w:t>and trend toward productive and sustainable agriculture</w:t>
      </w:r>
      <w:r w:rsidR="00E052C7">
        <w:t xml:space="preserve">. More granular </w:t>
      </w:r>
      <w:r w:rsidR="00F144C6">
        <w:t xml:space="preserve">scores at the level of the 7-sub-indicators, along with complementary dashboards and visualizations can be accessed </w:t>
      </w:r>
      <w:r w:rsidR="00E05552">
        <w:t>through</w:t>
      </w:r>
      <w:r w:rsidR="00F144C6">
        <w:t xml:space="preserve"> FAO’s dedicated </w:t>
      </w:r>
      <w:proofErr w:type="spellStart"/>
      <w:r w:rsidR="00F144C6">
        <w:t>shinyapp</w:t>
      </w:r>
      <w:proofErr w:type="spellEnd"/>
      <w:r w:rsidR="00F144C6">
        <w:t xml:space="preserve"> here: </w:t>
      </w:r>
      <w:hyperlink r:id="rId16" w:history="1">
        <w:r w:rsidR="00F144C6">
          <w:rPr>
            <w:rStyle w:val="Hyperlink"/>
          </w:rPr>
          <w:t>https://foodandagricultureorganization.shinyapps.io/SDG_241_PROXY/</w:t>
        </w:r>
      </w:hyperlink>
    </w:p>
    <w:p w14:paraId="482602A0" w14:textId="77777777" w:rsidR="00F41A07" w:rsidRDefault="00F41A07" w:rsidP="00F41A07">
      <w:pPr>
        <w:pStyle w:val="ListParagraph"/>
        <w:numPr>
          <w:ilvl w:val="0"/>
          <w:numId w:val="10"/>
        </w:numPr>
        <w:spacing w:after="0" w:line="240" w:lineRule="auto"/>
        <w:rPr>
          <w:b/>
          <w:color w:val="000000" w:themeColor="text1"/>
        </w:rPr>
      </w:pPr>
      <w:r>
        <w:rPr>
          <w:b/>
          <w:color w:val="000000" w:themeColor="text1"/>
        </w:rPr>
        <w:t>Aggregate single-country score</w:t>
      </w:r>
    </w:p>
    <w:p w14:paraId="753F869E" w14:textId="77777777" w:rsidR="00F41A07" w:rsidRDefault="00F41A07" w:rsidP="00BD7FAB">
      <w:pPr>
        <w:pStyle w:val="MText"/>
      </w:pPr>
      <w:r>
        <w:t xml:space="preserve">For each country, scores assigned to each sub-indicator based on the applicable method described in Annexes 2 and 3 </w:t>
      </w:r>
      <w:r w:rsidR="000C1009">
        <w:t>are</w:t>
      </w:r>
      <w:r>
        <w:t xml:space="preserve"> averaged, and the average score determine</w:t>
      </w:r>
      <w:r w:rsidR="000C1009">
        <w:t>s</w:t>
      </w:r>
      <w:r>
        <w:t xml:space="preserve"> the classification of the country into one of five bands with respect to the </w:t>
      </w:r>
      <w:r>
        <w:rPr>
          <w:u w:val="single"/>
        </w:rPr>
        <w:t>trend</w:t>
      </w:r>
      <w:r w:rsidRPr="0066115D">
        <w:rPr>
          <w:u w:val="single"/>
        </w:rPr>
        <w:t xml:space="preserve"> towards</w:t>
      </w:r>
      <w:r>
        <w:t xml:space="preserve"> productive and sustainable agriculture as well as </w:t>
      </w:r>
      <w:r w:rsidRPr="0066115D">
        <w:rPr>
          <w:u w:val="single"/>
        </w:rPr>
        <w:t>status with respect to</w:t>
      </w:r>
      <w:r>
        <w:t xml:space="preserve"> productive and sustainable agriculture, as follows:</w:t>
      </w:r>
    </w:p>
    <w:p w14:paraId="55E102A2" w14:textId="77777777" w:rsidR="005F2F9F" w:rsidRDefault="005F2F9F" w:rsidP="00F41A07">
      <w:pPr>
        <w:spacing w:after="120"/>
        <w:rPr>
          <w:color w:val="000000" w:themeColor="text1"/>
        </w:rPr>
      </w:pPr>
    </w:p>
    <w:tbl>
      <w:tblPr>
        <w:tblStyle w:val="PlainTable2"/>
        <w:tblW w:w="9498" w:type="dxa"/>
        <w:jc w:val="center"/>
        <w:tblLook w:val="04A0" w:firstRow="1" w:lastRow="0" w:firstColumn="1" w:lastColumn="0" w:noHBand="0" w:noVBand="1"/>
      </w:tblPr>
      <w:tblGrid>
        <w:gridCol w:w="1276"/>
        <w:gridCol w:w="8222"/>
      </w:tblGrid>
      <w:tr w:rsidR="00F41A07" w:rsidRPr="00B961AF" w14:paraId="1AB2458E" w14:textId="77777777" w:rsidTr="005D1B4F">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211C5B14" w14:textId="77777777" w:rsidR="00F41A07" w:rsidRPr="00B961AF" w:rsidRDefault="00F41A07" w:rsidP="005D1B4F">
            <w:pPr>
              <w:rPr>
                <w:color w:val="000000" w:themeColor="text1"/>
                <w:lang w:val="en-GB"/>
              </w:rPr>
            </w:pPr>
            <w:r>
              <w:br w:type="page"/>
            </w:r>
            <w:r w:rsidRPr="00B961AF">
              <w:rPr>
                <w:color w:val="000000" w:themeColor="text1"/>
                <w:lang w:val="en-GB"/>
              </w:rPr>
              <w:t>Score</w:t>
            </w:r>
          </w:p>
        </w:tc>
        <w:tc>
          <w:tcPr>
            <w:tcW w:w="8222" w:type="dxa"/>
          </w:tcPr>
          <w:p w14:paraId="57DED585" w14:textId="77777777" w:rsidR="00F41A07" w:rsidRPr="00B961AF" w:rsidRDefault="00F41A07" w:rsidP="005D1B4F">
            <w:pPr>
              <w:cnfStyle w:val="100000000000" w:firstRow="1"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T</w:t>
            </w:r>
            <w:r w:rsidRPr="00633C9D">
              <w:rPr>
                <w:color w:val="000000" w:themeColor="text1"/>
                <w:lang w:val="en-GB"/>
              </w:rPr>
              <w:t>rend towards productive and sustainable agriculture</w:t>
            </w:r>
          </w:p>
        </w:tc>
      </w:tr>
      <w:tr w:rsidR="00F41A07" w:rsidRPr="00B961AF" w14:paraId="39C2063B" w14:textId="77777777" w:rsidTr="005D1B4F">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44232430" w14:textId="77777777" w:rsidR="00F41A07" w:rsidRPr="00B961AF" w:rsidRDefault="00F41A07" w:rsidP="005D1B4F">
            <w:pPr>
              <w:rPr>
                <w:color w:val="000000" w:themeColor="text1"/>
                <w:lang w:val="en-GB"/>
              </w:rPr>
            </w:pPr>
            <w:r>
              <w:rPr>
                <w:color w:val="000000" w:themeColor="text1"/>
                <w:lang w:val="en-GB"/>
              </w:rPr>
              <w:t>1</w:t>
            </w:r>
            <w:r w:rsidRPr="00B961AF">
              <w:rPr>
                <w:color w:val="000000" w:themeColor="text1"/>
                <w:lang w:val="en-GB"/>
              </w:rPr>
              <w:t xml:space="preserve"> –&lt; </w:t>
            </w:r>
            <w:r>
              <w:rPr>
                <w:color w:val="000000" w:themeColor="text1"/>
                <w:lang w:val="en-GB"/>
              </w:rPr>
              <w:t>1.5</w:t>
            </w:r>
          </w:p>
        </w:tc>
        <w:tc>
          <w:tcPr>
            <w:tcW w:w="8222" w:type="dxa"/>
          </w:tcPr>
          <w:p w14:paraId="133029D8" w14:textId="77777777" w:rsidR="00F41A07" w:rsidRPr="00B961AF" w:rsidRDefault="00F41A07" w:rsidP="005D1B4F">
            <w:pPr>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B961AF">
              <w:rPr>
                <w:color w:val="000000" w:themeColor="text1"/>
                <w:lang w:val="en-GB"/>
              </w:rPr>
              <w:t xml:space="preserve">Band 1: </w:t>
            </w:r>
            <w:r>
              <w:rPr>
                <w:color w:val="000000" w:themeColor="text1"/>
                <w:lang w:val="en-GB"/>
              </w:rPr>
              <w:t>Deterioration away from productive and sustainable agriculture</w:t>
            </w:r>
          </w:p>
        </w:tc>
      </w:tr>
      <w:tr w:rsidR="00F41A07" w:rsidRPr="00B961AF" w14:paraId="022A07B2" w14:textId="77777777" w:rsidTr="005D1B4F">
        <w:trPr>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6375D934" w14:textId="77777777" w:rsidR="00F41A07" w:rsidRPr="00B961AF" w:rsidRDefault="00F41A07" w:rsidP="005D1B4F">
            <w:pPr>
              <w:rPr>
                <w:color w:val="000000" w:themeColor="text1"/>
                <w:lang w:val="en-GB"/>
              </w:rPr>
            </w:pPr>
            <w:r>
              <w:rPr>
                <w:color w:val="000000" w:themeColor="text1"/>
                <w:lang w:val="en-GB"/>
              </w:rPr>
              <w:t>1.5</w:t>
            </w:r>
            <w:r w:rsidRPr="00B961AF">
              <w:rPr>
                <w:color w:val="000000" w:themeColor="text1"/>
                <w:lang w:val="en-GB"/>
              </w:rPr>
              <w:t xml:space="preserve"> –&lt;</w:t>
            </w:r>
            <w:r>
              <w:rPr>
                <w:color w:val="000000" w:themeColor="text1"/>
                <w:lang w:val="en-GB"/>
              </w:rPr>
              <w:t xml:space="preserve"> 2.5</w:t>
            </w:r>
          </w:p>
        </w:tc>
        <w:tc>
          <w:tcPr>
            <w:tcW w:w="8222" w:type="dxa"/>
          </w:tcPr>
          <w:p w14:paraId="3B1A7C94" w14:textId="77777777" w:rsidR="00F41A07" w:rsidRPr="00B961AF" w:rsidRDefault="00F41A07" w:rsidP="005D1B4F">
            <w:pPr>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Band 2: Slight deterioration from productive and sustainable agriculture</w:t>
            </w:r>
          </w:p>
        </w:tc>
      </w:tr>
      <w:tr w:rsidR="00F41A07" w:rsidRPr="00B961AF" w14:paraId="20ABFC65" w14:textId="77777777" w:rsidTr="005D1B4F">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2175E78C" w14:textId="77777777" w:rsidR="00F41A07" w:rsidRPr="00B961AF" w:rsidRDefault="00F41A07" w:rsidP="005D1B4F">
            <w:pPr>
              <w:rPr>
                <w:color w:val="000000" w:themeColor="text1"/>
                <w:lang w:val="en-GB"/>
              </w:rPr>
            </w:pPr>
            <w:r>
              <w:rPr>
                <w:color w:val="000000" w:themeColor="text1"/>
                <w:lang w:val="en-GB"/>
              </w:rPr>
              <w:t>2.5 –&lt; 3.5</w:t>
            </w:r>
          </w:p>
        </w:tc>
        <w:tc>
          <w:tcPr>
            <w:tcW w:w="8222" w:type="dxa"/>
          </w:tcPr>
          <w:p w14:paraId="43409BF6" w14:textId="77777777" w:rsidR="00F41A07" w:rsidRPr="00B961AF" w:rsidRDefault="00F41A07" w:rsidP="005D1B4F">
            <w:pPr>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B961AF">
              <w:rPr>
                <w:color w:val="000000" w:themeColor="text1"/>
                <w:lang w:val="en-GB"/>
              </w:rPr>
              <w:t xml:space="preserve">Band 3: </w:t>
            </w:r>
            <w:r>
              <w:rPr>
                <w:color w:val="000000" w:themeColor="text1"/>
                <w:lang w:val="en-GB"/>
              </w:rPr>
              <w:t>No improvement towards productive and sustainable agriculture</w:t>
            </w:r>
          </w:p>
        </w:tc>
      </w:tr>
      <w:tr w:rsidR="00F41A07" w:rsidRPr="00B961AF" w14:paraId="4804B813" w14:textId="77777777" w:rsidTr="005D1B4F">
        <w:trPr>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00FE61DF" w14:textId="77777777" w:rsidR="00F41A07" w:rsidRPr="00B961AF" w:rsidRDefault="00F41A07" w:rsidP="005D1B4F">
            <w:pPr>
              <w:rPr>
                <w:color w:val="000000" w:themeColor="text1"/>
                <w:lang w:val="en-GB"/>
              </w:rPr>
            </w:pPr>
            <w:r>
              <w:rPr>
                <w:color w:val="000000" w:themeColor="text1"/>
                <w:lang w:val="en-GB"/>
              </w:rPr>
              <w:t>3.5 –&lt; 4.5</w:t>
            </w:r>
          </w:p>
        </w:tc>
        <w:tc>
          <w:tcPr>
            <w:tcW w:w="8222" w:type="dxa"/>
          </w:tcPr>
          <w:p w14:paraId="39FD5DD0" w14:textId="77777777" w:rsidR="00F41A07" w:rsidRPr="00B961AF" w:rsidRDefault="00F41A07" w:rsidP="005D1B4F">
            <w:pPr>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Band 4: Slight improvement towards productive and sustainable agriculture</w:t>
            </w:r>
          </w:p>
        </w:tc>
      </w:tr>
      <w:tr w:rsidR="00F41A07" w:rsidRPr="00B961AF" w14:paraId="03AAA877" w14:textId="77777777" w:rsidTr="005D1B4F">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78168917" w14:textId="77777777" w:rsidR="00F41A07" w:rsidRPr="00B961AF" w:rsidRDefault="00F41A07" w:rsidP="005D1B4F">
            <w:pPr>
              <w:rPr>
                <w:color w:val="000000" w:themeColor="text1"/>
                <w:lang w:val="en-GB"/>
              </w:rPr>
            </w:pPr>
            <w:r>
              <w:rPr>
                <w:color w:val="000000" w:themeColor="text1"/>
                <w:lang w:val="en-GB"/>
              </w:rPr>
              <w:t>4.5 – 5</w:t>
            </w:r>
          </w:p>
        </w:tc>
        <w:tc>
          <w:tcPr>
            <w:tcW w:w="8222" w:type="dxa"/>
          </w:tcPr>
          <w:p w14:paraId="13962F8B" w14:textId="77777777" w:rsidR="00F41A07" w:rsidRPr="00B961AF" w:rsidRDefault="00F41A07" w:rsidP="005D1B4F">
            <w:pPr>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Band 5: Improvement towards productive and sustainable agriculture</w:t>
            </w:r>
          </w:p>
        </w:tc>
      </w:tr>
    </w:tbl>
    <w:p w14:paraId="450D7CDA" w14:textId="77777777" w:rsidR="00F41A07" w:rsidRPr="00190B88" w:rsidRDefault="00F41A07" w:rsidP="00F41A07">
      <w:pPr>
        <w:rPr>
          <w:b/>
          <w:color w:val="000000" w:themeColor="text1"/>
          <w:sz w:val="14"/>
          <w:szCs w:val="10"/>
        </w:rPr>
      </w:pPr>
    </w:p>
    <w:tbl>
      <w:tblPr>
        <w:tblStyle w:val="PlainTable2"/>
        <w:tblW w:w="9498" w:type="dxa"/>
        <w:jc w:val="center"/>
        <w:tblLook w:val="04A0" w:firstRow="1" w:lastRow="0" w:firstColumn="1" w:lastColumn="0" w:noHBand="0" w:noVBand="1"/>
      </w:tblPr>
      <w:tblGrid>
        <w:gridCol w:w="1276"/>
        <w:gridCol w:w="8222"/>
      </w:tblGrid>
      <w:tr w:rsidR="00F41A07" w:rsidRPr="00B961AF" w14:paraId="1FAE7168" w14:textId="77777777" w:rsidTr="005D1B4F">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317B83B3" w14:textId="77777777" w:rsidR="00F41A07" w:rsidRPr="00B961AF" w:rsidRDefault="00F41A07" w:rsidP="005D1B4F">
            <w:pPr>
              <w:rPr>
                <w:color w:val="000000" w:themeColor="text1"/>
                <w:lang w:val="en-GB"/>
              </w:rPr>
            </w:pPr>
            <w:r w:rsidRPr="00B961AF">
              <w:rPr>
                <w:color w:val="000000" w:themeColor="text1"/>
                <w:lang w:val="en-GB"/>
              </w:rPr>
              <w:t>Score</w:t>
            </w:r>
          </w:p>
        </w:tc>
        <w:tc>
          <w:tcPr>
            <w:tcW w:w="8222" w:type="dxa"/>
          </w:tcPr>
          <w:p w14:paraId="6A782EF6" w14:textId="77777777" w:rsidR="00F41A07" w:rsidRPr="00B961AF" w:rsidRDefault="00F41A07" w:rsidP="005D1B4F">
            <w:pPr>
              <w:cnfStyle w:val="100000000000" w:firstRow="1" w:lastRow="0" w:firstColumn="0" w:lastColumn="0" w:oddVBand="0" w:evenVBand="0" w:oddHBand="0" w:evenHBand="0" w:firstRowFirstColumn="0" w:firstRowLastColumn="0" w:lastRowFirstColumn="0" w:lastRowLastColumn="0"/>
              <w:rPr>
                <w:color w:val="000000" w:themeColor="text1"/>
                <w:lang w:val="en-GB"/>
              </w:rPr>
            </w:pPr>
            <w:proofErr w:type="gramStart"/>
            <w:r>
              <w:rPr>
                <w:color w:val="000000" w:themeColor="text1"/>
                <w:lang w:val="en-GB"/>
              </w:rPr>
              <w:t>Current status</w:t>
            </w:r>
            <w:proofErr w:type="gramEnd"/>
            <w:r>
              <w:rPr>
                <w:color w:val="000000" w:themeColor="text1"/>
                <w:lang w:val="en-GB"/>
              </w:rPr>
              <w:t xml:space="preserve"> with respect to</w:t>
            </w:r>
            <w:r w:rsidRPr="00633C9D">
              <w:rPr>
                <w:color w:val="000000" w:themeColor="text1"/>
                <w:lang w:val="en-GB"/>
              </w:rPr>
              <w:t xml:space="preserve"> productive and sustainable agriculture</w:t>
            </w:r>
          </w:p>
        </w:tc>
      </w:tr>
      <w:tr w:rsidR="00F41A07" w:rsidRPr="00B961AF" w14:paraId="714750FD" w14:textId="77777777" w:rsidTr="005D1B4F">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024154B0" w14:textId="77777777" w:rsidR="00F41A07" w:rsidRPr="00B961AF" w:rsidRDefault="00F41A07" w:rsidP="005D1B4F">
            <w:pPr>
              <w:rPr>
                <w:color w:val="000000" w:themeColor="text1"/>
                <w:lang w:val="en-GB"/>
              </w:rPr>
            </w:pPr>
            <w:r>
              <w:rPr>
                <w:color w:val="000000" w:themeColor="text1"/>
                <w:lang w:val="en-GB"/>
              </w:rPr>
              <w:t>1</w:t>
            </w:r>
            <w:r w:rsidRPr="00B961AF">
              <w:rPr>
                <w:color w:val="000000" w:themeColor="text1"/>
                <w:lang w:val="en-GB"/>
              </w:rPr>
              <w:t xml:space="preserve"> –&lt; </w:t>
            </w:r>
            <w:r>
              <w:rPr>
                <w:color w:val="000000" w:themeColor="text1"/>
                <w:lang w:val="en-GB"/>
              </w:rPr>
              <w:t>1.5</w:t>
            </w:r>
          </w:p>
        </w:tc>
        <w:tc>
          <w:tcPr>
            <w:tcW w:w="8222" w:type="dxa"/>
          </w:tcPr>
          <w:p w14:paraId="1F5A965E" w14:textId="77777777" w:rsidR="00F41A07" w:rsidRPr="00B961AF" w:rsidRDefault="00F41A07" w:rsidP="005D1B4F">
            <w:pPr>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B961AF">
              <w:rPr>
                <w:color w:val="000000" w:themeColor="text1"/>
                <w:lang w:val="en-GB"/>
              </w:rPr>
              <w:t xml:space="preserve">Band 1: </w:t>
            </w:r>
            <w:r>
              <w:rPr>
                <w:color w:val="000000" w:themeColor="text1"/>
                <w:lang w:val="en-GB"/>
              </w:rPr>
              <w:t>Very far from achieving productive and sustainable agriculture</w:t>
            </w:r>
          </w:p>
        </w:tc>
      </w:tr>
      <w:tr w:rsidR="00F41A07" w:rsidRPr="00B961AF" w14:paraId="20208740" w14:textId="77777777" w:rsidTr="005D1B4F">
        <w:trPr>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57FAFDA2" w14:textId="77777777" w:rsidR="00F41A07" w:rsidRPr="00B961AF" w:rsidRDefault="00F41A07" w:rsidP="005D1B4F">
            <w:pPr>
              <w:rPr>
                <w:color w:val="000000" w:themeColor="text1"/>
                <w:lang w:val="en-GB"/>
              </w:rPr>
            </w:pPr>
            <w:r>
              <w:rPr>
                <w:color w:val="000000" w:themeColor="text1"/>
                <w:lang w:val="en-GB"/>
              </w:rPr>
              <w:t>1.5</w:t>
            </w:r>
            <w:r w:rsidRPr="00B961AF">
              <w:rPr>
                <w:color w:val="000000" w:themeColor="text1"/>
                <w:lang w:val="en-GB"/>
              </w:rPr>
              <w:t xml:space="preserve"> –&lt;</w:t>
            </w:r>
            <w:r>
              <w:rPr>
                <w:color w:val="000000" w:themeColor="text1"/>
                <w:lang w:val="en-GB"/>
              </w:rPr>
              <w:t xml:space="preserve"> 2.5</w:t>
            </w:r>
          </w:p>
        </w:tc>
        <w:tc>
          <w:tcPr>
            <w:tcW w:w="8222" w:type="dxa"/>
          </w:tcPr>
          <w:p w14:paraId="52E11647" w14:textId="77777777" w:rsidR="00F41A07" w:rsidRPr="00B961AF" w:rsidRDefault="00F41A07" w:rsidP="005D1B4F">
            <w:pPr>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Band 2: Far from achieving productive and sustainable agriculture</w:t>
            </w:r>
          </w:p>
        </w:tc>
      </w:tr>
      <w:tr w:rsidR="00F41A07" w:rsidRPr="00B961AF" w14:paraId="5520C531" w14:textId="77777777" w:rsidTr="005D1B4F">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1AF1537B" w14:textId="77777777" w:rsidR="00F41A07" w:rsidRPr="00B961AF" w:rsidRDefault="00F41A07" w:rsidP="005D1B4F">
            <w:pPr>
              <w:rPr>
                <w:color w:val="000000" w:themeColor="text1"/>
                <w:lang w:val="en-GB"/>
              </w:rPr>
            </w:pPr>
            <w:r>
              <w:rPr>
                <w:color w:val="000000" w:themeColor="text1"/>
                <w:lang w:val="en-GB"/>
              </w:rPr>
              <w:t>2.5 –&lt; 3.5</w:t>
            </w:r>
          </w:p>
        </w:tc>
        <w:tc>
          <w:tcPr>
            <w:tcW w:w="8222" w:type="dxa"/>
          </w:tcPr>
          <w:p w14:paraId="371C561F" w14:textId="10545657" w:rsidR="00F41A07" w:rsidRPr="00B961AF" w:rsidRDefault="00F41A07" w:rsidP="005D1B4F">
            <w:pPr>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B961AF">
              <w:rPr>
                <w:color w:val="000000" w:themeColor="text1"/>
                <w:lang w:val="en-GB"/>
              </w:rPr>
              <w:t xml:space="preserve">Band 3: </w:t>
            </w:r>
            <w:r>
              <w:rPr>
                <w:color w:val="000000" w:themeColor="text1"/>
                <w:lang w:val="en-GB"/>
              </w:rPr>
              <w:t xml:space="preserve"> </w:t>
            </w:r>
            <w:r w:rsidR="00A734D9">
              <w:rPr>
                <w:color w:val="000000" w:themeColor="text1"/>
                <w:lang w:val="en-GB"/>
              </w:rPr>
              <w:t xml:space="preserve">At a moderate distance </w:t>
            </w:r>
            <w:r>
              <w:rPr>
                <w:color w:val="000000" w:themeColor="text1"/>
                <w:lang w:val="en-GB"/>
              </w:rPr>
              <w:t>to achieving productive and sustainable agriculture</w:t>
            </w:r>
          </w:p>
        </w:tc>
      </w:tr>
      <w:tr w:rsidR="00F41A07" w:rsidRPr="00B961AF" w14:paraId="0C2D1303" w14:textId="77777777" w:rsidTr="005D1B4F">
        <w:trPr>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6539D226" w14:textId="77777777" w:rsidR="00F41A07" w:rsidRPr="00B961AF" w:rsidRDefault="00F41A07" w:rsidP="005D1B4F">
            <w:pPr>
              <w:rPr>
                <w:color w:val="000000" w:themeColor="text1"/>
                <w:lang w:val="en-GB"/>
              </w:rPr>
            </w:pPr>
            <w:r>
              <w:rPr>
                <w:color w:val="000000" w:themeColor="text1"/>
                <w:lang w:val="en-GB"/>
              </w:rPr>
              <w:t>3.5 –&lt; 4.5</w:t>
            </w:r>
          </w:p>
        </w:tc>
        <w:tc>
          <w:tcPr>
            <w:tcW w:w="8222" w:type="dxa"/>
          </w:tcPr>
          <w:p w14:paraId="763FE47A" w14:textId="0E8113F6" w:rsidR="00F41A07" w:rsidRPr="00B961AF" w:rsidRDefault="00F41A07" w:rsidP="005D1B4F">
            <w:pPr>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Band 4: </w:t>
            </w:r>
            <w:r w:rsidR="00A734D9">
              <w:rPr>
                <w:color w:val="000000" w:themeColor="text1"/>
                <w:lang w:val="en-GB"/>
              </w:rPr>
              <w:t>C</w:t>
            </w:r>
            <w:r>
              <w:rPr>
                <w:color w:val="000000" w:themeColor="text1"/>
                <w:lang w:val="en-GB"/>
              </w:rPr>
              <w:t>lose to achieving productive and sustainable agriculture</w:t>
            </w:r>
          </w:p>
        </w:tc>
      </w:tr>
      <w:tr w:rsidR="00F41A07" w:rsidRPr="00B961AF" w14:paraId="78EDB076" w14:textId="77777777" w:rsidTr="005D1B4F">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383F02C7" w14:textId="77777777" w:rsidR="00F41A07" w:rsidRPr="00B961AF" w:rsidRDefault="00F41A07" w:rsidP="005D1B4F">
            <w:pPr>
              <w:rPr>
                <w:color w:val="000000" w:themeColor="text1"/>
                <w:lang w:val="en-GB"/>
              </w:rPr>
            </w:pPr>
            <w:r>
              <w:rPr>
                <w:color w:val="000000" w:themeColor="text1"/>
                <w:lang w:val="en-GB"/>
              </w:rPr>
              <w:t>4.5 – 5</w:t>
            </w:r>
          </w:p>
        </w:tc>
        <w:tc>
          <w:tcPr>
            <w:tcW w:w="8222" w:type="dxa"/>
          </w:tcPr>
          <w:p w14:paraId="645A57F8" w14:textId="77777777" w:rsidR="00F41A07" w:rsidRPr="00B961AF" w:rsidRDefault="00F41A07" w:rsidP="005D1B4F">
            <w:pPr>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Band 5: Productive and sustainable agriculture already achieved</w:t>
            </w:r>
          </w:p>
        </w:tc>
      </w:tr>
    </w:tbl>
    <w:p w14:paraId="5197AA3C" w14:textId="77777777" w:rsidR="00F41A07" w:rsidRPr="00190B88" w:rsidRDefault="00F41A07" w:rsidP="00F41A07">
      <w:pPr>
        <w:rPr>
          <w:color w:val="000000" w:themeColor="text1"/>
          <w:sz w:val="8"/>
          <w:szCs w:val="8"/>
        </w:rPr>
      </w:pPr>
    </w:p>
    <w:p w14:paraId="426A93F1" w14:textId="77777777" w:rsidR="00F41A07" w:rsidRDefault="00F41A07" w:rsidP="00BD7FAB">
      <w:pPr>
        <w:pStyle w:val="MText"/>
      </w:pPr>
      <w:r>
        <w:t>The two conditions for proceeding to the calculation (if not met, no score is calculated) are:</w:t>
      </w:r>
    </w:p>
    <w:p w14:paraId="0DBA5DB8" w14:textId="76A718B6" w:rsidR="00F41A07" w:rsidRPr="00BD7FAB" w:rsidRDefault="00F41A07" w:rsidP="00F41A07">
      <w:pPr>
        <w:pStyle w:val="ListParagraph"/>
        <w:numPr>
          <w:ilvl w:val="0"/>
          <w:numId w:val="11"/>
        </w:numPr>
        <w:spacing w:after="0" w:line="240" w:lineRule="auto"/>
        <w:rPr>
          <w:color w:val="4A4A4A"/>
          <w:sz w:val="21"/>
          <w:szCs w:val="21"/>
        </w:rPr>
      </w:pPr>
      <w:r w:rsidRPr="00BD7FAB">
        <w:rPr>
          <w:color w:val="4A4A4A"/>
          <w:sz w:val="21"/>
          <w:szCs w:val="21"/>
        </w:rPr>
        <w:t xml:space="preserve">A minimum of 4 out of </w:t>
      </w:r>
      <w:r w:rsidR="00B24AF8" w:rsidRPr="00BD7FAB">
        <w:rPr>
          <w:color w:val="4A4A4A"/>
          <w:sz w:val="21"/>
          <w:szCs w:val="21"/>
        </w:rPr>
        <w:t>7</w:t>
      </w:r>
      <w:r w:rsidRPr="00BD7FAB">
        <w:rPr>
          <w:color w:val="4A4A4A"/>
          <w:sz w:val="21"/>
          <w:szCs w:val="21"/>
        </w:rPr>
        <w:t xml:space="preserve"> sub-</w:t>
      </w:r>
      <w:proofErr w:type="gramStart"/>
      <w:r w:rsidRPr="00BD7FAB">
        <w:rPr>
          <w:color w:val="4A4A4A"/>
          <w:sz w:val="21"/>
          <w:szCs w:val="21"/>
        </w:rPr>
        <w:t>indicator</w:t>
      </w:r>
      <w:proofErr w:type="gramEnd"/>
      <w:r w:rsidRPr="00BD7FAB">
        <w:rPr>
          <w:color w:val="4A4A4A"/>
          <w:sz w:val="21"/>
          <w:szCs w:val="21"/>
        </w:rPr>
        <w:t xml:space="preserve"> are available for the country</w:t>
      </w:r>
    </w:p>
    <w:p w14:paraId="41AA152A" w14:textId="77777777" w:rsidR="00F41A07" w:rsidRPr="00BD7FAB" w:rsidRDefault="00F41A07" w:rsidP="00F41A07">
      <w:pPr>
        <w:pStyle w:val="ListParagraph"/>
        <w:numPr>
          <w:ilvl w:val="0"/>
          <w:numId w:val="11"/>
        </w:numPr>
        <w:spacing w:after="0" w:line="240" w:lineRule="auto"/>
        <w:rPr>
          <w:color w:val="4A4A4A"/>
          <w:sz w:val="21"/>
          <w:szCs w:val="21"/>
        </w:rPr>
      </w:pPr>
      <w:r w:rsidRPr="00BD7FAB">
        <w:rPr>
          <w:color w:val="4A4A4A"/>
          <w:sz w:val="21"/>
          <w:szCs w:val="21"/>
        </w:rPr>
        <w:t>A minimum of 1 sub-indicator for social &amp; economic dimension and 2 sub-indicators for the environmental dimension</w:t>
      </w:r>
    </w:p>
    <w:p w14:paraId="34FAC460" w14:textId="77777777" w:rsidR="00F41A07" w:rsidRPr="005C4FCE" w:rsidRDefault="00F41A07" w:rsidP="00F41A07">
      <w:pPr>
        <w:pStyle w:val="ListParagraph"/>
        <w:rPr>
          <w:color w:val="000000" w:themeColor="text1"/>
        </w:rPr>
      </w:pPr>
    </w:p>
    <w:p w14:paraId="134C61BB" w14:textId="77777777" w:rsidR="00F41A07" w:rsidRDefault="00F41A07" w:rsidP="000C1009">
      <w:pPr>
        <w:pStyle w:val="ListParagraph"/>
        <w:numPr>
          <w:ilvl w:val="0"/>
          <w:numId w:val="10"/>
        </w:numPr>
        <w:spacing w:after="0" w:line="240" w:lineRule="auto"/>
        <w:rPr>
          <w:b/>
          <w:color w:val="000000" w:themeColor="text1"/>
        </w:rPr>
      </w:pPr>
      <w:r>
        <w:rPr>
          <w:b/>
          <w:color w:val="000000" w:themeColor="text1"/>
        </w:rPr>
        <w:t>Single country dashboard</w:t>
      </w:r>
    </w:p>
    <w:p w14:paraId="744E0804" w14:textId="386A3EAC" w:rsidR="00F41A07" w:rsidRDefault="00F41A07" w:rsidP="00BD7FAB">
      <w:pPr>
        <w:pStyle w:val="MText"/>
      </w:pPr>
      <w:r>
        <w:t xml:space="preserve">For additional insight into the situation of a particular country, it is possible to display a dashboard of results for its trend and </w:t>
      </w:r>
      <w:proofErr w:type="gramStart"/>
      <w:r>
        <w:t>current status</w:t>
      </w:r>
      <w:proofErr w:type="gramEnd"/>
      <w:r>
        <w:t xml:space="preserve"> with respect to productive and sustainable agriculture. In the example below, we can see that the country is making slight or good progress towards </w:t>
      </w:r>
      <w:proofErr w:type="gramStart"/>
      <w:r>
        <w:t>a number of</w:t>
      </w:r>
      <w:proofErr w:type="gramEnd"/>
      <w:r>
        <w:t xml:space="preserve"> </w:t>
      </w:r>
      <w:r w:rsidR="000C1009">
        <w:t>sub-</w:t>
      </w:r>
      <w:r>
        <w:t xml:space="preserve"> indicators, yet it is still far or very far from the target for most indicators.</w:t>
      </w:r>
    </w:p>
    <w:p w14:paraId="7E40C945" w14:textId="4AF2C2F2" w:rsidR="005F2F9F" w:rsidRDefault="00F41A07" w:rsidP="00BD7FAB">
      <w:pPr>
        <w:pStyle w:val="MText"/>
      </w:pPr>
      <w:r>
        <w:t>By applying the scoring system, the country will be categorized into Band 4 with respect to trend and into Band 2 with respect to Current Status. Therefore, the country is making “slight improvement towards productive and sustainable agriculture”, even though it is still “far from achieving productive and sustainable agriculture”.</w:t>
      </w:r>
    </w:p>
    <w:p w14:paraId="23DDD1D9" w14:textId="77777777" w:rsidR="00F553BC" w:rsidRDefault="00F553BC" w:rsidP="002A733C">
      <w:pPr>
        <w:spacing w:after="0"/>
        <w:rPr>
          <w:color w:val="4A4A4A"/>
        </w:rPr>
      </w:pPr>
    </w:p>
    <w:p w14:paraId="55F0BEB2" w14:textId="24386DED" w:rsidR="000C1009" w:rsidRPr="00BD7FAB" w:rsidRDefault="000C1009" w:rsidP="00E60315">
      <w:pPr>
        <w:rPr>
          <w:color w:val="4A4A4A"/>
        </w:rPr>
      </w:pPr>
      <w:r w:rsidRPr="00BD7FAB">
        <w:rPr>
          <w:color w:val="4A4A4A"/>
        </w:rPr>
        <w:t>Table 2. Country level dashboard example</w:t>
      </w:r>
    </w:p>
    <w:tbl>
      <w:tblPr>
        <w:tblW w:w="9696" w:type="dxa"/>
        <w:shd w:val="clear" w:color="auto" w:fill="FFFFFF"/>
        <w:tblLook w:val="04A0" w:firstRow="1" w:lastRow="0" w:firstColumn="1" w:lastColumn="0" w:noHBand="0" w:noVBand="1"/>
      </w:tblPr>
      <w:tblGrid>
        <w:gridCol w:w="5200"/>
        <w:gridCol w:w="2353"/>
        <w:gridCol w:w="2143"/>
      </w:tblGrid>
      <w:tr w:rsidR="007F51A4" w:rsidRPr="00F553BC" w14:paraId="2A2D35DD" w14:textId="77777777" w:rsidTr="007F51A4">
        <w:trPr>
          <w:trHeight w:val="291"/>
        </w:trPr>
        <w:tc>
          <w:tcPr>
            <w:tcW w:w="5200" w:type="dxa"/>
            <w:tcBorders>
              <w:top w:val="single" w:sz="4" w:space="0" w:color="auto"/>
              <w:left w:val="single" w:sz="4" w:space="0" w:color="auto"/>
              <w:right w:val="single" w:sz="4" w:space="0" w:color="auto"/>
            </w:tcBorders>
            <w:shd w:val="clear" w:color="auto" w:fill="auto"/>
          </w:tcPr>
          <w:p w14:paraId="5A21EC40" w14:textId="77777777" w:rsidR="007F51A4" w:rsidRPr="002A733C" w:rsidRDefault="007F51A4" w:rsidP="00BC5C84">
            <w:pPr>
              <w:pStyle w:val="xxxmsonormal"/>
              <w:rPr>
                <w:rFonts w:asciiTheme="minorHAnsi" w:hAnsiTheme="minorHAnsi" w:cstheme="minorHAnsi"/>
                <w:b/>
                <w:bCs/>
                <w:color w:val="000000" w:themeColor="text1"/>
                <w:sz w:val="21"/>
                <w:szCs w:val="21"/>
              </w:rPr>
            </w:pPr>
            <w:r w:rsidRPr="002A733C">
              <w:rPr>
                <w:rFonts w:asciiTheme="minorHAnsi" w:hAnsiTheme="minorHAnsi" w:cstheme="minorHAnsi"/>
                <w:color w:val="000000" w:themeColor="text1"/>
                <w:sz w:val="21"/>
                <w:szCs w:val="21"/>
              </w:rPr>
              <w:lastRenderedPageBreak/>
              <w:br w:type="page"/>
            </w:r>
            <w:r w:rsidRPr="002A733C">
              <w:rPr>
                <w:rFonts w:asciiTheme="minorHAnsi" w:hAnsiTheme="minorHAnsi" w:cstheme="minorHAnsi"/>
                <w:b/>
                <w:bCs/>
                <w:color w:val="000000" w:themeColor="text1"/>
                <w:sz w:val="21"/>
                <w:szCs w:val="21"/>
              </w:rPr>
              <w:t>Proposed Proxy measure</w:t>
            </w:r>
          </w:p>
        </w:tc>
        <w:tc>
          <w:tcPr>
            <w:tcW w:w="2353" w:type="dxa"/>
            <w:tcBorders>
              <w:top w:val="single" w:sz="4" w:space="0" w:color="auto"/>
              <w:left w:val="nil"/>
              <w:right w:val="single" w:sz="4" w:space="0" w:color="auto"/>
            </w:tcBorders>
            <w:shd w:val="clear" w:color="auto" w:fill="auto"/>
            <w:tcMar>
              <w:top w:w="0" w:type="dxa"/>
              <w:left w:w="0" w:type="dxa"/>
              <w:bottom w:w="0" w:type="dxa"/>
              <w:right w:w="0" w:type="dxa"/>
            </w:tcMar>
          </w:tcPr>
          <w:p w14:paraId="62713CE6" w14:textId="77777777" w:rsidR="007F51A4" w:rsidRPr="002A733C" w:rsidRDefault="007F51A4" w:rsidP="007F51A4">
            <w:pPr>
              <w:pStyle w:val="xxxmsonormal"/>
              <w:rPr>
                <w:rFonts w:asciiTheme="minorHAnsi" w:hAnsiTheme="minorHAnsi" w:cstheme="minorHAnsi"/>
                <w:b/>
                <w:bCs/>
                <w:color w:val="000000" w:themeColor="text1"/>
                <w:sz w:val="21"/>
                <w:szCs w:val="21"/>
              </w:rPr>
            </w:pPr>
            <w:r w:rsidRPr="002A733C">
              <w:rPr>
                <w:rFonts w:asciiTheme="minorHAnsi" w:hAnsiTheme="minorHAnsi" w:cstheme="minorHAnsi"/>
                <w:b/>
                <w:bCs/>
                <w:color w:val="000000" w:themeColor="text1"/>
                <w:sz w:val="21"/>
                <w:szCs w:val="21"/>
              </w:rPr>
              <w:t>Trend</w:t>
            </w:r>
          </w:p>
        </w:tc>
        <w:tc>
          <w:tcPr>
            <w:tcW w:w="2143" w:type="dxa"/>
            <w:tcBorders>
              <w:top w:val="single" w:sz="4" w:space="0" w:color="auto"/>
              <w:left w:val="single" w:sz="4" w:space="0" w:color="auto"/>
              <w:right w:val="single" w:sz="4" w:space="0" w:color="auto"/>
            </w:tcBorders>
            <w:shd w:val="clear" w:color="auto" w:fill="auto"/>
          </w:tcPr>
          <w:p w14:paraId="2D3A21BE" w14:textId="77777777" w:rsidR="007F51A4" w:rsidRPr="002A733C" w:rsidRDefault="007F51A4" w:rsidP="007F51A4">
            <w:pPr>
              <w:pStyle w:val="xxxmsonormal"/>
              <w:rPr>
                <w:rFonts w:asciiTheme="minorHAnsi" w:hAnsiTheme="minorHAnsi" w:cstheme="minorHAnsi"/>
                <w:b/>
                <w:bCs/>
                <w:color w:val="000000" w:themeColor="text1"/>
                <w:sz w:val="21"/>
                <w:szCs w:val="21"/>
              </w:rPr>
            </w:pPr>
            <w:proofErr w:type="gramStart"/>
            <w:r w:rsidRPr="002A733C">
              <w:rPr>
                <w:rFonts w:asciiTheme="minorHAnsi" w:hAnsiTheme="minorHAnsi" w:cstheme="minorHAnsi"/>
                <w:b/>
                <w:bCs/>
                <w:color w:val="000000" w:themeColor="text1"/>
                <w:sz w:val="21"/>
                <w:szCs w:val="21"/>
              </w:rPr>
              <w:t>Current status</w:t>
            </w:r>
            <w:proofErr w:type="gramEnd"/>
          </w:p>
        </w:tc>
      </w:tr>
      <w:tr w:rsidR="007F51A4" w:rsidRPr="00F553BC" w14:paraId="70908014" w14:textId="77777777" w:rsidTr="005A4E4D">
        <w:trPr>
          <w:trHeight w:val="291"/>
        </w:trPr>
        <w:tc>
          <w:tcPr>
            <w:tcW w:w="5200" w:type="dxa"/>
            <w:tcBorders>
              <w:top w:val="single" w:sz="4" w:space="0" w:color="auto"/>
              <w:left w:val="single" w:sz="4" w:space="0" w:color="auto"/>
              <w:right w:val="single" w:sz="4" w:space="0" w:color="auto"/>
            </w:tcBorders>
            <w:shd w:val="clear" w:color="auto" w:fill="auto"/>
          </w:tcPr>
          <w:p w14:paraId="23782FD6" w14:textId="77777777" w:rsidR="007F51A4" w:rsidRPr="002A733C" w:rsidRDefault="007F51A4" w:rsidP="00BC5C84">
            <w:pPr>
              <w:pStyle w:val="xxxmsonormal"/>
              <w:rPr>
                <w:rFonts w:asciiTheme="minorHAnsi" w:hAnsiTheme="minorHAnsi" w:cstheme="minorHAnsi"/>
                <w:color w:val="000000" w:themeColor="text1"/>
                <w:sz w:val="21"/>
                <w:szCs w:val="21"/>
              </w:rPr>
            </w:pPr>
            <w:r w:rsidRPr="002A733C">
              <w:rPr>
                <w:rFonts w:asciiTheme="minorHAnsi" w:hAnsiTheme="minorHAnsi" w:cstheme="minorHAnsi"/>
                <w:color w:val="000000" w:themeColor="text1"/>
                <w:sz w:val="21"/>
                <w:szCs w:val="21"/>
              </w:rPr>
              <w:t>Gross production value per hectare</w:t>
            </w:r>
          </w:p>
        </w:tc>
        <w:tc>
          <w:tcPr>
            <w:tcW w:w="2353" w:type="dxa"/>
            <w:tcBorders>
              <w:top w:val="single" w:sz="4" w:space="0" w:color="auto"/>
              <w:left w:val="nil"/>
              <w:right w:val="single" w:sz="4" w:space="0" w:color="auto"/>
            </w:tcBorders>
            <w:shd w:val="clear" w:color="auto" w:fill="4F6228" w:themeFill="accent3" w:themeFillShade="80"/>
            <w:tcMar>
              <w:top w:w="0" w:type="dxa"/>
              <w:left w:w="0" w:type="dxa"/>
              <w:bottom w:w="0" w:type="dxa"/>
              <w:right w:w="0" w:type="dxa"/>
            </w:tcMar>
          </w:tcPr>
          <w:p w14:paraId="54CFE255" w14:textId="77777777" w:rsidR="007F51A4" w:rsidRPr="002A733C" w:rsidRDefault="007F51A4" w:rsidP="005A4E4D">
            <w:pPr>
              <w:pStyle w:val="xxxmsonormal"/>
              <w:jc w:val="center"/>
              <w:rPr>
                <w:rFonts w:asciiTheme="minorHAnsi" w:hAnsiTheme="minorHAnsi" w:cstheme="minorHAnsi"/>
                <w:color w:val="000000" w:themeColor="text1"/>
                <w:sz w:val="21"/>
                <w:szCs w:val="21"/>
              </w:rPr>
            </w:pPr>
            <w:r w:rsidRPr="002A733C">
              <w:rPr>
                <w:rFonts w:asciiTheme="minorHAnsi" w:hAnsiTheme="minorHAnsi" w:cstheme="minorHAnsi"/>
                <w:color w:val="000000" w:themeColor="text1"/>
                <w:sz w:val="21"/>
                <w:szCs w:val="21"/>
              </w:rPr>
              <w:t>5</w:t>
            </w:r>
          </w:p>
        </w:tc>
        <w:tc>
          <w:tcPr>
            <w:tcW w:w="2143" w:type="dxa"/>
            <w:tcBorders>
              <w:top w:val="single" w:sz="4" w:space="0" w:color="auto"/>
              <w:left w:val="single" w:sz="4" w:space="0" w:color="auto"/>
              <w:right w:val="single" w:sz="4" w:space="0" w:color="auto"/>
            </w:tcBorders>
            <w:shd w:val="clear" w:color="auto" w:fill="FFC000"/>
          </w:tcPr>
          <w:p w14:paraId="462ABC8E" w14:textId="77777777" w:rsidR="007F51A4" w:rsidRPr="002A733C" w:rsidRDefault="007F51A4" w:rsidP="005A4E4D">
            <w:pPr>
              <w:pStyle w:val="xxxmsonormal"/>
              <w:jc w:val="center"/>
              <w:rPr>
                <w:rFonts w:asciiTheme="minorHAnsi" w:hAnsiTheme="minorHAnsi" w:cstheme="minorHAnsi"/>
                <w:color w:val="000000" w:themeColor="text1"/>
                <w:sz w:val="21"/>
                <w:szCs w:val="21"/>
              </w:rPr>
            </w:pPr>
            <w:r w:rsidRPr="002A733C">
              <w:rPr>
                <w:rFonts w:asciiTheme="minorHAnsi" w:hAnsiTheme="minorHAnsi" w:cstheme="minorHAnsi"/>
                <w:color w:val="000000" w:themeColor="text1"/>
                <w:sz w:val="21"/>
                <w:szCs w:val="21"/>
              </w:rPr>
              <w:t>2</w:t>
            </w:r>
          </w:p>
        </w:tc>
      </w:tr>
      <w:tr w:rsidR="007F51A4" w:rsidRPr="00F553BC" w14:paraId="1F1F4454" w14:textId="77777777" w:rsidTr="005A4E4D">
        <w:trPr>
          <w:trHeight w:val="291"/>
        </w:trPr>
        <w:tc>
          <w:tcPr>
            <w:tcW w:w="5200" w:type="dxa"/>
            <w:tcBorders>
              <w:top w:val="single" w:sz="4" w:space="0" w:color="auto"/>
              <w:left w:val="single" w:sz="4" w:space="0" w:color="auto"/>
              <w:right w:val="single" w:sz="4" w:space="0" w:color="auto"/>
            </w:tcBorders>
            <w:shd w:val="clear" w:color="auto" w:fill="auto"/>
          </w:tcPr>
          <w:p w14:paraId="728E8011" w14:textId="77777777" w:rsidR="007F51A4" w:rsidRPr="002A733C" w:rsidRDefault="007F51A4" w:rsidP="00BC5C84">
            <w:pPr>
              <w:pStyle w:val="xxxmsonormal"/>
              <w:rPr>
                <w:rFonts w:asciiTheme="minorHAnsi" w:hAnsiTheme="minorHAnsi" w:cstheme="minorHAnsi"/>
                <w:color w:val="000000" w:themeColor="text1"/>
                <w:sz w:val="21"/>
                <w:szCs w:val="21"/>
              </w:rPr>
            </w:pPr>
            <w:r w:rsidRPr="002A733C">
              <w:rPr>
                <w:rFonts w:asciiTheme="minorHAnsi" w:hAnsiTheme="minorHAnsi" w:cstheme="minorHAnsi"/>
                <w:color w:val="000000" w:themeColor="text1"/>
                <w:sz w:val="21"/>
                <w:szCs w:val="21"/>
              </w:rPr>
              <w:t>Gross output diversification</w:t>
            </w:r>
          </w:p>
        </w:tc>
        <w:tc>
          <w:tcPr>
            <w:tcW w:w="2353" w:type="dxa"/>
            <w:tcBorders>
              <w:top w:val="single" w:sz="4" w:space="0" w:color="auto"/>
              <w:left w:val="nil"/>
              <w:right w:val="single" w:sz="4" w:space="0" w:color="auto"/>
            </w:tcBorders>
            <w:shd w:val="clear" w:color="auto" w:fill="4F6228" w:themeFill="accent3" w:themeFillShade="80"/>
            <w:tcMar>
              <w:top w:w="0" w:type="dxa"/>
              <w:left w:w="0" w:type="dxa"/>
              <w:bottom w:w="0" w:type="dxa"/>
              <w:right w:w="0" w:type="dxa"/>
            </w:tcMar>
          </w:tcPr>
          <w:p w14:paraId="5FD3EF4E" w14:textId="77777777" w:rsidR="007F51A4" w:rsidRPr="002A733C" w:rsidRDefault="007F51A4" w:rsidP="005A4E4D">
            <w:pPr>
              <w:pStyle w:val="xxxmsonormal"/>
              <w:jc w:val="center"/>
              <w:rPr>
                <w:rFonts w:asciiTheme="minorHAnsi" w:hAnsiTheme="minorHAnsi" w:cstheme="minorHAnsi"/>
                <w:color w:val="000000" w:themeColor="text1"/>
                <w:sz w:val="21"/>
                <w:szCs w:val="21"/>
              </w:rPr>
            </w:pPr>
            <w:r w:rsidRPr="002A733C">
              <w:rPr>
                <w:rFonts w:asciiTheme="minorHAnsi" w:hAnsiTheme="minorHAnsi" w:cstheme="minorHAnsi"/>
                <w:color w:val="000000" w:themeColor="text1"/>
                <w:sz w:val="21"/>
                <w:szCs w:val="21"/>
              </w:rPr>
              <w:t>5</w:t>
            </w:r>
          </w:p>
        </w:tc>
        <w:tc>
          <w:tcPr>
            <w:tcW w:w="2143" w:type="dxa"/>
            <w:tcBorders>
              <w:top w:val="single" w:sz="4" w:space="0" w:color="auto"/>
              <w:left w:val="single" w:sz="4" w:space="0" w:color="auto"/>
              <w:right w:val="single" w:sz="4" w:space="0" w:color="auto"/>
            </w:tcBorders>
            <w:shd w:val="clear" w:color="auto" w:fill="FFC000"/>
          </w:tcPr>
          <w:p w14:paraId="60906929" w14:textId="77777777" w:rsidR="007F51A4" w:rsidRPr="002A733C" w:rsidRDefault="007F51A4" w:rsidP="005A4E4D">
            <w:pPr>
              <w:pStyle w:val="xxxmsonormal"/>
              <w:jc w:val="center"/>
              <w:rPr>
                <w:rFonts w:asciiTheme="minorHAnsi" w:hAnsiTheme="minorHAnsi" w:cstheme="minorHAnsi"/>
                <w:color w:val="000000" w:themeColor="text1"/>
                <w:sz w:val="21"/>
                <w:szCs w:val="21"/>
              </w:rPr>
            </w:pPr>
            <w:r w:rsidRPr="002A733C">
              <w:rPr>
                <w:rFonts w:asciiTheme="minorHAnsi" w:hAnsiTheme="minorHAnsi" w:cstheme="minorHAnsi"/>
                <w:color w:val="000000" w:themeColor="text1"/>
                <w:sz w:val="21"/>
                <w:szCs w:val="21"/>
              </w:rPr>
              <w:t>2</w:t>
            </w:r>
          </w:p>
        </w:tc>
      </w:tr>
      <w:tr w:rsidR="00E9562F" w:rsidRPr="00F553BC" w14:paraId="18E53331" w14:textId="77777777" w:rsidTr="005A4E4D">
        <w:trPr>
          <w:trHeight w:val="291"/>
        </w:trPr>
        <w:tc>
          <w:tcPr>
            <w:tcW w:w="5200" w:type="dxa"/>
            <w:tcBorders>
              <w:top w:val="single" w:sz="4" w:space="0" w:color="auto"/>
              <w:left w:val="single" w:sz="4" w:space="0" w:color="auto"/>
              <w:right w:val="single" w:sz="4" w:space="0" w:color="auto"/>
            </w:tcBorders>
            <w:shd w:val="clear" w:color="auto" w:fill="auto"/>
          </w:tcPr>
          <w:p w14:paraId="00F3F774" w14:textId="5D99C101" w:rsidR="00E9562F" w:rsidRPr="002A733C" w:rsidRDefault="00E9562F" w:rsidP="00E9562F">
            <w:pPr>
              <w:pStyle w:val="xxxmsonormal"/>
              <w:rPr>
                <w:rFonts w:asciiTheme="minorHAnsi" w:hAnsiTheme="minorHAnsi" w:cstheme="minorHAnsi"/>
                <w:color w:val="000000" w:themeColor="text1"/>
                <w:sz w:val="21"/>
                <w:szCs w:val="21"/>
              </w:rPr>
            </w:pPr>
            <w:r w:rsidRPr="002A733C">
              <w:rPr>
                <w:rFonts w:asciiTheme="minorHAnsi" w:hAnsiTheme="minorHAnsi" w:cstheme="minorHAnsi"/>
                <w:color w:val="000000" w:themeColor="text1"/>
                <w:sz w:val="21"/>
                <w:szCs w:val="21"/>
              </w:rPr>
              <w:t>Agricultural value added per worker</w:t>
            </w:r>
          </w:p>
        </w:tc>
        <w:tc>
          <w:tcPr>
            <w:tcW w:w="2353" w:type="dxa"/>
            <w:tcBorders>
              <w:top w:val="single" w:sz="4" w:space="0" w:color="auto"/>
              <w:left w:val="nil"/>
              <w:right w:val="single" w:sz="4" w:space="0" w:color="auto"/>
            </w:tcBorders>
            <w:shd w:val="clear" w:color="auto" w:fill="4F6228" w:themeFill="accent3" w:themeFillShade="80"/>
            <w:tcMar>
              <w:top w:w="0" w:type="dxa"/>
              <w:left w:w="0" w:type="dxa"/>
              <w:bottom w:w="0" w:type="dxa"/>
              <w:right w:w="0" w:type="dxa"/>
            </w:tcMar>
          </w:tcPr>
          <w:p w14:paraId="2A68C681" w14:textId="6E8E1ED9" w:rsidR="00E9562F" w:rsidRPr="002A733C" w:rsidRDefault="00E9562F" w:rsidP="00E9562F">
            <w:pPr>
              <w:pStyle w:val="xxxmsonormal"/>
              <w:jc w:val="center"/>
              <w:rPr>
                <w:rFonts w:asciiTheme="minorHAnsi" w:hAnsiTheme="minorHAnsi" w:cstheme="minorHAnsi"/>
                <w:color w:val="000000" w:themeColor="text1"/>
                <w:sz w:val="21"/>
                <w:szCs w:val="21"/>
              </w:rPr>
            </w:pPr>
            <w:r w:rsidRPr="002A733C">
              <w:rPr>
                <w:rFonts w:asciiTheme="minorHAnsi" w:hAnsiTheme="minorHAnsi" w:cstheme="minorHAnsi"/>
                <w:color w:val="000000" w:themeColor="text1"/>
                <w:sz w:val="21"/>
                <w:szCs w:val="21"/>
              </w:rPr>
              <w:t>4</w:t>
            </w:r>
          </w:p>
        </w:tc>
        <w:tc>
          <w:tcPr>
            <w:tcW w:w="2143" w:type="dxa"/>
            <w:tcBorders>
              <w:top w:val="single" w:sz="4" w:space="0" w:color="auto"/>
              <w:left w:val="single" w:sz="4" w:space="0" w:color="auto"/>
              <w:right w:val="single" w:sz="4" w:space="0" w:color="auto"/>
            </w:tcBorders>
            <w:shd w:val="clear" w:color="auto" w:fill="FFC000"/>
          </w:tcPr>
          <w:p w14:paraId="10940089" w14:textId="5D4262B7" w:rsidR="00E9562F" w:rsidRPr="002A733C" w:rsidRDefault="00E9562F" w:rsidP="00E9562F">
            <w:pPr>
              <w:pStyle w:val="xxxmsonormal"/>
              <w:jc w:val="center"/>
              <w:rPr>
                <w:rFonts w:asciiTheme="minorHAnsi" w:hAnsiTheme="minorHAnsi" w:cstheme="minorHAnsi"/>
                <w:color w:val="000000" w:themeColor="text1"/>
                <w:sz w:val="21"/>
                <w:szCs w:val="21"/>
              </w:rPr>
            </w:pPr>
            <w:r w:rsidRPr="002A733C">
              <w:rPr>
                <w:rFonts w:asciiTheme="minorHAnsi" w:hAnsiTheme="minorHAnsi" w:cstheme="minorHAnsi"/>
                <w:color w:val="000000" w:themeColor="text1"/>
                <w:sz w:val="21"/>
                <w:szCs w:val="21"/>
              </w:rPr>
              <w:t>4</w:t>
            </w:r>
          </w:p>
        </w:tc>
      </w:tr>
      <w:tr w:rsidR="00E9562F" w:rsidRPr="00F553BC" w14:paraId="16FCAA3A" w14:textId="77777777" w:rsidTr="005A4E4D">
        <w:trPr>
          <w:trHeight w:val="291"/>
        </w:trPr>
        <w:tc>
          <w:tcPr>
            <w:tcW w:w="5200" w:type="dxa"/>
            <w:tcBorders>
              <w:top w:val="single" w:sz="4" w:space="0" w:color="auto"/>
              <w:left w:val="single" w:sz="4" w:space="0" w:color="auto"/>
              <w:right w:val="single" w:sz="4" w:space="0" w:color="auto"/>
            </w:tcBorders>
            <w:shd w:val="clear" w:color="auto" w:fill="auto"/>
          </w:tcPr>
          <w:p w14:paraId="799355EB" w14:textId="1120DFF4" w:rsidR="00E9562F" w:rsidRPr="002A733C" w:rsidRDefault="00E9562F" w:rsidP="00E9562F">
            <w:pPr>
              <w:pStyle w:val="xxxmsonormal"/>
              <w:rPr>
                <w:rFonts w:asciiTheme="minorHAnsi" w:hAnsiTheme="minorHAnsi" w:cstheme="minorHAnsi"/>
                <w:color w:val="000000" w:themeColor="text1"/>
                <w:sz w:val="21"/>
                <w:szCs w:val="21"/>
              </w:rPr>
            </w:pPr>
            <w:r w:rsidRPr="002A733C">
              <w:rPr>
                <w:rFonts w:asciiTheme="minorHAnsi" w:hAnsiTheme="minorHAnsi" w:cstheme="minorHAnsi"/>
                <w:color w:val="000000" w:themeColor="text1"/>
                <w:sz w:val="21"/>
                <w:szCs w:val="21"/>
              </w:rPr>
              <w:t xml:space="preserve">Nitrogen use efficiency </w:t>
            </w:r>
          </w:p>
        </w:tc>
        <w:tc>
          <w:tcPr>
            <w:tcW w:w="2353" w:type="dxa"/>
            <w:tcBorders>
              <w:top w:val="single" w:sz="4" w:space="0" w:color="auto"/>
              <w:left w:val="nil"/>
              <w:right w:val="single" w:sz="4" w:space="0" w:color="auto"/>
            </w:tcBorders>
            <w:shd w:val="clear" w:color="auto" w:fill="C2D69B" w:themeFill="accent3" w:themeFillTint="99"/>
            <w:tcMar>
              <w:top w:w="0" w:type="dxa"/>
              <w:left w:w="0" w:type="dxa"/>
              <w:bottom w:w="0" w:type="dxa"/>
              <w:right w:w="0" w:type="dxa"/>
            </w:tcMar>
          </w:tcPr>
          <w:p w14:paraId="2454167A" w14:textId="77777777" w:rsidR="00E9562F" w:rsidRPr="002A733C" w:rsidRDefault="00E9562F" w:rsidP="00E9562F">
            <w:pPr>
              <w:pStyle w:val="xxxmsonormal"/>
              <w:jc w:val="center"/>
              <w:rPr>
                <w:rFonts w:asciiTheme="minorHAnsi" w:hAnsiTheme="minorHAnsi" w:cstheme="minorHAnsi"/>
                <w:color w:val="000000" w:themeColor="text1"/>
                <w:sz w:val="21"/>
                <w:szCs w:val="21"/>
              </w:rPr>
            </w:pPr>
            <w:r w:rsidRPr="002A733C">
              <w:rPr>
                <w:rFonts w:asciiTheme="minorHAnsi" w:hAnsiTheme="minorHAnsi" w:cstheme="minorHAnsi"/>
                <w:color w:val="000000" w:themeColor="text1"/>
                <w:sz w:val="21"/>
                <w:szCs w:val="21"/>
              </w:rPr>
              <w:t>4</w:t>
            </w:r>
          </w:p>
        </w:tc>
        <w:tc>
          <w:tcPr>
            <w:tcW w:w="2143" w:type="dxa"/>
            <w:tcBorders>
              <w:top w:val="single" w:sz="4" w:space="0" w:color="auto"/>
              <w:left w:val="single" w:sz="4" w:space="0" w:color="auto"/>
              <w:right w:val="single" w:sz="4" w:space="0" w:color="auto"/>
            </w:tcBorders>
            <w:shd w:val="clear" w:color="auto" w:fill="FFE599"/>
          </w:tcPr>
          <w:p w14:paraId="48EF14C5" w14:textId="77777777" w:rsidR="00E9562F" w:rsidRPr="002A733C" w:rsidRDefault="00E9562F" w:rsidP="00E9562F">
            <w:pPr>
              <w:pStyle w:val="xxxmsonormal"/>
              <w:jc w:val="center"/>
              <w:rPr>
                <w:rFonts w:asciiTheme="minorHAnsi" w:hAnsiTheme="minorHAnsi" w:cstheme="minorHAnsi"/>
                <w:color w:val="000000" w:themeColor="text1"/>
                <w:sz w:val="21"/>
                <w:szCs w:val="21"/>
              </w:rPr>
            </w:pPr>
            <w:r w:rsidRPr="002A733C">
              <w:rPr>
                <w:rFonts w:asciiTheme="minorHAnsi" w:hAnsiTheme="minorHAnsi" w:cstheme="minorHAnsi"/>
                <w:color w:val="000000" w:themeColor="text1"/>
                <w:sz w:val="21"/>
                <w:szCs w:val="21"/>
              </w:rPr>
              <w:t>3</w:t>
            </w:r>
          </w:p>
        </w:tc>
      </w:tr>
      <w:tr w:rsidR="00E9562F" w:rsidRPr="00F553BC" w14:paraId="46811D2F" w14:textId="77777777" w:rsidTr="005A4E4D">
        <w:trPr>
          <w:trHeight w:val="291"/>
        </w:trPr>
        <w:tc>
          <w:tcPr>
            <w:tcW w:w="5200" w:type="dxa"/>
            <w:tcBorders>
              <w:top w:val="single" w:sz="4" w:space="0" w:color="auto"/>
              <w:left w:val="single" w:sz="4" w:space="0" w:color="auto"/>
              <w:right w:val="single" w:sz="4" w:space="0" w:color="auto"/>
            </w:tcBorders>
            <w:shd w:val="clear" w:color="auto" w:fill="auto"/>
          </w:tcPr>
          <w:p w14:paraId="761B32AE" w14:textId="77777777" w:rsidR="00E9562F" w:rsidRPr="002A733C" w:rsidRDefault="00E9562F" w:rsidP="00E9562F">
            <w:pPr>
              <w:pStyle w:val="xxxmsonormal"/>
              <w:rPr>
                <w:rFonts w:asciiTheme="minorHAnsi" w:hAnsiTheme="minorHAnsi" w:cstheme="minorHAnsi"/>
                <w:color w:val="000000" w:themeColor="text1"/>
                <w:sz w:val="21"/>
                <w:szCs w:val="21"/>
              </w:rPr>
            </w:pPr>
            <w:r w:rsidRPr="002A733C">
              <w:rPr>
                <w:rFonts w:asciiTheme="minorHAnsi" w:hAnsiTheme="minorHAnsi" w:cstheme="minorHAnsi"/>
                <w:color w:val="000000" w:themeColor="text1"/>
                <w:sz w:val="21"/>
                <w:szCs w:val="21"/>
              </w:rPr>
              <w:t>Agriculture component of water stress</w:t>
            </w:r>
          </w:p>
        </w:tc>
        <w:tc>
          <w:tcPr>
            <w:tcW w:w="2353" w:type="dxa"/>
            <w:tcBorders>
              <w:top w:val="single" w:sz="4" w:space="0" w:color="auto"/>
              <w:left w:val="nil"/>
              <w:right w:val="single" w:sz="4" w:space="0" w:color="auto"/>
            </w:tcBorders>
            <w:shd w:val="clear" w:color="auto" w:fill="FF0000"/>
            <w:tcMar>
              <w:top w:w="0" w:type="dxa"/>
              <w:left w:w="0" w:type="dxa"/>
              <w:bottom w:w="0" w:type="dxa"/>
              <w:right w:w="0" w:type="dxa"/>
            </w:tcMar>
          </w:tcPr>
          <w:p w14:paraId="0C744595" w14:textId="77777777" w:rsidR="00E9562F" w:rsidRPr="002A733C" w:rsidRDefault="00E9562F" w:rsidP="00E9562F">
            <w:pPr>
              <w:pStyle w:val="xxxmsonormal"/>
              <w:jc w:val="center"/>
              <w:rPr>
                <w:rFonts w:asciiTheme="minorHAnsi" w:hAnsiTheme="minorHAnsi" w:cstheme="minorHAnsi"/>
                <w:color w:val="000000" w:themeColor="text1"/>
                <w:sz w:val="21"/>
                <w:szCs w:val="21"/>
              </w:rPr>
            </w:pPr>
            <w:r w:rsidRPr="002A733C">
              <w:rPr>
                <w:rFonts w:asciiTheme="minorHAnsi" w:hAnsiTheme="minorHAnsi" w:cstheme="minorHAnsi"/>
                <w:color w:val="000000" w:themeColor="text1"/>
                <w:sz w:val="21"/>
                <w:szCs w:val="21"/>
              </w:rPr>
              <w:t>1</w:t>
            </w:r>
          </w:p>
        </w:tc>
        <w:tc>
          <w:tcPr>
            <w:tcW w:w="2143" w:type="dxa"/>
            <w:tcBorders>
              <w:top w:val="single" w:sz="4" w:space="0" w:color="auto"/>
              <w:left w:val="single" w:sz="4" w:space="0" w:color="auto"/>
              <w:right w:val="single" w:sz="4" w:space="0" w:color="auto"/>
            </w:tcBorders>
            <w:shd w:val="clear" w:color="auto" w:fill="FF0000"/>
          </w:tcPr>
          <w:p w14:paraId="639E2F15" w14:textId="77777777" w:rsidR="00E9562F" w:rsidRPr="002A733C" w:rsidRDefault="00E9562F" w:rsidP="00E9562F">
            <w:pPr>
              <w:pStyle w:val="xxxmsonormal"/>
              <w:jc w:val="center"/>
              <w:rPr>
                <w:rFonts w:asciiTheme="minorHAnsi" w:hAnsiTheme="minorHAnsi" w:cstheme="minorHAnsi"/>
                <w:color w:val="000000" w:themeColor="text1"/>
                <w:sz w:val="21"/>
                <w:szCs w:val="21"/>
              </w:rPr>
            </w:pPr>
            <w:r w:rsidRPr="002A733C">
              <w:rPr>
                <w:rFonts w:asciiTheme="minorHAnsi" w:hAnsiTheme="minorHAnsi" w:cstheme="minorHAnsi"/>
                <w:color w:val="000000" w:themeColor="text1"/>
                <w:sz w:val="21"/>
                <w:szCs w:val="21"/>
              </w:rPr>
              <w:t>1</w:t>
            </w:r>
          </w:p>
        </w:tc>
      </w:tr>
      <w:tr w:rsidR="00E9562F" w:rsidRPr="00F553BC" w14:paraId="1CFAF86F" w14:textId="77777777" w:rsidTr="005A4E4D">
        <w:trPr>
          <w:trHeight w:val="291"/>
        </w:trPr>
        <w:tc>
          <w:tcPr>
            <w:tcW w:w="5200" w:type="dxa"/>
            <w:tcBorders>
              <w:top w:val="single" w:sz="4" w:space="0" w:color="auto"/>
              <w:left w:val="single" w:sz="4" w:space="0" w:color="auto"/>
              <w:right w:val="single" w:sz="4" w:space="0" w:color="auto"/>
            </w:tcBorders>
            <w:shd w:val="clear" w:color="auto" w:fill="auto"/>
          </w:tcPr>
          <w:p w14:paraId="624964C5" w14:textId="77777777" w:rsidR="00E9562F" w:rsidRPr="002A733C" w:rsidRDefault="00E9562F" w:rsidP="00E9562F">
            <w:pPr>
              <w:pStyle w:val="xxxmsonormal"/>
              <w:rPr>
                <w:rFonts w:asciiTheme="minorHAnsi" w:hAnsiTheme="minorHAnsi" w:cstheme="minorHAnsi"/>
                <w:color w:val="000000" w:themeColor="text1"/>
                <w:sz w:val="21"/>
                <w:szCs w:val="21"/>
              </w:rPr>
            </w:pPr>
            <w:r w:rsidRPr="002A733C">
              <w:rPr>
                <w:rFonts w:asciiTheme="minorHAnsi" w:hAnsiTheme="minorHAnsi" w:cstheme="minorHAnsi"/>
                <w:color w:val="000000" w:themeColor="text1"/>
                <w:sz w:val="21"/>
                <w:szCs w:val="21"/>
              </w:rPr>
              <w:t>GHG emissions intensity in agriculture</w:t>
            </w:r>
          </w:p>
        </w:tc>
        <w:tc>
          <w:tcPr>
            <w:tcW w:w="2353" w:type="dxa"/>
            <w:tcBorders>
              <w:top w:val="single" w:sz="4" w:space="0" w:color="auto"/>
              <w:left w:val="nil"/>
              <w:right w:val="single" w:sz="4" w:space="0" w:color="auto"/>
            </w:tcBorders>
            <w:shd w:val="clear" w:color="auto" w:fill="FFE599"/>
            <w:tcMar>
              <w:top w:w="0" w:type="dxa"/>
              <w:left w:w="0" w:type="dxa"/>
              <w:bottom w:w="0" w:type="dxa"/>
              <w:right w:w="0" w:type="dxa"/>
            </w:tcMar>
          </w:tcPr>
          <w:p w14:paraId="34ABCB75" w14:textId="77777777" w:rsidR="00E9562F" w:rsidRPr="002A733C" w:rsidRDefault="00E9562F" w:rsidP="00E9562F">
            <w:pPr>
              <w:pStyle w:val="xxxmsonormal"/>
              <w:jc w:val="center"/>
              <w:rPr>
                <w:rFonts w:asciiTheme="minorHAnsi" w:hAnsiTheme="minorHAnsi" w:cstheme="minorHAnsi"/>
                <w:color w:val="000000" w:themeColor="text1"/>
                <w:sz w:val="21"/>
                <w:szCs w:val="21"/>
              </w:rPr>
            </w:pPr>
            <w:r w:rsidRPr="002A733C">
              <w:rPr>
                <w:rFonts w:asciiTheme="minorHAnsi" w:hAnsiTheme="minorHAnsi" w:cstheme="minorHAnsi"/>
                <w:color w:val="000000" w:themeColor="text1"/>
                <w:sz w:val="21"/>
                <w:szCs w:val="21"/>
              </w:rPr>
              <w:t>3</w:t>
            </w:r>
          </w:p>
        </w:tc>
        <w:tc>
          <w:tcPr>
            <w:tcW w:w="2143" w:type="dxa"/>
            <w:tcBorders>
              <w:top w:val="single" w:sz="4" w:space="0" w:color="auto"/>
              <w:left w:val="single" w:sz="4" w:space="0" w:color="auto"/>
              <w:right w:val="single" w:sz="4" w:space="0" w:color="auto"/>
            </w:tcBorders>
            <w:shd w:val="clear" w:color="auto" w:fill="FFC000"/>
          </w:tcPr>
          <w:p w14:paraId="3DA924F1" w14:textId="77777777" w:rsidR="00E9562F" w:rsidRPr="002A733C" w:rsidRDefault="00E9562F" w:rsidP="00E9562F">
            <w:pPr>
              <w:pStyle w:val="xxxmsonormal"/>
              <w:jc w:val="center"/>
              <w:rPr>
                <w:rFonts w:asciiTheme="minorHAnsi" w:hAnsiTheme="minorHAnsi" w:cstheme="minorHAnsi"/>
                <w:color w:val="000000" w:themeColor="text1"/>
                <w:sz w:val="21"/>
                <w:szCs w:val="21"/>
              </w:rPr>
            </w:pPr>
            <w:r w:rsidRPr="002A733C">
              <w:rPr>
                <w:rFonts w:asciiTheme="minorHAnsi" w:hAnsiTheme="minorHAnsi" w:cstheme="minorHAnsi"/>
                <w:color w:val="000000" w:themeColor="text1"/>
                <w:sz w:val="21"/>
                <w:szCs w:val="21"/>
              </w:rPr>
              <w:t>2</w:t>
            </w:r>
          </w:p>
        </w:tc>
      </w:tr>
      <w:tr w:rsidR="00E9562F" w:rsidRPr="00F553BC" w14:paraId="777E3389" w14:textId="77777777" w:rsidTr="005A4E4D">
        <w:trPr>
          <w:trHeight w:val="291"/>
        </w:trPr>
        <w:tc>
          <w:tcPr>
            <w:tcW w:w="5200" w:type="dxa"/>
            <w:tcBorders>
              <w:top w:val="single" w:sz="4" w:space="0" w:color="auto"/>
              <w:left w:val="single" w:sz="4" w:space="0" w:color="auto"/>
              <w:bottom w:val="single" w:sz="4" w:space="0" w:color="auto"/>
              <w:right w:val="single" w:sz="4" w:space="0" w:color="auto"/>
            </w:tcBorders>
            <w:shd w:val="clear" w:color="auto" w:fill="auto"/>
          </w:tcPr>
          <w:p w14:paraId="230AD141" w14:textId="77777777" w:rsidR="00E9562F" w:rsidRPr="002A733C" w:rsidRDefault="00E9562F" w:rsidP="00E9562F">
            <w:pPr>
              <w:pStyle w:val="xxxmsonormal"/>
              <w:rPr>
                <w:rFonts w:asciiTheme="minorHAnsi" w:hAnsiTheme="minorHAnsi" w:cstheme="minorHAnsi"/>
                <w:color w:val="000000" w:themeColor="text1"/>
                <w:sz w:val="21"/>
                <w:szCs w:val="21"/>
              </w:rPr>
            </w:pPr>
            <w:r w:rsidRPr="002A733C">
              <w:rPr>
                <w:rFonts w:asciiTheme="minorHAnsi" w:hAnsiTheme="minorHAnsi" w:cstheme="minorHAnsi"/>
                <w:color w:val="000000" w:themeColor="text1"/>
                <w:sz w:val="21"/>
                <w:szCs w:val="21"/>
              </w:rPr>
              <w:t xml:space="preserve">Informal employment in agriculture </w:t>
            </w:r>
          </w:p>
        </w:tc>
        <w:tc>
          <w:tcPr>
            <w:tcW w:w="2353" w:type="dxa"/>
            <w:tcBorders>
              <w:top w:val="single" w:sz="4" w:space="0" w:color="auto"/>
              <w:left w:val="nil"/>
              <w:bottom w:val="single" w:sz="4" w:space="0" w:color="auto"/>
              <w:right w:val="single" w:sz="4" w:space="0" w:color="auto"/>
            </w:tcBorders>
            <w:shd w:val="clear" w:color="auto" w:fill="FF0000"/>
            <w:tcMar>
              <w:top w:w="0" w:type="dxa"/>
              <w:left w:w="0" w:type="dxa"/>
              <w:bottom w:w="0" w:type="dxa"/>
              <w:right w:w="0" w:type="dxa"/>
            </w:tcMar>
          </w:tcPr>
          <w:p w14:paraId="710A7DEE" w14:textId="77777777" w:rsidR="00E9562F" w:rsidRPr="002A733C" w:rsidRDefault="00E9562F" w:rsidP="00E9562F">
            <w:pPr>
              <w:pStyle w:val="xxxmsonormal"/>
              <w:jc w:val="center"/>
              <w:rPr>
                <w:rFonts w:asciiTheme="minorHAnsi" w:hAnsiTheme="minorHAnsi" w:cstheme="minorHAnsi"/>
                <w:color w:val="000000" w:themeColor="text1"/>
                <w:sz w:val="21"/>
                <w:szCs w:val="21"/>
              </w:rPr>
            </w:pPr>
            <w:r w:rsidRPr="002A733C">
              <w:rPr>
                <w:rFonts w:asciiTheme="minorHAnsi" w:hAnsiTheme="minorHAnsi" w:cstheme="minorHAnsi"/>
                <w:color w:val="000000" w:themeColor="text1"/>
                <w:sz w:val="21"/>
                <w:szCs w:val="21"/>
              </w:rPr>
              <w:t>1</w:t>
            </w:r>
          </w:p>
        </w:tc>
        <w:tc>
          <w:tcPr>
            <w:tcW w:w="2143" w:type="dxa"/>
            <w:tcBorders>
              <w:top w:val="single" w:sz="4" w:space="0" w:color="auto"/>
              <w:left w:val="single" w:sz="4" w:space="0" w:color="auto"/>
              <w:bottom w:val="single" w:sz="4" w:space="0" w:color="auto"/>
              <w:right w:val="single" w:sz="4" w:space="0" w:color="auto"/>
            </w:tcBorders>
            <w:shd w:val="clear" w:color="auto" w:fill="FF0000"/>
          </w:tcPr>
          <w:p w14:paraId="3A8E1311" w14:textId="77777777" w:rsidR="00E9562F" w:rsidRPr="002A733C" w:rsidRDefault="00E9562F" w:rsidP="00E9562F">
            <w:pPr>
              <w:pStyle w:val="xxxmsonormal"/>
              <w:jc w:val="center"/>
              <w:rPr>
                <w:rFonts w:asciiTheme="minorHAnsi" w:hAnsiTheme="minorHAnsi" w:cstheme="minorHAnsi"/>
                <w:color w:val="000000" w:themeColor="text1"/>
                <w:sz w:val="21"/>
                <w:szCs w:val="21"/>
              </w:rPr>
            </w:pPr>
            <w:r w:rsidRPr="002A733C">
              <w:rPr>
                <w:rFonts w:asciiTheme="minorHAnsi" w:hAnsiTheme="minorHAnsi" w:cstheme="minorHAnsi"/>
                <w:color w:val="000000" w:themeColor="text1"/>
                <w:sz w:val="21"/>
                <w:szCs w:val="21"/>
              </w:rPr>
              <w:t>1</w:t>
            </w:r>
          </w:p>
        </w:tc>
      </w:tr>
      <w:tr w:rsidR="00E9562F" w:rsidRPr="00F553BC" w14:paraId="10DC9570" w14:textId="77777777" w:rsidTr="005A4E4D">
        <w:trPr>
          <w:trHeight w:val="291"/>
        </w:trPr>
        <w:tc>
          <w:tcPr>
            <w:tcW w:w="5200" w:type="dxa"/>
            <w:tcBorders>
              <w:top w:val="single" w:sz="4" w:space="0" w:color="auto"/>
              <w:left w:val="single" w:sz="4" w:space="0" w:color="auto"/>
              <w:bottom w:val="single" w:sz="4" w:space="0" w:color="auto"/>
              <w:right w:val="single" w:sz="4" w:space="0" w:color="auto"/>
            </w:tcBorders>
            <w:shd w:val="clear" w:color="auto" w:fill="auto"/>
          </w:tcPr>
          <w:p w14:paraId="3F8C1019" w14:textId="77777777" w:rsidR="00E9562F" w:rsidRPr="002A733C" w:rsidRDefault="00E9562F" w:rsidP="00E9562F">
            <w:pPr>
              <w:pStyle w:val="xxxmsonormal"/>
              <w:rPr>
                <w:rFonts w:asciiTheme="minorHAnsi" w:hAnsiTheme="minorHAnsi" w:cstheme="minorHAnsi"/>
                <w:color w:val="000000" w:themeColor="text1"/>
                <w:sz w:val="21"/>
                <w:szCs w:val="21"/>
              </w:rPr>
            </w:pPr>
            <w:r w:rsidRPr="002A733C">
              <w:rPr>
                <w:rFonts w:asciiTheme="minorHAnsi" w:hAnsiTheme="minorHAnsi" w:cstheme="minorHAnsi"/>
                <w:color w:val="000000" w:themeColor="text1"/>
                <w:sz w:val="21"/>
                <w:szCs w:val="21"/>
              </w:rPr>
              <w:t>Average score</w:t>
            </w:r>
          </w:p>
        </w:tc>
        <w:tc>
          <w:tcPr>
            <w:tcW w:w="2353" w:type="dxa"/>
            <w:tcBorders>
              <w:top w:val="single" w:sz="4" w:space="0" w:color="auto"/>
              <w:left w:val="nil"/>
              <w:bottom w:val="single" w:sz="4" w:space="0" w:color="auto"/>
              <w:right w:val="single" w:sz="4" w:space="0" w:color="auto"/>
            </w:tcBorders>
            <w:shd w:val="clear" w:color="auto" w:fill="auto"/>
            <w:tcMar>
              <w:top w:w="0" w:type="dxa"/>
              <w:left w:w="0" w:type="dxa"/>
              <w:bottom w:w="0" w:type="dxa"/>
              <w:right w:w="0" w:type="dxa"/>
            </w:tcMar>
          </w:tcPr>
          <w:p w14:paraId="7B525656" w14:textId="77777777" w:rsidR="00E9562F" w:rsidRPr="002A733C" w:rsidRDefault="00E9562F" w:rsidP="00E9562F">
            <w:pPr>
              <w:pStyle w:val="xxxmsonormal"/>
              <w:jc w:val="center"/>
              <w:rPr>
                <w:rFonts w:asciiTheme="minorHAnsi" w:hAnsiTheme="minorHAnsi" w:cstheme="minorHAnsi"/>
                <w:color w:val="000000" w:themeColor="text1"/>
                <w:sz w:val="21"/>
                <w:szCs w:val="21"/>
              </w:rPr>
            </w:pPr>
            <w:r w:rsidRPr="002A733C">
              <w:rPr>
                <w:rFonts w:asciiTheme="minorHAnsi" w:hAnsiTheme="minorHAnsi" w:cstheme="minorHAnsi"/>
                <w:color w:val="000000" w:themeColor="text1"/>
                <w:sz w:val="21"/>
                <w:szCs w:val="21"/>
              </w:rPr>
              <w:t>3.3</w:t>
            </w:r>
          </w:p>
        </w:tc>
        <w:tc>
          <w:tcPr>
            <w:tcW w:w="2143" w:type="dxa"/>
            <w:tcBorders>
              <w:top w:val="single" w:sz="4" w:space="0" w:color="auto"/>
              <w:left w:val="single" w:sz="4" w:space="0" w:color="auto"/>
              <w:bottom w:val="single" w:sz="4" w:space="0" w:color="auto"/>
              <w:right w:val="single" w:sz="4" w:space="0" w:color="auto"/>
            </w:tcBorders>
            <w:shd w:val="clear" w:color="auto" w:fill="auto"/>
          </w:tcPr>
          <w:p w14:paraId="20C7177B" w14:textId="77777777" w:rsidR="00E9562F" w:rsidRPr="002A733C" w:rsidRDefault="00E9562F" w:rsidP="00E9562F">
            <w:pPr>
              <w:pStyle w:val="xxxmsonormal"/>
              <w:jc w:val="center"/>
              <w:rPr>
                <w:rFonts w:asciiTheme="minorHAnsi" w:hAnsiTheme="minorHAnsi" w:cstheme="minorHAnsi"/>
                <w:color w:val="000000" w:themeColor="text1"/>
                <w:sz w:val="21"/>
                <w:szCs w:val="21"/>
              </w:rPr>
            </w:pPr>
            <w:r w:rsidRPr="002A733C">
              <w:rPr>
                <w:rFonts w:asciiTheme="minorHAnsi" w:hAnsiTheme="minorHAnsi" w:cstheme="minorHAnsi"/>
                <w:color w:val="000000" w:themeColor="text1"/>
                <w:sz w:val="21"/>
                <w:szCs w:val="21"/>
              </w:rPr>
              <w:t>2.4</w:t>
            </w:r>
          </w:p>
        </w:tc>
      </w:tr>
    </w:tbl>
    <w:p w14:paraId="7B56645F" w14:textId="77777777" w:rsidR="00E1050F" w:rsidRPr="00A96255" w:rsidRDefault="00576CFA" w:rsidP="00F144C6">
      <w:pPr>
        <w:pStyle w:val="MHeader2"/>
        <w:spacing w:before="240"/>
      </w:pPr>
      <w:r w:rsidRPr="00A96255">
        <w:t xml:space="preserve">4.d. Validation </w:t>
      </w:r>
      <w:r>
        <w:rPr>
          <w:color w:val="B4B4B4"/>
          <w:sz w:val="20"/>
        </w:rPr>
        <w:t>(DATA_VALIDATION)</w:t>
      </w:r>
    </w:p>
    <w:p w14:paraId="0E6EE404" w14:textId="02CE2804" w:rsidR="007A2E42" w:rsidRDefault="007A2E42" w:rsidP="00394266">
      <w:pPr>
        <w:pStyle w:val="MText"/>
      </w:pPr>
      <w:r>
        <w:t xml:space="preserve">Of the </w:t>
      </w:r>
      <w:r w:rsidR="009C54A5">
        <w:t>7</w:t>
      </w:r>
      <w:r>
        <w:t xml:space="preserve"> sub-ind</w:t>
      </w:r>
      <w:r w:rsidR="00A55644">
        <w:t>icators, two are components</w:t>
      </w:r>
      <w:r>
        <w:t xml:space="preserve"> of SDG indicators (</w:t>
      </w:r>
      <w:r w:rsidR="00F41D95">
        <w:t>8.3.1</w:t>
      </w:r>
      <w:r>
        <w:t xml:space="preserve"> and 6.4.2) </w:t>
      </w:r>
      <w:r w:rsidR="00A55644">
        <w:t xml:space="preserve">and </w:t>
      </w:r>
      <w:r>
        <w:t xml:space="preserve">are considered official data. The other six </w:t>
      </w:r>
      <w:r w:rsidR="00A55644">
        <w:t xml:space="preserve">sub-indicators </w:t>
      </w:r>
      <w:r>
        <w:t>are based o</w:t>
      </w:r>
      <w:r w:rsidR="00A55644">
        <w:t xml:space="preserve">n either official data </w:t>
      </w:r>
      <w:r w:rsidRPr="007A2E42">
        <w:t>prov</w:t>
      </w:r>
      <w:r w:rsidR="00A55644">
        <w:t>ided by the country to FAO</w:t>
      </w:r>
      <w:r w:rsidRPr="007A2E42">
        <w:t xml:space="preserve"> or estimated </w:t>
      </w:r>
      <w:r w:rsidR="00A55644">
        <w:t>by FAO as part of its mandate on food and agriculture statistics</w:t>
      </w:r>
      <w:r>
        <w:t>.</w:t>
      </w:r>
      <w:r w:rsidR="0073199C">
        <w:t xml:space="preserve"> The entire set of country values pertaining to the six metrics based on FAO estimates are shared with </w:t>
      </w:r>
      <w:r w:rsidR="005D1B4F">
        <w:t>N</w:t>
      </w:r>
      <w:r w:rsidR="0073199C">
        <w:t xml:space="preserve">ational </w:t>
      </w:r>
      <w:r w:rsidR="005D1B4F">
        <w:t>S</w:t>
      </w:r>
      <w:r w:rsidR="0073199C">
        <w:t xml:space="preserve">tatistical </w:t>
      </w:r>
      <w:r w:rsidR="005D1B4F">
        <w:t>O</w:t>
      </w:r>
      <w:r w:rsidR="0073199C">
        <w:t xml:space="preserve">ffices by the FAO Chief </w:t>
      </w:r>
      <w:proofErr w:type="gramStart"/>
      <w:r w:rsidR="0073199C">
        <w:t>Statistician, and</w:t>
      </w:r>
      <w:proofErr w:type="gramEnd"/>
      <w:r w:rsidR="0073199C">
        <w:t xml:space="preserve"> considered validated unless the country </w:t>
      </w:r>
      <w:r w:rsidR="00A55644">
        <w:t>objects to</w:t>
      </w:r>
      <w:r w:rsidR="0073199C">
        <w:t xml:space="preserve"> the</w:t>
      </w:r>
      <w:r w:rsidR="00A55644">
        <w:t>ir</w:t>
      </w:r>
      <w:r w:rsidR="0073199C">
        <w:t xml:space="preserve"> publication. </w:t>
      </w:r>
    </w:p>
    <w:p w14:paraId="56144A5A" w14:textId="77777777" w:rsidR="00394266" w:rsidRDefault="00394266" w:rsidP="00BD7FAB">
      <w:pPr>
        <w:pStyle w:val="MText"/>
      </w:pPr>
    </w:p>
    <w:p w14:paraId="1B146EFF" w14:textId="77777777" w:rsidR="00E1050F" w:rsidRPr="00A96255" w:rsidRDefault="00E1050F" w:rsidP="00F719A8">
      <w:pPr>
        <w:pStyle w:val="MHeader2"/>
      </w:pPr>
      <w:r w:rsidRPr="00A96255">
        <w:t xml:space="preserve">4.e. Adjustments </w:t>
      </w:r>
      <w:r>
        <w:rPr>
          <w:color w:val="B4B4B4"/>
          <w:sz w:val="20"/>
        </w:rPr>
        <w:t>(ADJUSTMENT)</w:t>
      </w:r>
    </w:p>
    <w:p w14:paraId="79805CAE" w14:textId="77777777" w:rsidR="00EC2915" w:rsidRPr="00BD7FAB" w:rsidRDefault="005376EC" w:rsidP="00394266">
      <w:pPr>
        <w:pStyle w:val="MText"/>
      </w:pPr>
      <w:r w:rsidRPr="00BD7FAB">
        <w:t>Not applicable</w:t>
      </w:r>
    </w:p>
    <w:p w14:paraId="77E2BC89" w14:textId="77777777" w:rsidR="00190B88" w:rsidRPr="00A55644" w:rsidRDefault="00190B88" w:rsidP="00576CFA">
      <w:pPr>
        <w:pStyle w:val="MText"/>
        <w:rPr>
          <w:color w:val="000000" w:themeColor="text1"/>
        </w:rPr>
      </w:pPr>
    </w:p>
    <w:p w14:paraId="4C70864E" w14:textId="5ECBF034"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7B6FF2F9" w14:textId="5ECD7F31" w:rsidR="003F2174" w:rsidRDefault="00A27A0C" w:rsidP="00BD7FAB">
      <w:pPr>
        <w:pStyle w:val="MText"/>
      </w:pPr>
      <w:r>
        <w:t xml:space="preserve">Imputation methods of the sub-indicators are </w:t>
      </w:r>
      <w:r w:rsidR="006B2A01">
        <w:t>domain-specific</w:t>
      </w:r>
      <w:r w:rsidR="00432345">
        <w:t xml:space="preserve"> and </w:t>
      </w:r>
      <w:r w:rsidR="004D7A71">
        <w:t>are</w:t>
      </w:r>
      <w:r w:rsidR="00A55644">
        <w:t xml:space="preserve"> applied at</w:t>
      </w:r>
      <w:r w:rsidR="00432345">
        <w:t xml:space="preserve"> country level</w:t>
      </w:r>
      <w:r w:rsidR="006B2A01">
        <w:t>.</w:t>
      </w:r>
      <w:r w:rsidR="002E7F6D">
        <w:t xml:space="preserve">  </w:t>
      </w:r>
      <w:r w:rsidR="00A55644">
        <w:t>Estimates</w:t>
      </w:r>
      <w:r w:rsidR="007A2E42" w:rsidRPr="007A2E42">
        <w:t xml:space="preserve"> by FAO </w:t>
      </w:r>
      <w:r w:rsidR="00A55644">
        <w:t xml:space="preserve">are produced </w:t>
      </w:r>
      <w:r w:rsidR="007A2E42" w:rsidRPr="007A2E42">
        <w:t>by a variety of methods, such as imputation,</w:t>
      </w:r>
      <w:r w:rsidR="00071711">
        <w:t xml:space="preserve"> interpolation, modelling, etc</w:t>
      </w:r>
      <w:r w:rsidR="007A2E42" w:rsidRPr="007A2E42">
        <w:t>.</w:t>
      </w:r>
      <w:r w:rsidR="00F73441">
        <w:t xml:space="preserve">  </w:t>
      </w:r>
      <w:r w:rsidR="007125EA">
        <w:t xml:space="preserve">For reporting of the sub-indicators </w:t>
      </w:r>
      <w:r w:rsidR="00D8611E">
        <w:t>within</w:t>
      </w:r>
      <w:r w:rsidR="007125EA">
        <w:t xml:space="preserve"> SDG 2.4.1, </w:t>
      </w:r>
      <w:r w:rsidR="00DD397B">
        <w:t xml:space="preserve">carry-forward, linear interpolation, and carry-backwards routines are applied to the underlying </w:t>
      </w:r>
      <w:r w:rsidR="00D8611E">
        <w:t xml:space="preserve">input </w:t>
      </w:r>
      <w:r w:rsidR="00DD397B">
        <w:t>data</w:t>
      </w:r>
      <w:r w:rsidR="007B5582">
        <w:t>.</w:t>
      </w:r>
    </w:p>
    <w:p w14:paraId="194D36BC" w14:textId="62414E53" w:rsidR="003F2174" w:rsidRPr="00BD7FAB" w:rsidRDefault="005475F6" w:rsidP="00F6211C">
      <w:pPr>
        <w:pStyle w:val="ListParagraph"/>
        <w:numPr>
          <w:ilvl w:val="0"/>
          <w:numId w:val="20"/>
        </w:numPr>
        <w:rPr>
          <w:rFonts w:eastAsia="Calibri"/>
          <w:color w:val="4A4A4A"/>
          <w:sz w:val="21"/>
          <w:szCs w:val="21"/>
        </w:rPr>
      </w:pPr>
      <w:r w:rsidRPr="00BD7FAB">
        <w:rPr>
          <w:rFonts w:eastAsia="Calibri"/>
          <w:color w:val="4A4A4A"/>
          <w:sz w:val="21"/>
          <w:szCs w:val="21"/>
        </w:rPr>
        <w:t xml:space="preserve">At the country level, </w:t>
      </w:r>
      <w:proofErr w:type="gramStart"/>
      <w:r w:rsidR="00B047E2" w:rsidRPr="00BD7FAB">
        <w:rPr>
          <w:rFonts w:eastAsia="Calibri"/>
          <w:color w:val="4A4A4A"/>
          <w:sz w:val="21"/>
          <w:szCs w:val="21"/>
        </w:rPr>
        <w:t>i</w:t>
      </w:r>
      <w:r w:rsidR="003F2174" w:rsidRPr="00BD7FAB">
        <w:rPr>
          <w:rFonts w:eastAsia="Calibri"/>
          <w:color w:val="4A4A4A"/>
          <w:sz w:val="21"/>
          <w:szCs w:val="21"/>
        </w:rPr>
        <w:t>n order to</w:t>
      </w:r>
      <w:proofErr w:type="gramEnd"/>
      <w:r w:rsidR="003F2174" w:rsidRPr="00BD7FAB">
        <w:rPr>
          <w:rFonts w:eastAsia="Calibri"/>
          <w:color w:val="4A4A4A"/>
          <w:sz w:val="21"/>
          <w:szCs w:val="21"/>
        </w:rPr>
        <w:t xml:space="preserve"> compute </w:t>
      </w:r>
      <w:proofErr w:type="gramStart"/>
      <w:r w:rsidR="003F2174" w:rsidRPr="00BD7FAB">
        <w:rPr>
          <w:rFonts w:eastAsia="Calibri"/>
          <w:color w:val="4A4A4A"/>
          <w:sz w:val="21"/>
          <w:szCs w:val="21"/>
        </w:rPr>
        <w:t>scores</w:t>
      </w:r>
      <w:proofErr w:type="gramEnd"/>
      <w:r w:rsidR="003F2174" w:rsidRPr="00BD7FAB">
        <w:rPr>
          <w:rFonts w:eastAsia="Calibri"/>
          <w:color w:val="4A4A4A"/>
          <w:sz w:val="21"/>
          <w:szCs w:val="21"/>
        </w:rPr>
        <w:t xml:space="preserve"> the following conditions need to both apply:</w:t>
      </w:r>
    </w:p>
    <w:p w14:paraId="42398291" w14:textId="77777777" w:rsidR="003F2174" w:rsidRPr="00BD7FAB" w:rsidRDefault="003F2174" w:rsidP="003F2174">
      <w:pPr>
        <w:pStyle w:val="ListParagraph"/>
        <w:numPr>
          <w:ilvl w:val="0"/>
          <w:numId w:val="17"/>
        </w:numPr>
        <w:spacing w:after="0" w:line="240" w:lineRule="auto"/>
        <w:rPr>
          <w:rFonts w:ascii="Calibri" w:hAnsi="Calibri"/>
          <w:color w:val="4A4A4A"/>
          <w:sz w:val="21"/>
          <w:szCs w:val="21"/>
        </w:rPr>
      </w:pPr>
      <w:r w:rsidRPr="00BD7FAB">
        <w:rPr>
          <w:rFonts w:ascii="Calibri" w:hAnsi="Calibri"/>
          <w:color w:val="4A4A4A"/>
          <w:sz w:val="21"/>
          <w:szCs w:val="21"/>
        </w:rPr>
        <w:t>At least 4 sub-indicators are available for the country, of which:</w:t>
      </w:r>
    </w:p>
    <w:p w14:paraId="78498033" w14:textId="58BE6A07" w:rsidR="00FA37AE" w:rsidRPr="00BD7FAB" w:rsidRDefault="003F2174" w:rsidP="00FA37AE">
      <w:pPr>
        <w:pStyle w:val="ListParagraph"/>
        <w:numPr>
          <w:ilvl w:val="0"/>
          <w:numId w:val="17"/>
        </w:numPr>
        <w:spacing w:after="0" w:line="240" w:lineRule="auto"/>
        <w:rPr>
          <w:rFonts w:ascii="Calibri" w:hAnsi="Calibri"/>
          <w:color w:val="4A4A4A"/>
          <w:sz w:val="21"/>
          <w:szCs w:val="21"/>
        </w:rPr>
      </w:pPr>
      <w:r w:rsidRPr="00BD7FAB">
        <w:rPr>
          <w:rFonts w:ascii="Calibri" w:hAnsi="Calibri"/>
          <w:color w:val="4A4A4A"/>
          <w:sz w:val="21"/>
          <w:szCs w:val="21"/>
        </w:rPr>
        <w:t>At least 1 covers the socio-economic dimension and at least 2 cover the environmental dimension.</w:t>
      </w:r>
    </w:p>
    <w:p w14:paraId="1BF66430" w14:textId="77777777" w:rsidR="00F83540" w:rsidRPr="00BD7FAB" w:rsidRDefault="00F83540" w:rsidP="00F6211C">
      <w:pPr>
        <w:pStyle w:val="ListParagraph"/>
        <w:spacing w:after="0" w:line="240" w:lineRule="auto"/>
        <w:rPr>
          <w:rFonts w:ascii="Calibri" w:hAnsi="Calibri"/>
          <w:color w:val="4A4A4A"/>
          <w:sz w:val="21"/>
          <w:szCs w:val="21"/>
        </w:rPr>
      </w:pPr>
    </w:p>
    <w:p w14:paraId="4CB0C0EF" w14:textId="5CADB985" w:rsidR="00FA37AE" w:rsidRPr="00BD7FAB" w:rsidRDefault="00C055FA" w:rsidP="00F6211C">
      <w:pPr>
        <w:spacing w:after="0" w:line="240" w:lineRule="auto"/>
        <w:ind w:firstLine="720"/>
        <w:rPr>
          <w:rFonts w:ascii="Calibri" w:hAnsi="Calibri"/>
          <w:color w:val="4A4A4A"/>
          <w:sz w:val="21"/>
          <w:szCs w:val="21"/>
        </w:rPr>
      </w:pPr>
      <w:r w:rsidRPr="00BD7FAB">
        <w:rPr>
          <w:rFonts w:ascii="Calibri" w:hAnsi="Calibri"/>
          <w:color w:val="4A4A4A"/>
          <w:sz w:val="21"/>
          <w:szCs w:val="21"/>
        </w:rPr>
        <w:t xml:space="preserve">Country </w:t>
      </w:r>
      <w:r w:rsidR="001E47CC" w:rsidRPr="00BD7FAB">
        <w:rPr>
          <w:rFonts w:ascii="Calibri" w:hAnsi="Calibri"/>
          <w:color w:val="4A4A4A"/>
          <w:sz w:val="21"/>
          <w:szCs w:val="21"/>
        </w:rPr>
        <w:t xml:space="preserve">aggregate </w:t>
      </w:r>
      <w:r w:rsidRPr="00BD7FAB">
        <w:rPr>
          <w:rFonts w:ascii="Calibri" w:hAnsi="Calibri"/>
          <w:color w:val="4A4A4A"/>
          <w:sz w:val="21"/>
          <w:szCs w:val="21"/>
        </w:rPr>
        <w:t>s</w:t>
      </w:r>
      <w:r w:rsidR="00FA37AE" w:rsidRPr="00BD7FAB">
        <w:rPr>
          <w:rFonts w:ascii="Calibri" w:hAnsi="Calibri"/>
          <w:color w:val="4A4A4A"/>
          <w:sz w:val="21"/>
          <w:szCs w:val="21"/>
        </w:rPr>
        <w:t xml:space="preserve">cores are calculated as a simple average across the </w:t>
      </w:r>
      <w:r w:rsidR="00F83540" w:rsidRPr="00BD7FAB">
        <w:rPr>
          <w:rFonts w:ascii="Calibri" w:hAnsi="Calibri"/>
          <w:color w:val="4A4A4A"/>
          <w:sz w:val="21"/>
          <w:szCs w:val="21"/>
        </w:rPr>
        <w:t>indicators.</w:t>
      </w:r>
    </w:p>
    <w:p w14:paraId="01BA0095" w14:textId="77777777" w:rsidR="00F83540" w:rsidRPr="00BD7FAB" w:rsidRDefault="00F83540" w:rsidP="00F6211C">
      <w:pPr>
        <w:spacing w:after="0" w:line="240" w:lineRule="auto"/>
        <w:ind w:firstLine="360"/>
        <w:rPr>
          <w:rFonts w:ascii="Calibri" w:hAnsi="Calibri"/>
          <w:color w:val="4A4A4A"/>
          <w:sz w:val="21"/>
          <w:szCs w:val="21"/>
        </w:rPr>
      </w:pPr>
    </w:p>
    <w:p w14:paraId="65927273" w14:textId="4713DAA5" w:rsidR="00071711" w:rsidRPr="00BD7FAB" w:rsidRDefault="00B047E2" w:rsidP="007A2E42">
      <w:pPr>
        <w:rPr>
          <w:color w:val="4A4A4A"/>
          <w:sz w:val="21"/>
          <w:szCs w:val="21"/>
        </w:rPr>
      </w:pPr>
      <w:r w:rsidRPr="00BD7FAB">
        <w:rPr>
          <w:color w:val="4A4A4A"/>
          <w:sz w:val="21"/>
          <w:szCs w:val="21"/>
        </w:rPr>
        <w:t xml:space="preserve">(ii)  </w:t>
      </w:r>
      <w:r w:rsidRPr="00BD7FAB">
        <w:rPr>
          <w:color w:val="4A4A4A"/>
          <w:sz w:val="21"/>
          <w:szCs w:val="21"/>
        </w:rPr>
        <w:tab/>
      </w:r>
      <w:r w:rsidR="001B417F" w:rsidRPr="00BD7FAB">
        <w:rPr>
          <w:color w:val="4A4A4A"/>
          <w:sz w:val="21"/>
          <w:szCs w:val="21"/>
        </w:rPr>
        <w:t>There is no additional treatment of missing values at the regional level.</w:t>
      </w:r>
    </w:p>
    <w:p w14:paraId="42C9B063" w14:textId="77777777"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3A7C3B26" w14:textId="17D4839A" w:rsidR="004E596C" w:rsidRDefault="004E596C">
      <w:pPr>
        <w:pStyle w:val="MText"/>
      </w:pPr>
      <w:r>
        <w:t>At the regional level, scores are calculated using a weighted average</w:t>
      </w:r>
      <w:r w:rsidR="00FA37AE">
        <w:t xml:space="preserve"> of the country scores,</w:t>
      </w:r>
      <w:r>
        <w:t xml:space="preserve"> with agricultural land as the weighting variable.  Missing countries or those that do not meet the criteria above are not include</w:t>
      </w:r>
      <w:r w:rsidR="00AC2AEC">
        <w:t>d</w:t>
      </w:r>
      <w:r>
        <w:t xml:space="preserve"> in the aggregates</w:t>
      </w:r>
      <w:r w:rsidR="00C2421F">
        <w:t xml:space="preserve">, and the implicit assumption is that these countries perform </w:t>
      </w:r>
      <w:r w:rsidR="00EF0021">
        <w:t xml:space="preserve">the same </w:t>
      </w:r>
      <w:r w:rsidR="00C2421F">
        <w:t xml:space="preserve">as </w:t>
      </w:r>
      <w:r w:rsidR="00BC366D">
        <w:t>the neighbouring countries in the region.</w:t>
      </w:r>
    </w:p>
    <w:p w14:paraId="24A4C90A" w14:textId="77777777" w:rsidR="00E60315" w:rsidRDefault="00E60315" w:rsidP="00BD7FAB">
      <w:pPr>
        <w:pStyle w:val="MText"/>
      </w:pPr>
    </w:p>
    <w:p w14:paraId="6B1BDCF8" w14:textId="77777777"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0460E842" w14:textId="171E4146" w:rsidR="001B5BFA" w:rsidRDefault="00711087" w:rsidP="001B5BFA">
      <w:pPr>
        <w:pStyle w:val="MText"/>
      </w:pPr>
      <w:r>
        <w:lastRenderedPageBreak/>
        <w:t xml:space="preserve">Countries compile the data through </w:t>
      </w:r>
      <w:r w:rsidR="007A2E42">
        <w:t>annual</w:t>
      </w:r>
      <w:r>
        <w:t xml:space="preserve"> submissions </w:t>
      </w:r>
      <w:r w:rsidR="001B5BFA">
        <w:t>to the following FAO Questionnaires:</w:t>
      </w:r>
    </w:p>
    <w:p w14:paraId="37C30E04" w14:textId="4EC96983" w:rsidR="00EC2915" w:rsidRDefault="001B5BFA" w:rsidP="001B5BFA">
      <w:pPr>
        <w:pStyle w:val="MText"/>
      </w:pPr>
      <w:r>
        <w:t>Land Use, Irrigation and Agricultural Practices, Crop and Livestock Production and Utilization, Fertilizers, AQUASTAT</w:t>
      </w:r>
      <w:r w:rsidR="00095EAE">
        <w:t>,</w:t>
      </w:r>
      <w:r>
        <w:t xml:space="preserve"> and Prices Received by Farmers: Primary Crop and Livestock Products,</w:t>
      </w:r>
      <w:r w:rsidR="00666F6D">
        <w:t xml:space="preserve"> </w:t>
      </w:r>
      <w:r w:rsidR="00071711">
        <w:t>as well as undertaking the well-</w:t>
      </w:r>
      <w:r w:rsidR="00711087">
        <w:t>established processes to report on</w:t>
      </w:r>
      <w:r w:rsidR="007A2E42">
        <w:t xml:space="preserve"> SDG indicators 6.4.2 and </w:t>
      </w:r>
      <w:r w:rsidR="009B2664">
        <w:t>8.3.1</w:t>
      </w:r>
      <w:r w:rsidR="00711087">
        <w:t>.</w:t>
      </w:r>
      <w:r w:rsidR="00666F6D">
        <w:t xml:space="preserve">  Underlying sources of data from countries include agricultural censuses and surveys.</w:t>
      </w:r>
    </w:p>
    <w:p w14:paraId="0C364CD9" w14:textId="6E78C2A3" w:rsidR="003E6A53" w:rsidRDefault="003E6A53" w:rsidP="001B5BFA">
      <w:pPr>
        <w:pStyle w:val="MText"/>
      </w:pPr>
    </w:p>
    <w:p w14:paraId="299CF304" w14:textId="77777777" w:rsidR="00E1050F" w:rsidRPr="00A96255" w:rsidRDefault="00576CFA" w:rsidP="00F719A8">
      <w:pPr>
        <w:pStyle w:val="MHeader2"/>
      </w:pPr>
      <w:r w:rsidRPr="00A96255">
        <w:t xml:space="preserve">4.i. Quality management </w:t>
      </w:r>
      <w:r>
        <w:rPr>
          <w:color w:val="B4B4B4"/>
          <w:sz w:val="20"/>
        </w:rPr>
        <w:t>(QUALITY_MGMNT)</w:t>
      </w:r>
    </w:p>
    <w:p w14:paraId="64BA0061" w14:textId="77777777" w:rsidR="007D50B6" w:rsidRDefault="007D50B6" w:rsidP="00394266">
      <w:pPr>
        <w:pStyle w:val="MText"/>
      </w:pPr>
      <w:r>
        <w:t>The underlying data collected from FAO undergo rigorous quality assurance quality control (QAQC) procedures.  These include the checking of totals, visual inspection of updated data and revisions vs previously disseminated data, and comparisons with alternative data sources.</w:t>
      </w:r>
    </w:p>
    <w:p w14:paraId="7FA068F1" w14:textId="77777777" w:rsidR="00394266" w:rsidRDefault="00394266" w:rsidP="00BD7FAB">
      <w:pPr>
        <w:pStyle w:val="MText"/>
        <w:rPr>
          <w:rFonts w:ascii="Times New Roman" w:hAnsi="Times New Roman"/>
        </w:rPr>
      </w:pPr>
    </w:p>
    <w:p w14:paraId="46D47583" w14:textId="77777777" w:rsidR="00E1050F" w:rsidRPr="00A96255" w:rsidRDefault="00E1050F" w:rsidP="00F719A8">
      <w:pPr>
        <w:pStyle w:val="MHeader2"/>
      </w:pPr>
      <w:r w:rsidRPr="00A96255">
        <w:t xml:space="preserve">4.j Quality assurance </w:t>
      </w:r>
      <w:r>
        <w:rPr>
          <w:color w:val="B4B4B4"/>
          <w:sz w:val="20"/>
        </w:rPr>
        <w:t>(QUALITY_ASSURE)</w:t>
      </w:r>
    </w:p>
    <w:p w14:paraId="5FACF7C8" w14:textId="41C4B72B" w:rsidR="00EC2915" w:rsidRDefault="00960C3E" w:rsidP="00576CFA">
      <w:pPr>
        <w:pStyle w:val="MText"/>
      </w:pPr>
      <w:r>
        <w:t>FAO is responsible for the quality of the internal statistical processes used to compile the published datasets. The FAO Statistics Quality Assurance Framework (SQAF), available at: http://www.fao.org/docrep/019/i3664e/i3664e.pdf, provides the necessary principles, guidelines and tools to carry out quality assessments. FAO performs an internal bi-annual survey (FAO Quality Assessment and Planning Survey) designed to gather information on all of FAO’s statistical activities, notably to assess the extent to which quality standards are being implemented with a view to increasing compliance with the quality dimensions of SQAF, documenting best practices and prepare quality improvement plans, where necessary. Domain-specific quality assurance activities are carried out systematically (e.g. quality reviews, self-assessments, compliance monitoring).</w:t>
      </w:r>
    </w:p>
    <w:p w14:paraId="32B3BC7F" w14:textId="77777777" w:rsidR="00071711" w:rsidRPr="00A96255" w:rsidRDefault="00071711" w:rsidP="00576CFA">
      <w:pPr>
        <w:pStyle w:val="MText"/>
      </w:pPr>
    </w:p>
    <w:p w14:paraId="09AAA1A8" w14:textId="77777777" w:rsidR="00E1050F" w:rsidRPr="00A96255" w:rsidRDefault="00576CFA" w:rsidP="00F719A8">
      <w:pPr>
        <w:pStyle w:val="MHeader2"/>
      </w:pPr>
      <w:r w:rsidRPr="00A96255">
        <w:t xml:space="preserve">4.k Quality assessment </w:t>
      </w:r>
      <w:r>
        <w:rPr>
          <w:color w:val="B4B4B4"/>
          <w:sz w:val="20"/>
        </w:rPr>
        <w:t>(QUALITY_ASSMNT)</w:t>
      </w:r>
    </w:p>
    <w:p w14:paraId="72085004" w14:textId="77777777" w:rsidR="00576CFA" w:rsidRPr="00A96255" w:rsidRDefault="00960C3E" w:rsidP="00576CFA">
      <w:pPr>
        <w:pStyle w:val="MText"/>
      </w:pPr>
      <w:r>
        <w:t xml:space="preserve">The responsible officer conducts a self-assessment of the calculation process and its outputs </w:t>
      </w:r>
      <w:proofErr w:type="gramStart"/>
      <w:r>
        <w:t>on the basis of</w:t>
      </w:r>
      <w:proofErr w:type="gramEnd"/>
      <w:r>
        <w:t xml:space="preserve"> the FAO Statistics Quality Assurance Framework (SQAF). The SQAF considers the following principles: relevance, accuracy and reliability, timelessness and punctuality, coherence and comparability, and accessibility and clarity.</w:t>
      </w:r>
    </w:p>
    <w:p w14:paraId="43F2AD2D" w14:textId="77777777" w:rsidR="00576CFA" w:rsidRPr="00A96255" w:rsidRDefault="00576CFA" w:rsidP="00576CFA">
      <w:pPr>
        <w:pStyle w:val="MText"/>
      </w:pPr>
    </w:p>
    <w:p w14:paraId="71E7FA61" w14:textId="77777777" w:rsidR="00E1050F" w:rsidRPr="00A96255" w:rsidRDefault="00576CFA" w:rsidP="000412A0">
      <w:pPr>
        <w:pStyle w:val="MHeader"/>
        <w:spacing w:after="100"/>
      </w:pPr>
      <w:r w:rsidRPr="00A96255">
        <w:t xml:space="preserve">5. Data availability and disaggregation </w:t>
      </w:r>
      <w:r>
        <w:rPr>
          <w:color w:val="B4B4B4"/>
          <w:sz w:val="20"/>
        </w:rPr>
        <w:t>(COVERAGE)</w:t>
      </w:r>
    </w:p>
    <w:p w14:paraId="6B7D5931" w14:textId="154CEBA2" w:rsidR="006D29E0" w:rsidRDefault="006D29E0" w:rsidP="00E1050F">
      <w:pPr>
        <w:pStyle w:val="MText"/>
        <w:rPr>
          <w:color w:val="000000" w:themeColor="text1"/>
        </w:rPr>
      </w:pPr>
      <w:r w:rsidRPr="006D29E0">
        <w:rPr>
          <w:b/>
        </w:rPr>
        <w:t>Data availability:</w:t>
      </w:r>
      <w:r w:rsidR="00F41A07">
        <w:rPr>
          <w:b/>
        </w:rPr>
        <w:t xml:space="preserve"> </w:t>
      </w:r>
      <w:r w:rsidR="00F41A07">
        <w:rPr>
          <w:color w:val="000000" w:themeColor="text1"/>
        </w:rPr>
        <w:t xml:space="preserve">The measures are established and widely available (“Tier I”-type) indicators that FAO has disseminated for many years through FAOSTAT and AQUASTAT (seven indicators have a country coverage that is higher than 80%, while the </w:t>
      </w:r>
      <w:r w:rsidR="00D723AB">
        <w:rPr>
          <w:color w:val="000000" w:themeColor="text1"/>
        </w:rPr>
        <w:t xml:space="preserve">informal employment in agriculture </w:t>
      </w:r>
      <w:r w:rsidR="00F41A07">
        <w:rPr>
          <w:color w:val="000000" w:themeColor="text1"/>
        </w:rPr>
        <w:t xml:space="preserve">indicator for rural areas currently has a country coverage slightly over </w:t>
      </w:r>
      <w:r w:rsidR="00D723AB">
        <w:rPr>
          <w:color w:val="000000" w:themeColor="text1"/>
        </w:rPr>
        <w:t>5</w:t>
      </w:r>
      <w:r w:rsidR="00F41A07">
        <w:rPr>
          <w:color w:val="000000" w:themeColor="text1"/>
        </w:rPr>
        <w:t>0%).</w:t>
      </w:r>
    </w:p>
    <w:p w14:paraId="18173948" w14:textId="77777777" w:rsidR="00F553BC" w:rsidRPr="006D29E0" w:rsidRDefault="00F553BC" w:rsidP="00E1050F">
      <w:pPr>
        <w:pStyle w:val="MText"/>
        <w:rPr>
          <w:b/>
        </w:rPr>
      </w:pPr>
    </w:p>
    <w:p w14:paraId="42D393AD" w14:textId="67BA481D" w:rsidR="006D29E0" w:rsidRDefault="006D29E0" w:rsidP="00E1050F">
      <w:pPr>
        <w:pStyle w:val="MText"/>
        <w:rPr>
          <w:bCs/>
        </w:rPr>
      </w:pPr>
      <w:r w:rsidRPr="006D29E0">
        <w:rPr>
          <w:b/>
        </w:rPr>
        <w:t>Time series:</w:t>
      </w:r>
      <w:r w:rsidR="00F54CBB">
        <w:rPr>
          <w:b/>
        </w:rPr>
        <w:t xml:space="preserve"> </w:t>
      </w:r>
      <w:r w:rsidR="00F54CBB">
        <w:rPr>
          <w:bCs/>
        </w:rPr>
        <w:t xml:space="preserve">2015 </w:t>
      </w:r>
      <w:r w:rsidR="0082429B">
        <w:rPr>
          <w:bCs/>
        </w:rPr>
        <w:t>to T – 2, where T is the current calendar year.</w:t>
      </w:r>
    </w:p>
    <w:p w14:paraId="36D0FFB8" w14:textId="77777777" w:rsidR="00F553BC" w:rsidRPr="00AE3F05" w:rsidRDefault="00F553BC" w:rsidP="00E1050F">
      <w:pPr>
        <w:pStyle w:val="MText"/>
        <w:rPr>
          <w:bCs/>
        </w:rPr>
      </w:pPr>
    </w:p>
    <w:p w14:paraId="49D53CD2" w14:textId="39E1CA71" w:rsidR="006D29E0" w:rsidRPr="00960C3E" w:rsidRDefault="006D29E0" w:rsidP="00E1050F">
      <w:pPr>
        <w:pStyle w:val="MText"/>
      </w:pPr>
      <w:r w:rsidRPr="006D29E0">
        <w:rPr>
          <w:b/>
        </w:rPr>
        <w:t xml:space="preserve">Disaggregation: </w:t>
      </w:r>
      <w:r w:rsidR="00F41A07" w:rsidRPr="0082429B">
        <w:t>D</w:t>
      </w:r>
      <w:r w:rsidR="00F41A07" w:rsidRPr="00AE3F05">
        <w:rPr>
          <w:color w:val="000000" w:themeColor="text1"/>
        </w:rPr>
        <w:t xml:space="preserve">ata for the </w:t>
      </w:r>
      <w:r w:rsidR="00B24AF8">
        <w:rPr>
          <w:color w:val="000000" w:themeColor="text1"/>
        </w:rPr>
        <w:t>7</w:t>
      </w:r>
      <w:r w:rsidR="00F41A07" w:rsidRPr="00AE3F05">
        <w:rPr>
          <w:color w:val="000000" w:themeColor="text1"/>
        </w:rPr>
        <w:t xml:space="preserve"> measures are collected and analysed directly at national level</w:t>
      </w:r>
      <w:r w:rsidR="00F41A07" w:rsidRPr="0082429B">
        <w:rPr>
          <w:color w:val="000000" w:themeColor="text1"/>
        </w:rPr>
        <w:t>.</w:t>
      </w:r>
    </w:p>
    <w:p w14:paraId="148B307D" w14:textId="77777777" w:rsidR="00F719A8" w:rsidRPr="00F719A8" w:rsidRDefault="00F719A8" w:rsidP="00E1050F">
      <w:pPr>
        <w:pStyle w:val="MText"/>
        <w:rPr>
          <w:highlight w:val="yellow"/>
        </w:rPr>
      </w:pPr>
    </w:p>
    <w:p w14:paraId="554FE8FF" w14:textId="7777777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75AA5BEB" w14:textId="77777777" w:rsidR="00576CFA" w:rsidRPr="00394266" w:rsidRDefault="00BB7C98" w:rsidP="00394266">
      <w:pPr>
        <w:pStyle w:val="MText"/>
      </w:pPr>
      <w:r w:rsidRPr="00394266">
        <w:t>Not applicable since FAO shall compile indicators for all countries.</w:t>
      </w:r>
    </w:p>
    <w:p w14:paraId="23954C0C" w14:textId="77777777" w:rsidR="00EC2915" w:rsidRDefault="00EC2915" w:rsidP="00576CFA">
      <w:pPr>
        <w:pStyle w:val="MText"/>
      </w:pPr>
    </w:p>
    <w:p w14:paraId="73E4AF4F" w14:textId="77777777" w:rsidR="00382CF3" w:rsidRPr="00A96255" w:rsidRDefault="00576CFA" w:rsidP="000412A0">
      <w:pPr>
        <w:pStyle w:val="MHeader"/>
        <w:spacing w:after="100"/>
      </w:pPr>
      <w:r w:rsidRPr="00A96255">
        <w:lastRenderedPageBreak/>
        <w:t xml:space="preserve">7. References and Documentation </w:t>
      </w:r>
      <w:r>
        <w:rPr>
          <w:color w:val="B4B4B4"/>
          <w:sz w:val="20"/>
        </w:rPr>
        <w:t>(OTHER_DOC)</w:t>
      </w:r>
    </w:p>
    <w:p w14:paraId="04557BBA" w14:textId="49EBD090" w:rsidR="00F553BC" w:rsidRDefault="005D1B4F" w:rsidP="00BD7FAB">
      <w:pPr>
        <w:pStyle w:val="MText"/>
      </w:pPr>
      <w:proofErr w:type="spellStart"/>
      <w:r>
        <w:t>Tubiello</w:t>
      </w:r>
      <w:proofErr w:type="spellEnd"/>
      <w:r>
        <w:t xml:space="preserve">, F.N., </w:t>
      </w:r>
      <w:proofErr w:type="spellStart"/>
      <w:r>
        <w:t>Wanner</w:t>
      </w:r>
      <w:proofErr w:type="spellEnd"/>
      <w:r>
        <w:t xml:space="preserve">, N., Asprooth, L., Mueller, M, </w:t>
      </w:r>
      <w:proofErr w:type="spellStart"/>
      <w:r>
        <w:t>Ignaciuk</w:t>
      </w:r>
      <w:proofErr w:type="spellEnd"/>
      <w:r>
        <w:t xml:space="preserve">, A., Khan, A. A. &amp; Rosero Moncayo, J., 2021. Measuring progress towards sustainable agriculture. FAO Statistics Working Paper 21-24. Rome, FAO. https://doi.org/10.4060/cb4549en </w:t>
      </w:r>
      <w:r w:rsidR="00C2246B">
        <w:t>FAO. 1988. Report of the FAO Council, 94th Session, 1988. FAO, Rome, Italy</w:t>
      </w:r>
    </w:p>
    <w:p w14:paraId="76AD0471" w14:textId="77777777" w:rsidR="00F553BC" w:rsidRDefault="00F553BC">
      <w:pPr>
        <w:rPr>
          <w:rFonts w:eastAsia="Times New Roman" w:cs="Times New Roman"/>
          <w:color w:val="4A4A4A"/>
          <w:sz w:val="21"/>
          <w:szCs w:val="21"/>
          <w:lang w:eastAsia="en-GB"/>
        </w:rPr>
      </w:pPr>
      <w:r>
        <w:br w:type="page"/>
      </w:r>
    </w:p>
    <w:p w14:paraId="2C977838" w14:textId="77777777" w:rsidR="00F553BC" w:rsidRDefault="00F553BC" w:rsidP="00BD7FAB">
      <w:pPr>
        <w:pStyle w:val="MText"/>
      </w:pPr>
    </w:p>
    <w:p w14:paraId="444E91C4" w14:textId="77777777" w:rsidR="003F2D70" w:rsidRPr="00F553BC" w:rsidRDefault="003F2D70" w:rsidP="002A733C">
      <w:pPr>
        <w:pStyle w:val="MHeader"/>
        <w:pBdr>
          <w:bottom w:val="none" w:sz="0" w:space="0" w:color="auto"/>
        </w:pBdr>
        <w:adjustRightInd w:val="0"/>
        <w:snapToGrid w:val="0"/>
      </w:pPr>
      <w:bookmarkStart w:id="5" w:name="_Toc37932752"/>
      <w:r w:rsidRPr="00F553BC">
        <w:t>Annex</w:t>
      </w:r>
      <w:r w:rsidR="008B27F5" w:rsidRPr="00F553BC">
        <w:t xml:space="preserve"> 1</w:t>
      </w:r>
      <w:r w:rsidRPr="00F553BC">
        <w:t xml:space="preserve">: </w:t>
      </w:r>
      <w:r w:rsidR="005411E7" w:rsidRPr="00F553BC">
        <w:t>D</w:t>
      </w:r>
      <w:r w:rsidRPr="00F553BC">
        <w:t>escription of the sub-indicators</w:t>
      </w:r>
    </w:p>
    <w:p w14:paraId="153AF40F" w14:textId="77777777" w:rsidR="003F2D70" w:rsidRPr="006800C0" w:rsidRDefault="003F2D70" w:rsidP="003F2D70">
      <w:pPr>
        <w:spacing w:after="0" w:line="240" w:lineRule="auto"/>
        <w:rPr>
          <w:rFonts w:eastAsia="Calibri"/>
          <w:color w:val="2F5496"/>
          <w:lang w:eastAsia="en-US"/>
        </w:rPr>
      </w:pPr>
      <w:r w:rsidRPr="00CE4828">
        <w:rPr>
          <w:rFonts w:eastAsia="Calibri"/>
          <w:b/>
          <w:color w:val="000000"/>
          <w:lang w:eastAsia="en-US"/>
        </w:rPr>
        <w:t xml:space="preserve">1. </w:t>
      </w:r>
      <w:r w:rsidRPr="006800C0">
        <w:rPr>
          <w:rFonts w:eastAsia="Calibri"/>
          <w:b/>
          <w:color w:val="000000"/>
          <w:lang w:eastAsia="en-US"/>
        </w:rPr>
        <w:t xml:space="preserve">Gross </w:t>
      </w:r>
      <w:r>
        <w:rPr>
          <w:rFonts w:eastAsia="Calibri"/>
          <w:b/>
          <w:color w:val="000000"/>
          <w:lang w:eastAsia="en-US"/>
        </w:rPr>
        <w:t>p</w:t>
      </w:r>
      <w:r w:rsidRPr="006800C0">
        <w:rPr>
          <w:rFonts w:eastAsia="Calibri"/>
          <w:b/>
          <w:color w:val="000000"/>
          <w:lang w:eastAsia="en-US"/>
        </w:rPr>
        <w:t xml:space="preserve">roduction </w:t>
      </w:r>
      <w:r>
        <w:rPr>
          <w:rFonts w:eastAsia="Calibri"/>
          <w:b/>
          <w:color w:val="000000"/>
          <w:lang w:eastAsia="en-US"/>
        </w:rPr>
        <w:t>v</w:t>
      </w:r>
      <w:r w:rsidRPr="006800C0">
        <w:rPr>
          <w:rFonts w:eastAsia="Calibri"/>
          <w:b/>
          <w:color w:val="000000"/>
          <w:lang w:eastAsia="en-US"/>
        </w:rPr>
        <w:t xml:space="preserve">alue per </w:t>
      </w:r>
      <w:r>
        <w:rPr>
          <w:rFonts w:eastAsia="Calibri"/>
          <w:b/>
          <w:color w:val="000000"/>
          <w:lang w:eastAsia="en-US"/>
        </w:rPr>
        <w:t>h</w:t>
      </w:r>
      <w:r w:rsidRPr="00CE4828">
        <w:rPr>
          <w:rFonts w:eastAsia="Calibri"/>
          <w:b/>
          <w:color w:val="000000"/>
          <w:lang w:eastAsia="en-US"/>
        </w:rPr>
        <w:t>ectare</w:t>
      </w:r>
      <w:r w:rsidRPr="00CE4828" w:rsidDel="0039230A">
        <w:rPr>
          <w:rFonts w:eastAsia="Calibri"/>
          <w:b/>
          <w:color w:val="000000"/>
          <w:lang w:eastAsia="en-US"/>
        </w:rPr>
        <w:t xml:space="preserve"> </w:t>
      </w:r>
    </w:p>
    <w:p w14:paraId="11B18D7D" w14:textId="77777777" w:rsidR="003F2D70" w:rsidRPr="006800C0" w:rsidRDefault="003F2D70" w:rsidP="003F2D70">
      <w:pPr>
        <w:spacing w:after="0" w:line="240" w:lineRule="auto"/>
        <w:contextualSpacing/>
        <w:rPr>
          <w:rFonts w:eastAsia="Calibri"/>
          <w:color w:val="000000"/>
          <w:lang w:eastAsia="en-US"/>
        </w:rPr>
      </w:pPr>
      <w:r w:rsidRPr="006800C0">
        <w:rPr>
          <w:rFonts w:eastAsia="Calibri"/>
          <w:color w:val="000000"/>
          <w:lang w:eastAsia="en-US"/>
        </w:rPr>
        <w:t>Formula:</w:t>
      </w:r>
    </w:p>
    <w:p w14:paraId="638DA410" w14:textId="77777777" w:rsidR="003F2D70" w:rsidRPr="006800C0" w:rsidRDefault="003F2D70" w:rsidP="003F2D70">
      <w:pPr>
        <w:spacing w:after="0" w:line="240" w:lineRule="auto"/>
        <w:contextualSpacing/>
        <w:rPr>
          <w:rFonts w:eastAsia="Calibri"/>
          <w:color w:val="000000"/>
          <w:lang w:eastAsia="en-US"/>
        </w:rPr>
      </w:pPr>
    </w:p>
    <w:p w14:paraId="4BDBE7BB" w14:textId="77777777" w:rsidR="003F2D70" w:rsidRPr="006800C0" w:rsidRDefault="003F2D70" w:rsidP="003F2D70">
      <w:pPr>
        <w:spacing w:after="0" w:line="240" w:lineRule="auto"/>
        <w:contextualSpacing/>
        <w:rPr>
          <w:rFonts w:eastAsia="Calibri"/>
          <w:color w:val="000000"/>
          <w:lang w:eastAsia="en-US"/>
        </w:rPr>
      </w:pPr>
      <w:r w:rsidRPr="006800C0">
        <w:rPr>
          <w:rFonts w:eastAsia="Calibri"/>
          <w:color w:val="000000"/>
          <w:lang w:eastAsia="en-US"/>
        </w:rPr>
        <w:t xml:space="preserve">Gross production value per hectare = </w:t>
      </w:r>
      <m:oMath>
        <m:f>
          <m:fPr>
            <m:ctrlPr>
              <w:rPr>
                <w:rFonts w:ascii="Cambria Math" w:hAnsi="Cambria Math"/>
                <w:color w:val="000000"/>
              </w:rPr>
            </m:ctrlPr>
          </m:fPr>
          <m:num>
            <m:r>
              <w:rPr>
                <w:rFonts w:ascii="Cambria Math" w:hAnsi="Cambria Math"/>
                <w:color w:val="000000"/>
              </w:rPr>
              <m:t>Gross Production Value Agriculture</m:t>
            </m:r>
          </m:num>
          <m:den>
            <m:r>
              <w:rPr>
                <w:rFonts w:ascii="Cambria Math" w:hAnsi="Cambria Math"/>
                <w:color w:val="000000"/>
              </w:rPr>
              <m:t>Agricultural Land</m:t>
            </m:r>
          </m:den>
        </m:f>
      </m:oMath>
      <w:r w:rsidRPr="006800C0">
        <w:rPr>
          <w:rFonts w:eastAsia="Calibri"/>
          <w:color w:val="000000"/>
          <w:lang w:eastAsia="en-US"/>
        </w:rPr>
        <w:t xml:space="preserve"> </w:t>
      </w:r>
    </w:p>
    <w:p w14:paraId="4E55DCAE" w14:textId="77777777" w:rsidR="003F2D70" w:rsidRPr="006800C0" w:rsidRDefault="003F2D70" w:rsidP="003F2D70">
      <w:pPr>
        <w:spacing w:after="0" w:line="240" w:lineRule="auto"/>
        <w:contextualSpacing/>
        <w:rPr>
          <w:rFonts w:eastAsia="Calibri"/>
          <w:color w:val="000000"/>
          <w:lang w:eastAsia="en-US"/>
        </w:rPr>
      </w:pPr>
    </w:p>
    <w:p w14:paraId="4EFFE0B1" w14:textId="77777777" w:rsidR="003F2D70" w:rsidRPr="006800C0" w:rsidRDefault="003F2D70" w:rsidP="003F2D70">
      <w:pPr>
        <w:spacing w:after="0" w:line="240" w:lineRule="auto"/>
        <w:contextualSpacing/>
        <w:rPr>
          <w:rFonts w:eastAsia="Calibri"/>
          <w:color w:val="000000"/>
          <w:lang w:eastAsia="en-US"/>
        </w:rPr>
      </w:pPr>
      <w:r w:rsidRPr="00CE4828">
        <w:rPr>
          <w:rFonts w:eastAsia="Calibri"/>
          <w:i/>
          <w:color w:val="000000"/>
          <w:lang w:eastAsia="en-US"/>
        </w:rPr>
        <w:t>Numerator</w:t>
      </w:r>
      <w:r w:rsidRPr="006800C0">
        <w:rPr>
          <w:rFonts w:eastAsia="Calibri"/>
          <w:i/>
          <w:color w:val="000000"/>
          <w:lang w:eastAsia="en-US"/>
        </w:rPr>
        <w:t xml:space="preserve"> </w:t>
      </w:r>
      <w:r w:rsidRPr="00CE4828">
        <w:rPr>
          <w:rFonts w:eastAsia="Calibri"/>
          <w:color w:val="000000"/>
          <w:lang w:eastAsia="en-US"/>
        </w:rPr>
        <w:t>(Gross Production Value Agriculture):</w:t>
      </w:r>
      <w:r w:rsidRPr="006800C0">
        <w:rPr>
          <w:rFonts w:eastAsia="Calibri"/>
          <w:i/>
          <w:color w:val="000000"/>
          <w:lang w:eastAsia="en-US"/>
        </w:rPr>
        <w:t xml:space="preserve"> </w:t>
      </w:r>
      <w:r w:rsidRPr="006800C0">
        <w:rPr>
          <w:rFonts w:eastAsia="Calibri"/>
          <w:color w:val="000000"/>
          <w:lang w:eastAsia="en-US"/>
        </w:rPr>
        <w:t xml:space="preserve"> Value of gross production has been compiled by multiplying gross production in physical terms by output prices at farm gate. Thus, value of production measures production in monetary terms at the farm gate level. Since intermediate uses within the agricultural sector (seed and feed) have not been subtracted from production data, this value of production aggregate refers to the notion of "gross production". </w:t>
      </w:r>
    </w:p>
    <w:p w14:paraId="495BCC34" w14:textId="77777777" w:rsidR="003F2D70" w:rsidRPr="006800C0" w:rsidRDefault="003F2D70" w:rsidP="003F2D70">
      <w:pPr>
        <w:spacing w:after="0" w:line="240" w:lineRule="auto"/>
        <w:ind w:left="360"/>
        <w:contextualSpacing/>
        <w:rPr>
          <w:rFonts w:eastAsia="Calibri"/>
          <w:color w:val="000000"/>
          <w:lang w:eastAsia="en-US"/>
        </w:rPr>
      </w:pPr>
    </w:p>
    <w:p w14:paraId="61B5C1ED" w14:textId="77777777" w:rsidR="003F2D70" w:rsidRPr="006800C0" w:rsidRDefault="003F2D70" w:rsidP="003F2D70">
      <w:pPr>
        <w:spacing w:after="0" w:line="240" w:lineRule="auto"/>
        <w:contextualSpacing/>
        <w:rPr>
          <w:rFonts w:eastAsia="Calibri"/>
          <w:color w:val="000000"/>
          <w:lang w:eastAsia="en-US"/>
        </w:rPr>
      </w:pPr>
      <w:r w:rsidRPr="00CE4828">
        <w:rPr>
          <w:rFonts w:eastAsia="Calibri"/>
          <w:i/>
          <w:color w:val="000000"/>
          <w:lang w:eastAsia="en-US"/>
        </w:rPr>
        <w:t>Denominator</w:t>
      </w:r>
      <w:r w:rsidRPr="006800C0">
        <w:rPr>
          <w:rFonts w:eastAsia="Calibri"/>
          <w:i/>
          <w:color w:val="000000"/>
          <w:lang w:eastAsia="en-US"/>
        </w:rPr>
        <w:t xml:space="preserve"> (Agriculture Land)</w:t>
      </w:r>
      <w:r w:rsidRPr="006800C0">
        <w:rPr>
          <w:rFonts w:eastAsia="Calibri"/>
          <w:color w:val="000000"/>
          <w:lang w:eastAsia="en-US"/>
        </w:rPr>
        <w:t xml:space="preserve">: Land used for cultivation of crops and animal husbandry. The total of area under ''Cropland'' and ''Permanent meadows and pastures.'' </w:t>
      </w:r>
    </w:p>
    <w:p w14:paraId="14DD958A" w14:textId="77777777" w:rsidR="003F2D70" w:rsidRPr="00BD7FAB" w:rsidRDefault="003F2D70" w:rsidP="003F2D70">
      <w:pPr>
        <w:spacing w:after="0" w:line="240" w:lineRule="auto"/>
        <w:contextualSpacing/>
        <w:rPr>
          <w:rFonts w:eastAsia="Calibri"/>
          <w:lang w:eastAsia="en-US"/>
        </w:rPr>
      </w:pPr>
    </w:p>
    <w:p w14:paraId="13BE8CF4" w14:textId="77777777" w:rsidR="003F2D70" w:rsidRPr="00CE4828" w:rsidRDefault="003F2D70" w:rsidP="003F2D70">
      <w:pPr>
        <w:spacing w:after="0" w:line="240" w:lineRule="auto"/>
        <w:contextualSpacing/>
        <w:rPr>
          <w:rFonts w:eastAsia="Calibri"/>
          <w:color w:val="000000"/>
          <w:lang w:eastAsia="en-US"/>
        </w:rPr>
      </w:pPr>
      <w:r w:rsidRPr="006800C0">
        <w:rPr>
          <w:rFonts w:eastAsia="Calibri"/>
          <w:i/>
          <w:color w:val="000000"/>
          <w:lang w:eastAsia="en-US"/>
        </w:rPr>
        <w:t>Unit of measure</w:t>
      </w:r>
      <w:r w:rsidRPr="00CE4828">
        <w:rPr>
          <w:rFonts w:eastAsia="Calibri"/>
          <w:i/>
          <w:color w:val="000000"/>
          <w:lang w:eastAsia="en-US"/>
        </w:rPr>
        <w:t>:</w:t>
      </w:r>
      <w:r w:rsidRPr="006800C0">
        <w:rPr>
          <w:rFonts w:eastAsia="Calibri"/>
          <w:color w:val="000000"/>
          <w:lang w:eastAsia="en-US"/>
        </w:rPr>
        <w:t xml:space="preserve"> </w:t>
      </w:r>
      <m:oMath>
        <m:f>
          <m:fPr>
            <m:ctrlPr>
              <w:rPr>
                <w:rFonts w:ascii="Cambria Math" w:eastAsia="Calibri" w:hAnsi="Cambria Math"/>
                <w:i/>
                <w:color w:val="000000"/>
                <w:lang w:eastAsia="en-US"/>
              </w:rPr>
            </m:ctrlPr>
          </m:fPr>
          <m:num>
            <m:r>
              <m:rPr>
                <m:sty m:val="p"/>
              </m:rPr>
              <w:rPr>
                <w:rFonts w:ascii="Cambria Math" w:hAnsi="Cambria Math"/>
                <w:color w:val="000000"/>
              </w:rPr>
              <m:t xml:space="preserve">Constant 2014-2016 I $ </m:t>
            </m:r>
          </m:num>
          <m:den>
            <m:r>
              <m:rPr>
                <m:sty m:val="p"/>
              </m:rPr>
              <w:rPr>
                <w:rFonts w:ascii="Cambria Math" w:hAnsi="Cambria Math"/>
                <w:color w:val="000000"/>
              </w:rPr>
              <m:t>1000 hectares</m:t>
            </m:r>
          </m:den>
        </m:f>
      </m:oMath>
    </w:p>
    <w:p w14:paraId="10321A80" w14:textId="77777777" w:rsidR="003F2D70" w:rsidRPr="006800C0" w:rsidRDefault="003F2D70" w:rsidP="003F2D70">
      <w:pPr>
        <w:spacing w:after="0" w:line="240" w:lineRule="auto"/>
        <w:contextualSpacing/>
        <w:rPr>
          <w:rFonts w:eastAsia="Calibri"/>
          <w:color w:val="000000"/>
          <w:lang w:eastAsia="en-US"/>
        </w:rPr>
      </w:pPr>
    </w:p>
    <w:p w14:paraId="6D2F5A44" w14:textId="77777777" w:rsidR="003F2D70" w:rsidRPr="006800C0" w:rsidRDefault="003F2D70" w:rsidP="003F2D70">
      <w:pPr>
        <w:spacing w:after="0" w:line="240" w:lineRule="auto"/>
        <w:contextualSpacing/>
        <w:rPr>
          <w:rFonts w:eastAsia="Calibri"/>
          <w:color w:val="000000"/>
          <w:lang w:eastAsia="en-US"/>
        </w:rPr>
      </w:pPr>
      <w:r w:rsidRPr="00CE4828">
        <w:rPr>
          <w:rFonts w:eastAsia="Calibri"/>
          <w:i/>
          <w:color w:val="000000"/>
          <w:lang w:eastAsia="en-US"/>
        </w:rPr>
        <w:t>Data sources</w:t>
      </w:r>
      <w:r w:rsidRPr="006800C0">
        <w:rPr>
          <w:rFonts w:eastAsia="Calibri"/>
          <w:color w:val="000000"/>
          <w:lang w:eastAsia="en-US"/>
        </w:rPr>
        <w:t>:</w:t>
      </w:r>
    </w:p>
    <w:p w14:paraId="4CA6E4A1" w14:textId="77777777" w:rsidR="003F2D70" w:rsidRPr="00783160" w:rsidRDefault="003F2D70" w:rsidP="003F2D70">
      <w:pPr>
        <w:spacing w:after="0" w:line="240" w:lineRule="auto"/>
        <w:contextualSpacing/>
        <w:rPr>
          <w:rFonts w:eastAsia="Calibri"/>
          <w:color w:val="000000"/>
          <w:lang w:eastAsia="en-US"/>
        </w:rPr>
      </w:pPr>
      <w:r w:rsidRPr="00783160">
        <w:rPr>
          <w:rFonts w:eastAsia="Calibri"/>
          <w:lang w:eastAsia="en-US"/>
        </w:rPr>
        <w:t xml:space="preserve">Numerator: FAOSTAT Value of </w:t>
      </w:r>
      <w:r>
        <w:rPr>
          <w:rFonts w:eastAsia="Calibri"/>
          <w:lang w:eastAsia="en-US"/>
        </w:rPr>
        <w:t xml:space="preserve">Agricultural Production Domain </w:t>
      </w:r>
      <w:hyperlink r:id="rId17" w:anchor="data/QV" w:history="1">
        <w:r w:rsidRPr="00783160">
          <w:rPr>
            <w:rStyle w:val="Hyperlink"/>
            <w:rFonts w:eastAsia="Calibri"/>
          </w:rPr>
          <w:t>https://www.fao.org/faostat/en/#data/QV</w:t>
        </w:r>
      </w:hyperlink>
    </w:p>
    <w:p w14:paraId="399DCD21" w14:textId="77777777" w:rsidR="003F2D70" w:rsidRDefault="003F2D70" w:rsidP="003F2D70">
      <w:pPr>
        <w:spacing w:after="0" w:line="240" w:lineRule="auto"/>
        <w:contextualSpacing/>
        <w:rPr>
          <w:rFonts w:eastAsia="Calibri"/>
          <w:lang w:eastAsia="en-US"/>
        </w:rPr>
      </w:pPr>
      <w:r w:rsidRPr="006800C0">
        <w:rPr>
          <w:rFonts w:eastAsia="Calibri"/>
          <w:lang w:eastAsia="en-US"/>
        </w:rPr>
        <w:t xml:space="preserve">Denominator: </w:t>
      </w:r>
      <w:r>
        <w:rPr>
          <w:rFonts w:eastAsia="Calibri"/>
          <w:lang w:eastAsia="en-US"/>
        </w:rPr>
        <w:t xml:space="preserve">FAOSTAT Land Use Domain </w:t>
      </w:r>
    </w:p>
    <w:p w14:paraId="75D34041" w14:textId="77777777" w:rsidR="003F2D70" w:rsidRDefault="003F2D70" w:rsidP="003F2D70">
      <w:pPr>
        <w:spacing w:after="0" w:line="240" w:lineRule="auto"/>
        <w:contextualSpacing/>
        <w:rPr>
          <w:rFonts w:eastAsia="Calibri"/>
          <w:color w:val="000000"/>
          <w:lang w:eastAsia="en-US"/>
        </w:rPr>
      </w:pPr>
      <w:hyperlink r:id="rId18" w:anchor="data/RL" w:history="1">
        <w:r w:rsidRPr="006800C0">
          <w:rPr>
            <w:rStyle w:val="Hyperlink"/>
            <w:rFonts w:eastAsia="Calibri"/>
          </w:rPr>
          <w:t>https://www.fao.org/faostat/en/#data/RL</w:t>
        </w:r>
      </w:hyperlink>
    </w:p>
    <w:p w14:paraId="4454F294" w14:textId="77777777" w:rsidR="003F2D70" w:rsidRPr="006800C0" w:rsidRDefault="003F2D70" w:rsidP="003F2D70">
      <w:pPr>
        <w:spacing w:after="0" w:line="240" w:lineRule="auto"/>
        <w:contextualSpacing/>
        <w:rPr>
          <w:rFonts w:eastAsia="Calibri"/>
          <w:color w:val="000000"/>
          <w:lang w:eastAsia="en-US"/>
        </w:rPr>
      </w:pPr>
    </w:p>
    <w:p w14:paraId="09EAE013" w14:textId="77777777" w:rsidR="003F2D70" w:rsidRPr="006800C0" w:rsidRDefault="003F2D70" w:rsidP="003F2D70">
      <w:pPr>
        <w:spacing w:before="120" w:after="120"/>
        <w:rPr>
          <w:rFonts w:eastAsia="Calibri"/>
          <w:color w:val="000000"/>
          <w:lang w:eastAsia="en-US"/>
        </w:rPr>
      </w:pPr>
      <w:r w:rsidRPr="00CE4828">
        <w:rPr>
          <w:b/>
          <w:color w:val="000000"/>
        </w:rPr>
        <w:t>2. Gross output diversification</w:t>
      </w:r>
      <w:r w:rsidRPr="006800C0" w:rsidDel="001309E5">
        <w:rPr>
          <w:b/>
          <w:bCs/>
          <w:color w:val="000000"/>
        </w:rPr>
        <w:t xml:space="preserve"> </w:t>
      </w:r>
    </w:p>
    <w:p w14:paraId="12A2F73F" w14:textId="77777777" w:rsidR="003F2D70" w:rsidRPr="006800C0" w:rsidRDefault="003F2D70" w:rsidP="003F2D70">
      <w:pPr>
        <w:spacing w:before="120" w:after="120"/>
        <w:rPr>
          <w:rFonts w:eastAsia="Calibri"/>
          <w:color w:val="000000"/>
          <w:lang w:eastAsia="en-US"/>
        </w:rPr>
      </w:pPr>
      <w:r w:rsidRPr="006800C0">
        <w:rPr>
          <w:rFonts w:eastAsia="Calibri"/>
          <w:color w:val="000000"/>
          <w:lang w:eastAsia="en-US"/>
        </w:rPr>
        <w:t>Formula:</w:t>
      </w:r>
    </w:p>
    <w:p w14:paraId="10F3E429" w14:textId="77777777" w:rsidR="003F2D70" w:rsidRPr="00CE4828" w:rsidRDefault="003F2D70" w:rsidP="003F2D70">
      <w:pPr>
        <w:spacing w:before="120" w:after="120"/>
        <w:rPr>
          <w:color w:val="000000"/>
          <w:lang w:eastAsia="en-US"/>
        </w:rPr>
      </w:pPr>
      <w:r w:rsidRPr="006800C0">
        <w:rPr>
          <w:rFonts w:eastAsia="Calibri"/>
          <w:color w:val="000000"/>
          <w:lang w:eastAsia="en-US"/>
        </w:rPr>
        <w:t xml:space="preserve">Gross output </w:t>
      </w:r>
      <w:r w:rsidRPr="00CE4828">
        <w:rPr>
          <w:rFonts w:eastAsia="Calibri"/>
          <w:color w:val="000000"/>
          <w:lang w:eastAsia="en-US"/>
        </w:rPr>
        <w:t>diversification</w:t>
      </w:r>
      <w:r w:rsidRPr="006800C0">
        <w:rPr>
          <w:rFonts w:eastAsia="Calibri"/>
          <w:color w:val="000000"/>
          <w:lang w:eastAsia="en-US"/>
        </w:rPr>
        <w:t xml:space="preserve"> = </w:t>
      </w:r>
      <m:oMath>
        <m:r>
          <w:rPr>
            <w:rFonts w:ascii="Cambria Math" w:hAnsi="Cambria Math"/>
            <w:color w:val="000000"/>
          </w:rPr>
          <m:t xml:space="preserve">1- </m:t>
        </m:r>
        <m:nary>
          <m:naryPr>
            <m:chr m:val="∑"/>
            <m:limLoc m:val="undOvr"/>
            <m:subHide m:val="1"/>
            <m:supHide m:val="1"/>
            <m:ctrlPr>
              <w:rPr>
                <w:rFonts w:ascii="Cambria Math" w:eastAsia="Calibri" w:hAnsi="Cambria Math"/>
                <w:i/>
                <w:color w:val="000000"/>
                <w:lang w:eastAsia="en-US"/>
              </w:rPr>
            </m:ctrlPr>
          </m:naryPr>
          <m:sub/>
          <m:sup/>
          <m:e>
            <m:r>
              <w:rPr>
                <w:rFonts w:ascii="Cambria Math" w:hAnsi="Cambria Math"/>
                <w:color w:val="000000"/>
              </w:rPr>
              <m:t>(</m:t>
            </m:r>
            <m:sSup>
              <m:sSupPr>
                <m:ctrlPr>
                  <w:rPr>
                    <w:rFonts w:ascii="Cambria Math" w:eastAsia="Calibri" w:hAnsi="Cambria Math"/>
                    <w:i/>
                    <w:color w:val="000000"/>
                    <w:lang w:eastAsia="en-US"/>
                  </w:rPr>
                </m:ctrlPr>
              </m:sSupPr>
              <m:e>
                <m:f>
                  <m:fPr>
                    <m:ctrlPr>
                      <w:rPr>
                        <w:rFonts w:ascii="Cambria Math" w:eastAsia="Calibri" w:hAnsi="Cambria Math"/>
                        <w:i/>
                        <w:color w:val="000000"/>
                        <w:lang w:eastAsia="en-US"/>
                      </w:rPr>
                    </m:ctrlPr>
                  </m:fPr>
                  <m:num>
                    <m:r>
                      <w:rPr>
                        <w:rFonts w:ascii="Cambria Math" w:hAnsi="Cambria Math"/>
                        <w:color w:val="000000"/>
                      </w:rPr>
                      <m:t>Gross</m:t>
                    </m:r>
                    <m:r>
                      <m:rPr>
                        <m:sty m:val="p"/>
                      </m:rPr>
                      <w:rPr>
                        <w:rFonts w:ascii="Cambria Math" w:hAnsi="Cambria Math"/>
                        <w:color w:val="000000"/>
                      </w:rPr>
                      <m:t xml:space="preserve"> </m:t>
                    </m:r>
                    <m:r>
                      <w:rPr>
                        <w:rFonts w:ascii="Cambria Math" w:hAnsi="Cambria Math"/>
                        <w:color w:val="000000"/>
                      </w:rPr>
                      <m:t>Production</m:t>
                    </m:r>
                    <m:sSub>
                      <m:sSubPr>
                        <m:ctrlPr>
                          <w:rPr>
                            <w:rFonts w:ascii="Cambria Math" w:hAnsi="Cambria Math"/>
                            <w:color w:val="000000"/>
                          </w:rPr>
                        </m:ctrlPr>
                      </m:sSubPr>
                      <m:e>
                        <m:r>
                          <m:rPr>
                            <m:sty m:val="p"/>
                          </m:rPr>
                          <w:rPr>
                            <w:rFonts w:ascii="Cambria Math" w:hAnsi="Cambria Math"/>
                            <w:color w:val="000000"/>
                          </w:rPr>
                          <m:t xml:space="preserve"> </m:t>
                        </m:r>
                        <m:r>
                          <w:rPr>
                            <w:rFonts w:ascii="Cambria Math" w:hAnsi="Cambria Math"/>
                            <w:color w:val="000000"/>
                          </w:rPr>
                          <m:t>Value</m:t>
                        </m:r>
                      </m:e>
                      <m:sub>
                        <m:r>
                          <w:rPr>
                            <w:rFonts w:ascii="Cambria Math" w:hAnsi="Cambria Math"/>
                            <w:color w:val="000000"/>
                          </w:rPr>
                          <m:t>cit</m:t>
                        </m:r>
                      </m:sub>
                    </m:sSub>
                  </m:num>
                  <m:den>
                    <m:r>
                      <w:rPr>
                        <w:rFonts w:ascii="Cambria Math" w:hAnsi="Cambria Math"/>
                        <w:color w:val="000000"/>
                      </w:rPr>
                      <m:t>Gross</m:t>
                    </m:r>
                    <m:r>
                      <m:rPr>
                        <m:sty m:val="p"/>
                      </m:rPr>
                      <w:rPr>
                        <w:rFonts w:ascii="Cambria Math" w:hAnsi="Cambria Math"/>
                        <w:color w:val="000000"/>
                      </w:rPr>
                      <m:t xml:space="preserve"> </m:t>
                    </m:r>
                    <m:r>
                      <w:rPr>
                        <w:rFonts w:ascii="Cambria Math" w:hAnsi="Cambria Math"/>
                        <w:color w:val="000000"/>
                      </w:rPr>
                      <m:t>Production</m:t>
                    </m:r>
                    <m:r>
                      <m:rPr>
                        <m:sty m:val="p"/>
                      </m:rPr>
                      <w:rPr>
                        <w:rFonts w:ascii="Cambria Math" w:hAnsi="Cambria Math"/>
                        <w:color w:val="000000"/>
                      </w:rPr>
                      <m:t xml:space="preserve"> </m:t>
                    </m:r>
                    <m:r>
                      <w:rPr>
                        <w:rFonts w:ascii="Cambria Math" w:hAnsi="Cambria Math"/>
                        <w:color w:val="000000"/>
                      </w:rPr>
                      <m:t>Valu</m:t>
                    </m:r>
                    <m:sSub>
                      <m:sSubPr>
                        <m:ctrlPr>
                          <w:rPr>
                            <w:rFonts w:ascii="Cambria Math" w:hAnsi="Cambria Math"/>
                            <w:color w:val="000000"/>
                          </w:rPr>
                        </m:ctrlPr>
                      </m:sSubPr>
                      <m:e>
                        <m:r>
                          <w:rPr>
                            <w:rFonts w:ascii="Cambria Math" w:hAnsi="Cambria Math"/>
                            <w:color w:val="000000"/>
                          </w:rPr>
                          <m:t>e</m:t>
                        </m:r>
                      </m:e>
                      <m:sub>
                        <m:r>
                          <w:rPr>
                            <w:rFonts w:ascii="Cambria Math" w:hAnsi="Cambria Math"/>
                            <w:color w:val="000000"/>
                          </w:rPr>
                          <m:t>it</m:t>
                        </m:r>
                      </m:sub>
                    </m:sSub>
                  </m:den>
                </m:f>
                <m:r>
                  <w:rPr>
                    <w:rFonts w:ascii="Cambria Math" w:hAnsi="Cambria Math"/>
                    <w:color w:val="000000"/>
                  </w:rPr>
                  <m:t>)</m:t>
                </m:r>
              </m:e>
              <m:sup>
                <m:r>
                  <w:rPr>
                    <w:rFonts w:ascii="Cambria Math" w:hAnsi="Cambria Math"/>
                    <w:color w:val="000000"/>
                  </w:rPr>
                  <m:t>2</m:t>
                </m:r>
              </m:sup>
            </m:sSup>
          </m:e>
        </m:nary>
      </m:oMath>
    </w:p>
    <w:p w14:paraId="7784BC2D" w14:textId="77777777" w:rsidR="003F2D70" w:rsidRPr="006800C0" w:rsidRDefault="003F2D70" w:rsidP="003F2D70">
      <w:pPr>
        <w:spacing w:after="0" w:line="240" w:lineRule="auto"/>
        <w:contextualSpacing/>
        <w:rPr>
          <w:rFonts w:eastAsia="Calibri"/>
          <w:color w:val="000000"/>
          <w:lang w:eastAsia="en-US"/>
        </w:rPr>
      </w:pPr>
      <w:r w:rsidRPr="006800C0">
        <w:rPr>
          <w:rFonts w:eastAsia="Calibri"/>
          <w:color w:val="000000"/>
          <w:lang w:eastAsia="en-US"/>
        </w:rPr>
        <w:t>C= crop</w:t>
      </w:r>
    </w:p>
    <w:p w14:paraId="3A340EE6" w14:textId="77777777" w:rsidR="003F2D70" w:rsidRPr="006800C0" w:rsidRDefault="003F2D70" w:rsidP="003F2D70">
      <w:pPr>
        <w:spacing w:after="0" w:line="240" w:lineRule="auto"/>
        <w:contextualSpacing/>
        <w:rPr>
          <w:rFonts w:eastAsia="Calibri"/>
          <w:color w:val="000000"/>
          <w:lang w:eastAsia="en-US"/>
        </w:rPr>
      </w:pPr>
      <w:r w:rsidRPr="006800C0">
        <w:rPr>
          <w:rFonts w:eastAsia="Calibri"/>
          <w:color w:val="000000"/>
          <w:lang w:eastAsia="en-US"/>
        </w:rPr>
        <w:t xml:space="preserve">I = country </w:t>
      </w:r>
    </w:p>
    <w:p w14:paraId="7A2C4D77" w14:textId="77777777" w:rsidR="003F2D70" w:rsidRPr="006800C0" w:rsidRDefault="003F2D70" w:rsidP="003F2D70">
      <w:pPr>
        <w:spacing w:after="0" w:line="240" w:lineRule="auto"/>
        <w:contextualSpacing/>
        <w:rPr>
          <w:rFonts w:eastAsia="Calibri"/>
          <w:color w:val="000000"/>
          <w:lang w:eastAsia="en-US"/>
        </w:rPr>
      </w:pPr>
      <w:r w:rsidRPr="006800C0">
        <w:rPr>
          <w:rFonts w:eastAsia="Calibri"/>
          <w:color w:val="000000"/>
          <w:lang w:eastAsia="en-US"/>
        </w:rPr>
        <w:t xml:space="preserve">t = </w:t>
      </w:r>
      <w:r w:rsidRPr="00CE4828">
        <w:rPr>
          <w:rFonts w:eastAsia="Calibri"/>
          <w:color w:val="000000"/>
          <w:lang w:eastAsia="en-US"/>
        </w:rPr>
        <w:t>year</w:t>
      </w:r>
    </w:p>
    <w:p w14:paraId="10A4CC1D" w14:textId="77777777" w:rsidR="003F2D70" w:rsidRDefault="003F2D70" w:rsidP="003F2D70">
      <w:pPr>
        <w:spacing w:before="120" w:after="120"/>
        <w:rPr>
          <w:rFonts w:eastAsia="Calibri"/>
          <w:i/>
          <w:color w:val="000000"/>
          <w:highlight w:val="yellow"/>
          <w:lang w:eastAsia="en-US"/>
        </w:rPr>
      </w:pPr>
      <w:r w:rsidRPr="00CE4828">
        <w:rPr>
          <w:rFonts w:eastAsia="Calibri"/>
          <w:i/>
          <w:color w:val="000000"/>
          <w:lang w:eastAsia="en-US"/>
        </w:rPr>
        <w:t>Unit of measure:</w:t>
      </w:r>
      <w:r w:rsidRPr="006800C0">
        <w:rPr>
          <w:rFonts w:eastAsia="Calibri"/>
          <w:color w:val="000000"/>
          <w:lang w:eastAsia="en-US"/>
        </w:rPr>
        <w:t xml:space="preserve"> unitless</w:t>
      </w:r>
    </w:p>
    <w:p w14:paraId="1D372E02" w14:textId="77777777" w:rsidR="003F2D70" w:rsidRPr="005F0355" w:rsidRDefault="003F2D70" w:rsidP="003F2D70">
      <w:pPr>
        <w:spacing w:before="120" w:after="120"/>
        <w:rPr>
          <w:rFonts w:eastAsia="Calibri"/>
          <w:i/>
          <w:color w:val="000000"/>
          <w:lang w:eastAsia="en-US"/>
        </w:rPr>
      </w:pPr>
      <w:r w:rsidRPr="005F0355">
        <w:rPr>
          <w:rFonts w:eastAsia="Calibri"/>
          <w:i/>
          <w:color w:val="000000"/>
          <w:lang w:eastAsia="en-US"/>
        </w:rPr>
        <w:t>Data source:</w:t>
      </w:r>
    </w:p>
    <w:p w14:paraId="68ECC26A" w14:textId="77777777" w:rsidR="003F2D70" w:rsidRPr="00783160" w:rsidRDefault="003F2D70" w:rsidP="003F2D70">
      <w:pPr>
        <w:spacing w:before="120" w:after="120"/>
      </w:pPr>
      <w:r w:rsidRPr="00783160">
        <w:t>FAOSTAT Value of Agricultural Production Domain</w:t>
      </w:r>
    </w:p>
    <w:p w14:paraId="5DEB457B" w14:textId="77777777" w:rsidR="003F2D70" w:rsidRDefault="003F2D70" w:rsidP="003F2D70">
      <w:pPr>
        <w:spacing w:after="0" w:line="240" w:lineRule="auto"/>
        <w:contextualSpacing/>
        <w:rPr>
          <w:rStyle w:val="Hyperlink"/>
          <w:rFonts w:eastAsia="Calibri"/>
        </w:rPr>
      </w:pPr>
      <w:hyperlink r:id="rId19" w:anchor="data/QV" w:history="1">
        <w:r w:rsidRPr="005F0355">
          <w:rPr>
            <w:rStyle w:val="Hyperlink"/>
            <w:rFonts w:eastAsia="Calibri"/>
          </w:rPr>
          <w:t>https://www.fao.org/faostat/en/#data/QV</w:t>
        </w:r>
      </w:hyperlink>
    </w:p>
    <w:p w14:paraId="34DC2295" w14:textId="77777777" w:rsidR="006C5D32" w:rsidRDefault="006C5D32" w:rsidP="003F2D70">
      <w:pPr>
        <w:spacing w:after="0" w:line="240" w:lineRule="auto"/>
        <w:contextualSpacing/>
        <w:rPr>
          <w:rStyle w:val="Hyperlink"/>
          <w:rFonts w:eastAsia="Calibri"/>
        </w:rPr>
      </w:pPr>
    </w:p>
    <w:p w14:paraId="6D02A1F2" w14:textId="6918605E" w:rsidR="006C5D32" w:rsidRPr="006800C0" w:rsidRDefault="006C5D32" w:rsidP="006C5D32">
      <w:pPr>
        <w:pStyle w:val="ListParagraph"/>
        <w:spacing w:before="120" w:after="120" w:line="240" w:lineRule="auto"/>
        <w:ind w:left="0"/>
        <w:jc w:val="both"/>
        <w:rPr>
          <w:rFonts w:ascii="Calibri" w:hAnsi="Calibri"/>
          <w:color w:val="000000"/>
        </w:rPr>
      </w:pPr>
      <w:r>
        <w:rPr>
          <w:rFonts w:ascii="Calibri" w:hAnsi="Calibri" w:cs="Calibri"/>
          <w:b/>
          <w:bCs/>
          <w:color w:val="000000"/>
        </w:rPr>
        <w:t>3</w:t>
      </w:r>
      <w:r w:rsidRPr="00CE4828">
        <w:rPr>
          <w:rFonts w:ascii="Calibri" w:hAnsi="Calibri" w:cs="Calibri"/>
          <w:b/>
          <w:bCs/>
          <w:color w:val="000000"/>
        </w:rPr>
        <w:t>.</w:t>
      </w:r>
      <w:r>
        <w:rPr>
          <w:rFonts w:ascii="Calibri" w:hAnsi="Calibri" w:cs="Calibri"/>
          <w:b/>
          <w:bCs/>
          <w:color w:val="000000"/>
        </w:rPr>
        <w:t xml:space="preserve">  </w:t>
      </w:r>
      <w:r w:rsidRPr="00CE4828">
        <w:rPr>
          <w:rFonts w:ascii="Calibri(body)" w:hAnsi="Calibri(body)"/>
          <w:b/>
          <w:color w:val="000000"/>
        </w:rPr>
        <w:t>Agricultural</w:t>
      </w:r>
      <w:r w:rsidRPr="00CE4828">
        <w:rPr>
          <w:rFonts w:ascii="Calibri" w:hAnsi="Calibri"/>
          <w:b/>
          <w:color w:val="000000"/>
        </w:rPr>
        <w:t xml:space="preserve"> value added per worker </w:t>
      </w:r>
    </w:p>
    <w:p w14:paraId="190BB821" w14:textId="77777777" w:rsidR="006C5D32" w:rsidRDefault="006C5D32" w:rsidP="006C5D32">
      <w:pPr>
        <w:pStyle w:val="ListParagraph"/>
        <w:spacing w:before="120" w:after="120" w:line="240" w:lineRule="auto"/>
        <w:ind w:left="0"/>
        <w:jc w:val="both"/>
        <w:rPr>
          <w:rFonts w:ascii="Calibri(body)" w:hAnsi="Calibri(body)" w:hint="eastAsia"/>
          <w:b/>
          <w:bCs/>
          <w:color w:val="000000"/>
        </w:rPr>
      </w:pPr>
      <w:r w:rsidRPr="00CE4828">
        <w:rPr>
          <w:rFonts w:ascii="Calibri(body)" w:hAnsi="Calibri(body)"/>
          <w:b/>
          <w:bCs/>
          <w:color w:val="000000"/>
        </w:rPr>
        <w:t xml:space="preserve"> </w:t>
      </w:r>
    </w:p>
    <w:p w14:paraId="71A37D29" w14:textId="77777777" w:rsidR="006C5D32" w:rsidRPr="006800C0" w:rsidRDefault="006C5D32" w:rsidP="006C5D32">
      <w:pPr>
        <w:pStyle w:val="ListParagraph"/>
        <w:spacing w:before="120" w:after="120"/>
        <w:ind w:left="0"/>
        <w:jc w:val="both"/>
        <w:rPr>
          <w:rFonts w:ascii="Calibri" w:hAnsi="Calibri"/>
          <w:color w:val="000000"/>
        </w:rPr>
      </w:pPr>
      <w:r w:rsidRPr="006800C0">
        <w:rPr>
          <w:rFonts w:ascii="Calibri" w:hAnsi="Calibri"/>
          <w:color w:val="000000"/>
        </w:rPr>
        <w:t xml:space="preserve">Formula: </w:t>
      </w:r>
    </w:p>
    <w:p w14:paraId="2805906C" w14:textId="77777777" w:rsidR="006C5D32" w:rsidRPr="006800C0" w:rsidRDefault="006C5D32" w:rsidP="006C5D32">
      <w:pPr>
        <w:spacing w:after="0" w:line="240" w:lineRule="auto"/>
        <w:contextualSpacing/>
        <w:rPr>
          <w:rFonts w:eastAsia="Calibri"/>
          <w:color w:val="2F5496"/>
          <w:lang w:eastAsia="en-US"/>
        </w:rPr>
      </w:pPr>
      <w:r w:rsidRPr="00CE4828">
        <w:rPr>
          <w:rFonts w:ascii="Calibri(body)" w:eastAsia="Calibri" w:hAnsi="Calibri(body)"/>
          <w:color w:val="000000"/>
          <w:lang w:eastAsia="en-US"/>
        </w:rPr>
        <w:t>Agricultural</w:t>
      </w:r>
      <w:r w:rsidRPr="00CE4828">
        <w:rPr>
          <w:rFonts w:eastAsia="Calibri"/>
          <w:color w:val="000000"/>
          <w:lang w:eastAsia="en-US"/>
        </w:rPr>
        <w:t xml:space="preserve"> value added per worker</w:t>
      </w:r>
      <m:oMath>
        <m:r>
          <w:rPr>
            <w:rFonts w:ascii="Cambria Math" w:hAnsi="Cambria Math"/>
          </w:rPr>
          <m:t>=</m:t>
        </m:r>
        <m:f>
          <m:fPr>
            <m:ctrlPr>
              <w:rPr>
                <w:rFonts w:ascii="Cambria Math" w:eastAsia="Calibri" w:hAnsi="Cambria Math"/>
                <w:i/>
                <w:color w:val="2F5496"/>
                <w:lang w:eastAsia="en-US"/>
              </w:rPr>
            </m:ctrlPr>
          </m:fPr>
          <m:num>
            <m:r>
              <m:rPr>
                <m:sty m:val="p"/>
              </m:rPr>
              <w:rPr>
                <w:rFonts w:ascii="Cambria Math" w:hAnsi="Cambria Math"/>
                <w:color w:val="000000"/>
              </w:rPr>
              <m:t>Value added in agriculture, forestry and fisheries</m:t>
            </m:r>
          </m:num>
          <m:den>
            <m:r>
              <m:rPr>
                <m:sty m:val="p"/>
              </m:rPr>
              <w:rPr>
                <w:rFonts w:ascii="Cambria Math" w:hAnsi="Cambria Math"/>
                <w:color w:val="000000"/>
              </w:rPr>
              <m:t>Number of people employed in agriculture</m:t>
            </m:r>
          </m:den>
        </m:f>
      </m:oMath>
    </w:p>
    <w:p w14:paraId="788242E4" w14:textId="77777777" w:rsidR="006C5D32" w:rsidRPr="00003322" w:rsidRDefault="006C5D32" w:rsidP="006C5D32">
      <w:pPr>
        <w:pStyle w:val="ListParagraph"/>
        <w:spacing w:before="120" w:after="120"/>
        <w:ind w:left="0"/>
        <w:jc w:val="both"/>
        <w:rPr>
          <w:rFonts w:ascii="Cambria Math" w:hAnsi="Cambria Math"/>
          <w:color w:val="2F5496"/>
        </w:rPr>
      </w:pPr>
    </w:p>
    <w:p w14:paraId="384D25DB" w14:textId="77777777" w:rsidR="006C5D32" w:rsidRPr="006800C0" w:rsidRDefault="006C5D32" w:rsidP="006C5D32">
      <w:pPr>
        <w:pStyle w:val="ListParagraph"/>
        <w:spacing w:before="120" w:after="120"/>
        <w:ind w:left="0"/>
        <w:jc w:val="both"/>
        <w:rPr>
          <w:rFonts w:ascii="Calibri" w:hAnsi="Calibri"/>
          <w:color w:val="000000"/>
        </w:rPr>
      </w:pPr>
      <w:r w:rsidRPr="006800C0">
        <w:rPr>
          <w:rFonts w:ascii="Calibri" w:hAnsi="Calibri"/>
          <w:color w:val="000000"/>
        </w:rPr>
        <w:t xml:space="preserve">This indicator provides information on the output of the agricultural sector by worker engaged. It is a measure of agricultural productivity. The data on the value added in agriculture, forestry and fisheries </w:t>
      </w:r>
      <w:r w:rsidRPr="006800C0">
        <w:rPr>
          <w:rFonts w:ascii="Calibri" w:hAnsi="Calibri"/>
          <w:color w:val="000000"/>
        </w:rPr>
        <w:lastRenderedPageBreak/>
        <w:t xml:space="preserve">is extracted from FAOSTAT and then divided by the number of people employed in agriculture (in broad sense) extracted from ILOSTAT for a given year </w:t>
      </w:r>
      <w:proofErr w:type="gramStart"/>
      <w:r w:rsidRPr="006800C0">
        <w:rPr>
          <w:rFonts w:ascii="Calibri" w:hAnsi="Calibri"/>
          <w:color w:val="000000"/>
        </w:rPr>
        <w:t>in a given</w:t>
      </w:r>
      <w:proofErr w:type="gramEnd"/>
      <w:r w:rsidRPr="006800C0">
        <w:rPr>
          <w:rFonts w:ascii="Calibri" w:hAnsi="Calibri"/>
          <w:color w:val="000000"/>
        </w:rPr>
        <w:t xml:space="preserve"> country.</w:t>
      </w:r>
    </w:p>
    <w:p w14:paraId="02B2144F" w14:textId="77777777" w:rsidR="006C5D32" w:rsidRDefault="006C5D32" w:rsidP="006C5D32">
      <w:pPr>
        <w:pStyle w:val="ListParagraph"/>
        <w:spacing w:before="120" w:after="120"/>
        <w:ind w:left="0"/>
        <w:jc w:val="both"/>
        <w:rPr>
          <w:rFonts w:ascii="Calibri" w:hAnsi="Calibri"/>
          <w:i/>
          <w:color w:val="000000"/>
        </w:rPr>
      </w:pPr>
    </w:p>
    <w:p w14:paraId="04C1D4B3" w14:textId="77777777" w:rsidR="006C5D32" w:rsidRPr="001C6ABF" w:rsidRDefault="006C5D32" w:rsidP="006C5D32">
      <w:pPr>
        <w:spacing w:before="120" w:after="120"/>
        <w:jc w:val="both"/>
        <w:rPr>
          <w:i/>
          <w:color w:val="000000"/>
        </w:rPr>
      </w:pPr>
      <w:r w:rsidRPr="001C6ABF">
        <w:rPr>
          <w:i/>
          <w:color w:val="000000"/>
        </w:rPr>
        <w:t>Unit of measure:</w:t>
      </w:r>
      <w:r w:rsidRPr="001C6ABF">
        <w:rPr>
          <w:color w:val="000000"/>
        </w:rPr>
        <w:t xml:space="preserve"> US$</w:t>
      </w:r>
      <w:r>
        <w:rPr>
          <w:color w:val="000000"/>
        </w:rPr>
        <w:t xml:space="preserve"> (</w:t>
      </w:r>
      <w:r w:rsidRPr="001C6ABF">
        <w:rPr>
          <w:color w:val="000000"/>
        </w:rPr>
        <w:t>2015 prices</w:t>
      </w:r>
      <w:r>
        <w:rPr>
          <w:color w:val="000000"/>
        </w:rPr>
        <w:t>)</w:t>
      </w:r>
      <w:r w:rsidRPr="001C6ABF">
        <w:rPr>
          <w:color w:val="000000"/>
        </w:rPr>
        <w:t xml:space="preserve"> per worker</w:t>
      </w:r>
    </w:p>
    <w:p w14:paraId="1B097AC6" w14:textId="77777777" w:rsidR="006C5D32" w:rsidRPr="00783160" w:rsidRDefault="006C5D32" w:rsidP="006C5D32">
      <w:pPr>
        <w:spacing w:after="0" w:line="240" w:lineRule="auto"/>
        <w:contextualSpacing/>
        <w:rPr>
          <w:rFonts w:eastAsia="Calibri"/>
          <w:color w:val="000000"/>
          <w:lang w:eastAsia="en-US"/>
        </w:rPr>
      </w:pPr>
      <w:r w:rsidRPr="00783160">
        <w:rPr>
          <w:rFonts w:eastAsia="Calibri"/>
          <w:i/>
          <w:color w:val="000000"/>
          <w:lang w:eastAsia="en-US"/>
        </w:rPr>
        <w:t>Data source</w:t>
      </w:r>
      <w:r w:rsidRPr="00783160">
        <w:rPr>
          <w:rFonts w:eastAsia="Calibri"/>
          <w:color w:val="000000"/>
          <w:lang w:eastAsia="en-US"/>
        </w:rPr>
        <w:t>:</w:t>
      </w:r>
    </w:p>
    <w:p w14:paraId="55B7BAB0" w14:textId="77777777" w:rsidR="006C5D32" w:rsidRDefault="006C5D32" w:rsidP="006C5D32">
      <w:pPr>
        <w:pStyle w:val="ListParagraph"/>
        <w:spacing w:before="120" w:after="120"/>
        <w:jc w:val="both"/>
        <w:rPr>
          <w:rFonts w:ascii="Calibri" w:hAnsi="Calibri"/>
          <w:color w:val="000000"/>
        </w:rPr>
      </w:pPr>
      <w:r>
        <w:rPr>
          <w:rFonts w:ascii="Calibri" w:hAnsi="Calibri"/>
          <w:color w:val="000000"/>
        </w:rPr>
        <w:t xml:space="preserve">FAOSTAT </w:t>
      </w:r>
      <w:r w:rsidRPr="00050571">
        <w:rPr>
          <w:rFonts w:ascii="Calibri" w:hAnsi="Calibri"/>
          <w:color w:val="000000"/>
        </w:rPr>
        <w:t xml:space="preserve">Employment Indicators: </w:t>
      </w:r>
      <w:proofErr w:type="gramStart"/>
      <w:r w:rsidRPr="00050571">
        <w:rPr>
          <w:rFonts w:ascii="Calibri" w:hAnsi="Calibri"/>
          <w:color w:val="000000"/>
        </w:rPr>
        <w:t xml:space="preserve">Agriculture </w:t>
      </w:r>
      <w:r>
        <w:rPr>
          <w:rFonts w:ascii="Calibri" w:hAnsi="Calibri"/>
          <w:color w:val="000000"/>
        </w:rPr>
        <w:t xml:space="preserve"> Domain</w:t>
      </w:r>
      <w:proofErr w:type="gramEnd"/>
    </w:p>
    <w:p w14:paraId="0481C872" w14:textId="77777777" w:rsidR="006C5D32" w:rsidRPr="00783160" w:rsidRDefault="006C5D32" w:rsidP="006C5D32">
      <w:pPr>
        <w:pStyle w:val="ListParagraph"/>
        <w:spacing w:before="120" w:after="120"/>
        <w:jc w:val="both"/>
        <w:rPr>
          <w:rFonts w:ascii="Calibri" w:hAnsi="Calibri"/>
          <w:i/>
          <w:color w:val="000000"/>
        </w:rPr>
      </w:pPr>
      <w:hyperlink r:id="rId20" w:anchor="data/OE" w:history="1">
        <w:r w:rsidRPr="00783160">
          <w:rPr>
            <w:color w:val="0000FF"/>
            <w:u w:val="single"/>
          </w:rPr>
          <w:t>http://www.fao.org/faostat/en/#data/OE</w:t>
        </w:r>
      </w:hyperlink>
    </w:p>
    <w:p w14:paraId="601CEE69" w14:textId="77777777" w:rsidR="006C5D32" w:rsidRDefault="006C5D32" w:rsidP="003F2D70">
      <w:pPr>
        <w:spacing w:after="0" w:line="240" w:lineRule="auto"/>
        <w:contextualSpacing/>
        <w:rPr>
          <w:rFonts w:eastAsia="Calibri"/>
          <w:b/>
          <w:bCs/>
          <w:color w:val="000000"/>
          <w:lang w:eastAsia="en-US"/>
        </w:rPr>
      </w:pPr>
    </w:p>
    <w:p w14:paraId="25D56BE2" w14:textId="77777777" w:rsidR="003F2D70" w:rsidRPr="006800C0" w:rsidRDefault="003F2D70" w:rsidP="003F2D70">
      <w:pPr>
        <w:spacing w:after="0" w:line="240" w:lineRule="auto"/>
        <w:contextualSpacing/>
        <w:rPr>
          <w:rFonts w:eastAsia="Calibri"/>
          <w:b/>
          <w:bCs/>
          <w:color w:val="000000"/>
          <w:lang w:eastAsia="en-US"/>
        </w:rPr>
      </w:pPr>
    </w:p>
    <w:p w14:paraId="07987BAC" w14:textId="6735DAC6" w:rsidR="003F2D70" w:rsidRPr="00CE4828" w:rsidRDefault="006C5D32" w:rsidP="003F2D70">
      <w:pPr>
        <w:spacing w:after="0" w:line="240" w:lineRule="auto"/>
        <w:contextualSpacing/>
        <w:rPr>
          <w:rFonts w:eastAsia="Calibri"/>
          <w:b/>
          <w:color w:val="000000"/>
          <w:lang w:eastAsia="en-US"/>
        </w:rPr>
      </w:pPr>
      <w:r>
        <w:rPr>
          <w:rFonts w:eastAsia="Calibri"/>
          <w:b/>
          <w:bCs/>
          <w:color w:val="000000"/>
          <w:lang w:eastAsia="en-US"/>
        </w:rPr>
        <w:t>4</w:t>
      </w:r>
      <w:r w:rsidR="003F2D70" w:rsidRPr="006800C0">
        <w:rPr>
          <w:rFonts w:eastAsia="Calibri"/>
          <w:b/>
          <w:bCs/>
          <w:color w:val="000000"/>
          <w:lang w:eastAsia="en-US"/>
        </w:rPr>
        <w:t>.</w:t>
      </w:r>
      <w:r w:rsidR="003F2D70" w:rsidRPr="00CE4828">
        <w:rPr>
          <w:rFonts w:eastAsia="Calibri"/>
          <w:b/>
          <w:color w:val="000000"/>
          <w:lang w:eastAsia="en-US"/>
        </w:rPr>
        <w:t xml:space="preserve"> </w:t>
      </w:r>
      <w:r w:rsidR="00F9173F">
        <w:rPr>
          <w:rFonts w:eastAsia="Calibri"/>
          <w:b/>
          <w:color w:val="000000"/>
          <w:lang w:eastAsia="en-US"/>
        </w:rPr>
        <w:t>Cropland nitrogen use efficiency</w:t>
      </w:r>
    </w:p>
    <w:p w14:paraId="7FCD1C4B" w14:textId="77777777" w:rsidR="003F2D70" w:rsidRPr="006800C0" w:rsidRDefault="003F2D70" w:rsidP="003F2D70">
      <w:pPr>
        <w:spacing w:after="0" w:line="240" w:lineRule="auto"/>
        <w:contextualSpacing/>
        <w:rPr>
          <w:rFonts w:eastAsia="Calibri"/>
          <w:color w:val="000000"/>
          <w:lang w:eastAsia="en-US"/>
        </w:rPr>
      </w:pPr>
    </w:p>
    <w:p w14:paraId="19E6C8E2" w14:textId="400133C6" w:rsidR="005636C8" w:rsidRDefault="005636C8" w:rsidP="005636C8">
      <w:pPr>
        <w:rPr>
          <w:rFonts w:ascii="Calibri" w:eastAsia="Calibri" w:hAnsi="Calibri" w:cs="Calibri"/>
          <w:color w:val="000000"/>
        </w:rPr>
      </w:pPr>
      <w:r>
        <w:rPr>
          <w:rFonts w:ascii="Calibri" w:eastAsia="Calibri" w:hAnsi="Calibri" w:cs="Calibri"/>
          <w:color w:val="000000"/>
        </w:rPr>
        <w:t xml:space="preserve">Formula:  </w:t>
      </w:r>
      <w:r w:rsidRPr="008D2805">
        <w:rPr>
          <w:rFonts w:ascii="Calibri" w:eastAsia="Calibri" w:hAnsi="Calibri" w:cs="Calibri"/>
          <w:color w:val="000000"/>
        </w:rPr>
        <w:t xml:space="preserve">The nutrient budget (NB) is calculated as the sum of inputs: </w:t>
      </w:r>
      <w:r w:rsidR="00DE0DD7">
        <w:rPr>
          <w:rFonts w:ascii="Calibri" w:eastAsia="Calibri" w:hAnsi="Calibri" w:cs="Calibri"/>
          <w:color w:val="000000"/>
        </w:rPr>
        <w:t>mineral</w:t>
      </w:r>
      <w:r w:rsidR="00DE0DD7" w:rsidRPr="008D2805">
        <w:rPr>
          <w:rFonts w:ascii="Calibri" w:eastAsia="Calibri" w:hAnsi="Calibri" w:cs="Calibri"/>
          <w:color w:val="000000"/>
        </w:rPr>
        <w:t xml:space="preserve"> </w:t>
      </w:r>
      <w:r w:rsidRPr="008D2805">
        <w:rPr>
          <w:rFonts w:ascii="Calibri" w:eastAsia="Calibri" w:hAnsi="Calibri" w:cs="Calibri"/>
          <w:color w:val="000000"/>
        </w:rPr>
        <w:t>fertilizers (</w:t>
      </w:r>
      <w:r w:rsidR="00B13928">
        <w:rPr>
          <w:rFonts w:ascii="Calibri" w:eastAsia="Calibri" w:hAnsi="Calibri" w:cs="Calibri"/>
          <w:color w:val="000000"/>
        </w:rPr>
        <w:t>M</w:t>
      </w:r>
      <w:r w:rsidRPr="008D2805">
        <w:rPr>
          <w:rFonts w:ascii="Calibri" w:eastAsia="Calibri" w:hAnsi="Calibri" w:cs="Calibri"/>
          <w:color w:val="000000"/>
        </w:rPr>
        <w:t>F) multiplied by the fraction of fertilizer applied to cropland (CF), manure applied to soils (MAS), nitrogen deposition (ND), and biological fixation (BF)</w:t>
      </w:r>
      <w:r w:rsidR="00491988">
        <w:rPr>
          <w:rFonts w:ascii="Calibri" w:eastAsia="Calibri" w:hAnsi="Calibri" w:cs="Calibri"/>
          <w:color w:val="000000"/>
        </w:rPr>
        <w:t>, and seed (SD)</w:t>
      </w:r>
      <w:r w:rsidRPr="008D2805">
        <w:rPr>
          <w:rFonts w:ascii="Calibri" w:eastAsia="Calibri" w:hAnsi="Calibri" w:cs="Calibri"/>
          <w:color w:val="000000"/>
        </w:rPr>
        <w:t xml:space="preserve"> minus outputs: crop removal (CR).</w:t>
      </w:r>
    </w:p>
    <w:p w14:paraId="3FAE9781" w14:textId="7CA490B6" w:rsidR="005636C8" w:rsidRDefault="005636C8" w:rsidP="005636C8">
      <w:pPr>
        <w:rPr>
          <w:rFonts w:ascii="Calibri" w:eastAsia="Calibri" w:hAnsi="Calibri" w:cs="Calibri"/>
          <w:color w:val="000000"/>
        </w:rPr>
      </w:pPr>
      <w:r>
        <w:rPr>
          <w:rFonts w:ascii="Calibri" w:eastAsia="Calibri" w:hAnsi="Calibri" w:cs="Calibri"/>
          <w:color w:val="000000"/>
        </w:rPr>
        <w:t xml:space="preserve">Thus:  the Nutrient Budget (NB) for country </w:t>
      </w:r>
      <w:proofErr w:type="spellStart"/>
      <w:r>
        <w:rPr>
          <w:rFonts w:ascii="Calibri" w:eastAsia="Calibri" w:hAnsi="Calibri" w:cs="Calibri"/>
          <w:i/>
          <w:color w:val="000000"/>
        </w:rPr>
        <w:t>i</w:t>
      </w:r>
      <w:proofErr w:type="spellEnd"/>
      <w:r>
        <w:rPr>
          <w:rFonts w:ascii="Calibri" w:eastAsia="Calibri" w:hAnsi="Calibri" w:cs="Calibri"/>
          <w:color w:val="000000"/>
        </w:rPr>
        <w:t xml:space="preserve"> for nutrient </w:t>
      </w:r>
      <w:r>
        <w:rPr>
          <w:rFonts w:ascii="Calibri" w:eastAsia="Calibri" w:hAnsi="Calibri" w:cs="Calibri"/>
          <w:i/>
          <w:color w:val="000000"/>
        </w:rPr>
        <w:t>j</w:t>
      </w:r>
      <w:r>
        <w:rPr>
          <w:rFonts w:ascii="Calibri" w:eastAsia="Calibri" w:hAnsi="Calibri" w:cs="Calibri"/>
          <w:color w:val="000000"/>
        </w:rPr>
        <w:t xml:space="preserve"> for year </w:t>
      </w:r>
      <w:r>
        <w:rPr>
          <w:rFonts w:ascii="Calibri" w:eastAsia="Calibri" w:hAnsi="Calibri" w:cs="Calibri"/>
          <w:i/>
          <w:color w:val="000000"/>
        </w:rPr>
        <w:t>y</w:t>
      </w:r>
      <w:r>
        <w:rPr>
          <w:rFonts w:ascii="Calibri" w:eastAsia="Calibri" w:hAnsi="Calibri" w:cs="Calibri"/>
          <w:color w:val="000000"/>
        </w:rPr>
        <w:t xml:space="preserve"> is calculated as:</w:t>
      </w:r>
    </w:p>
    <w:p w14:paraId="4A339BF6" w14:textId="092C10BE" w:rsidR="005636C8" w:rsidRPr="00190B88" w:rsidRDefault="002A733C" w:rsidP="005636C8">
      <w:pPr>
        <w:rPr>
          <w:rFonts w:ascii="Calibri" w:eastAsia="Calibri" w:hAnsi="Calibri" w:cs="Calibri"/>
          <w:color w:val="000000"/>
          <w:vertAlign w:val="subscript"/>
          <w:lang w:val="es-ES"/>
        </w:rPr>
      </w:pPr>
      <w:sdt>
        <w:sdtPr>
          <w:tag w:val="goog_rdk_19"/>
          <w:id w:val="-1133703670"/>
          <w:showingPlcHdr/>
        </w:sdtPr>
        <w:sdtEndPr/>
        <w:sdtContent>
          <w:r w:rsidR="005636C8" w:rsidRPr="00190B88">
            <w:rPr>
              <w:lang w:val="es-ES"/>
            </w:rPr>
            <w:t xml:space="preserve">     </w:t>
          </w:r>
        </w:sdtContent>
      </w:sdt>
      <w:proofErr w:type="spellStart"/>
      <w:proofErr w:type="gramStart"/>
      <w:r w:rsidR="005636C8" w:rsidRPr="00190B88">
        <w:rPr>
          <w:rFonts w:ascii="Calibri" w:eastAsia="Calibri" w:hAnsi="Calibri" w:cs="Calibri"/>
          <w:color w:val="000000"/>
          <w:lang w:val="es-ES"/>
        </w:rPr>
        <w:t>NB</w:t>
      </w:r>
      <w:r w:rsidR="005636C8" w:rsidRPr="00190B88">
        <w:rPr>
          <w:rFonts w:ascii="Calibri" w:eastAsia="Calibri" w:hAnsi="Calibri" w:cs="Calibri"/>
          <w:color w:val="000000"/>
          <w:vertAlign w:val="subscript"/>
          <w:lang w:val="es-ES"/>
        </w:rPr>
        <w:t>i,j</w:t>
      </w:r>
      <w:proofErr w:type="gramEnd"/>
      <w:r w:rsidR="005636C8" w:rsidRPr="00190B88">
        <w:rPr>
          <w:rFonts w:ascii="Calibri" w:eastAsia="Calibri" w:hAnsi="Calibri" w:cs="Calibri"/>
          <w:color w:val="000000"/>
          <w:vertAlign w:val="subscript"/>
          <w:lang w:val="es-ES"/>
        </w:rPr>
        <w:t>,y</w:t>
      </w:r>
      <w:proofErr w:type="spellEnd"/>
      <w:r w:rsidR="005636C8" w:rsidRPr="00190B88">
        <w:rPr>
          <w:rFonts w:ascii="Calibri" w:eastAsia="Calibri" w:hAnsi="Calibri" w:cs="Calibri"/>
          <w:color w:val="000000"/>
          <w:lang w:val="es-ES"/>
        </w:rPr>
        <w:t xml:space="preserve"> = </w:t>
      </w:r>
      <w:proofErr w:type="gramStart"/>
      <w:r w:rsidR="005636C8" w:rsidRPr="00190B88">
        <w:rPr>
          <w:rFonts w:ascii="Calibri" w:eastAsia="Calibri" w:hAnsi="Calibri" w:cs="Calibri"/>
          <w:color w:val="000000"/>
          <w:lang w:val="es-ES"/>
        </w:rPr>
        <w:t>sum(</w:t>
      </w:r>
      <w:proofErr w:type="spellStart"/>
      <w:r w:rsidR="00B13928">
        <w:rPr>
          <w:rFonts w:ascii="Calibri" w:eastAsia="Calibri" w:hAnsi="Calibri" w:cs="Calibri"/>
          <w:color w:val="000000"/>
          <w:lang w:val="es-ES"/>
        </w:rPr>
        <w:t>M</w:t>
      </w:r>
      <w:r w:rsidR="005636C8" w:rsidRPr="00190B88">
        <w:rPr>
          <w:rFonts w:ascii="Calibri" w:eastAsia="Calibri" w:hAnsi="Calibri" w:cs="Calibri"/>
          <w:color w:val="000000"/>
          <w:lang w:val="es-ES"/>
        </w:rPr>
        <w:t>F</w:t>
      </w:r>
      <w:r w:rsidR="005636C8" w:rsidRPr="00190B88">
        <w:rPr>
          <w:rFonts w:ascii="Calibri" w:eastAsia="Calibri" w:hAnsi="Calibri" w:cs="Calibri"/>
          <w:color w:val="000000"/>
          <w:vertAlign w:val="subscript"/>
          <w:lang w:val="es-ES"/>
        </w:rPr>
        <w:t>i,j</w:t>
      </w:r>
      <w:proofErr w:type="gramEnd"/>
      <w:r w:rsidR="005636C8" w:rsidRPr="00190B88">
        <w:rPr>
          <w:rFonts w:ascii="Calibri" w:eastAsia="Calibri" w:hAnsi="Calibri" w:cs="Calibri"/>
          <w:color w:val="000000"/>
          <w:vertAlign w:val="subscript"/>
          <w:lang w:val="es-ES"/>
        </w:rPr>
        <w:t>,y</w:t>
      </w:r>
      <w:proofErr w:type="spellEnd"/>
      <w:r w:rsidR="005636C8" w:rsidRPr="00190B88">
        <w:rPr>
          <w:rFonts w:ascii="Calibri" w:eastAsia="Calibri" w:hAnsi="Calibri" w:cs="Calibri"/>
          <w:color w:val="000000"/>
          <w:lang w:val="es-ES"/>
        </w:rPr>
        <w:t xml:space="preserve"> x </w:t>
      </w:r>
      <w:proofErr w:type="spellStart"/>
      <w:proofErr w:type="gramStart"/>
      <w:r w:rsidR="005636C8" w:rsidRPr="00190B88">
        <w:rPr>
          <w:rFonts w:ascii="Calibri" w:eastAsia="Calibri" w:hAnsi="Calibri" w:cs="Calibri"/>
          <w:color w:val="000000"/>
          <w:lang w:val="es-ES"/>
        </w:rPr>
        <w:t>CF</w:t>
      </w:r>
      <w:r w:rsidR="005636C8" w:rsidRPr="00190B88">
        <w:rPr>
          <w:rFonts w:ascii="Calibri" w:eastAsia="Calibri" w:hAnsi="Calibri" w:cs="Calibri"/>
          <w:color w:val="000000"/>
          <w:vertAlign w:val="subscript"/>
          <w:lang w:val="es-ES"/>
        </w:rPr>
        <w:t>i,j</w:t>
      </w:r>
      <w:proofErr w:type="gramEnd"/>
      <w:r w:rsidR="005636C8" w:rsidRPr="00190B88">
        <w:rPr>
          <w:rFonts w:ascii="Calibri" w:eastAsia="Calibri" w:hAnsi="Calibri" w:cs="Calibri"/>
          <w:color w:val="000000"/>
          <w:vertAlign w:val="subscript"/>
          <w:lang w:val="es-ES"/>
        </w:rPr>
        <w:t>,y</w:t>
      </w:r>
      <w:proofErr w:type="spellEnd"/>
      <w:r w:rsidR="005636C8" w:rsidRPr="00190B88">
        <w:rPr>
          <w:rFonts w:ascii="Calibri" w:eastAsia="Calibri" w:hAnsi="Calibri" w:cs="Calibri"/>
          <w:color w:val="000000"/>
          <w:lang w:val="es-ES"/>
        </w:rPr>
        <w:t xml:space="preserve">, </w:t>
      </w:r>
      <w:proofErr w:type="spellStart"/>
      <w:proofErr w:type="gramStart"/>
      <w:r w:rsidR="005636C8" w:rsidRPr="00190B88">
        <w:rPr>
          <w:rFonts w:ascii="Calibri" w:eastAsia="Calibri" w:hAnsi="Calibri" w:cs="Calibri"/>
          <w:color w:val="000000"/>
          <w:lang w:val="es-ES"/>
        </w:rPr>
        <w:t>MAS</w:t>
      </w:r>
      <w:r w:rsidR="005636C8" w:rsidRPr="00190B88">
        <w:rPr>
          <w:rFonts w:ascii="Calibri" w:eastAsia="Calibri" w:hAnsi="Calibri" w:cs="Calibri"/>
          <w:color w:val="000000"/>
          <w:vertAlign w:val="subscript"/>
          <w:lang w:val="es-ES"/>
        </w:rPr>
        <w:t>i,j</w:t>
      </w:r>
      <w:proofErr w:type="gramEnd"/>
      <w:r w:rsidR="005636C8" w:rsidRPr="00190B88">
        <w:rPr>
          <w:rFonts w:ascii="Calibri" w:eastAsia="Calibri" w:hAnsi="Calibri" w:cs="Calibri"/>
          <w:color w:val="000000"/>
          <w:vertAlign w:val="subscript"/>
          <w:lang w:val="es-ES"/>
        </w:rPr>
        <w:t>,</w:t>
      </w:r>
      <w:proofErr w:type="gramStart"/>
      <w:r w:rsidR="005636C8" w:rsidRPr="00190B88">
        <w:rPr>
          <w:rFonts w:ascii="Calibri" w:eastAsia="Calibri" w:hAnsi="Calibri" w:cs="Calibri"/>
          <w:color w:val="000000"/>
          <w:vertAlign w:val="subscript"/>
          <w:lang w:val="es-ES"/>
        </w:rPr>
        <w:t>y</w:t>
      </w:r>
      <w:proofErr w:type="spellEnd"/>
      <w:r w:rsidR="005636C8" w:rsidRPr="00190B88">
        <w:rPr>
          <w:rFonts w:ascii="Calibri" w:eastAsia="Calibri" w:hAnsi="Calibri" w:cs="Calibri"/>
          <w:color w:val="000000"/>
          <w:lang w:val="es-ES"/>
        </w:rPr>
        <w:t xml:space="preserve"> ,</w:t>
      </w:r>
      <w:proofErr w:type="gramEnd"/>
      <w:r w:rsidR="005636C8" w:rsidRPr="00190B88">
        <w:rPr>
          <w:rFonts w:ascii="Calibri" w:eastAsia="Calibri" w:hAnsi="Calibri" w:cs="Calibri"/>
          <w:color w:val="000000"/>
          <w:lang w:val="es-ES"/>
        </w:rPr>
        <w:t xml:space="preserve"> </w:t>
      </w:r>
      <w:proofErr w:type="spellStart"/>
      <w:proofErr w:type="gramStart"/>
      <w:r w:rsidR="005636C8" w:rsidRPr="00190B88">
        <w:rPr>
          <w:rFonts w:ascii="Calibri" w:eastAsia="Calibri" w:hAnsi="Calibri" w:cs="Calibri"/>
          <w:color w:val="000000"/>
          <w:lang w:val="es-ES"/>
        </w:rPr>
        <w:t>ND</w:t>
      </w:r>
      <w:r w:rsidR="005636C8" w:rsidRPr="00190B88">
        <w:rPr>
          <w:rFonts w:ascii="Calibri" w:eastAsia="Calibri" w:hAnsi="Calibri" w:cs="Calibri"/>
          <w:color w:val="000000"/>
          <w:vertAlign w:val="subscript"/>
          <w:lang w:val="es-ES"/>
        </w:rPr>
        <w:t>i,j</w:t>
      </w:r>
      <w:proofErr w:type="gramEnd"/>
      <w:r w:rsidR="005636C8" w:rsidRPr="00190B88">
        <w:rPr>
          <w:rFonts w:ascii="Calibri" w:eastAsia="Calibri" w:hAnsi="Calibri" w:cs="Calibri"/>
          <w:color w:val="000000"/>
          <w:vertAlign w:val="subscript"/>
          <w:lang w:val="es-ES"/>
        </w:rPr>
        <w:t>,</w:t>
      </w:r>
      <w:proofErr w:type="gramStart"/>
      <w:r w:rsidR="005636C8" w:rsidRPr="00190B88">
        <w:rPr>
          <w:rFonts w:ascii="Calibri" w:eastAsia="Calibri" w:hAnsi="Calibri" w:cs="Calibri"/>
          <w:color w:val="000000"/>
          <w:vertAlign w:val="subscript"/>
          <w:lang w:val="es-ES"/>
        </w:rPr>
        <w:t>y</w:t>
      </w:r>
      <w:proofErr w:type="spellEnd"/>
      <w:r w:rsidR="005636C8" w:rsidRPr="00190B88">
        <w:rPr>
          <w:rFonts w:ascii="Calibri" w:eastAsia="Calibri" w:hAnsi="Calibri" w:cs="Calibri"/>
          <w:color w:val="000000"/>
          <w:lang w:val="es-ES"/>
        </w:rPr>
        <w:t xml:space="preserve"> ,</w:t>
      </w:r>
      <w:proofErr w:type="gramEnd"/>
      <w:r w:rsidR="005636C8" w:rsidRPr="00190B88">
        <w:rPr>
          <w:rFonts w:ascii="Calibri" w:eastAsia="Calibri" w:hAnsi="Calibri" w:cs="Calibri"/>
          <w:color w:val="000000"/>
          <w:lang w:val="es-ES"/>
        </w:rPr>
        <w:t xml:space="preserve"> </w:t>
      </w:r>
      <w:proofErr w:type="spellStart"/>
      <w:proofErr w:type="gramStart"/>
      <w:r w:rsidR="005636C8" w:rsidRPr="00190B88">
        <w:rPr>
          <w:rFonts w:ascii="Calibri" w:eastAsia="Calibri" w:hAnsi="Calibri" w:cs="Calibri"/>
          <w:color w:val="000000"/>
          <w:lang w:val="es-ES"/>
        </w:rPr>
        <w:t>BF</w:t>
      </w:r>
      <w:r w:rsidR="005636C8" w:rsidRPr="00190B88">
        <w:rPr>
          <w:rFonts w:ascii="Calibri" w:eastAsia="Calibri" w:hAnsi="Calibri" w:cs="Calibri"/>
          <w:color w:val="000000"/>
          <w:vertAlign w:val="subscript"/>
          <w:lang w:val="es-ES"/>
        </w:rPr>
        <w:t>i,j</w:t>
      </w:r>
      <w:proofErr w:type="gramEnd"/>
      <w:r w:rsidR="005636C8" w:rsidRPr="00190B88">
        <w:rPr>
          <w:rFonts w:ascii="Calibri" w:eastAsia="Calibri" w:hAnsi="Calibri" w:cs="Calibri"/>
          <w:color w:val="000000"/>
          <w:vertAlign w:val="subscript"/>
          <w:lang w:val="es-ES"/>
        </w:rPr>
        <w:t>,</w:t>
      </w:r>
      <w:proofErr w:type="gramStart"/>
      <w:r w:rsidR="005636C8" w:rsidRPr="00190B88">
        <w:rPr>
          <w:rFonts w:ascii="Calibri" w:eastAsia="Calibri" w:hAnsi="Calibri" w:cs="Calibri"/>
          <w:color w:val="000000"/>
          <w:vertAlign w:val="subscript"/>
          <w:lang w:val="es-ES"/>
        </w:rPr>
        <w:t>y</w:t>
      </w:r>
      <w:proofErr w:type="spellEnd"/>
      <w:r w:rsidR="005636C8" w:rsidRPr="00190B88">
        <w:rPr>
          <w:rFonts w:ascii="Calibri" w:eastAsia="Calibri" w:hAnsi="Calibri" w:cs="Calibri"/>
          <w:color w:val="000000"/>
          <w:lang w:val="es-ES"/>
        </w:rPr>
        <w:t xml:space="preserve"> </w:t>
      </w:r>
      <w:r w:rsidR="009A536C" w:rsidRPr="00190B88">
        <w:rPr>
          <w:rFonts w:ascii="Calibri" w:eastAsia="Calibri" w:hAnsi="Calibri" w:cs="Calibri"/>
          <w:color w:val="000000"/>
          <w:lang w:val="es-ES"/>
        </w:rPr>
        <w:t>,</w:t>
      </w:r>
      <w:proofErr w:type="gramEnd"/>
      <w:r w:rsidR="009A536C" w:rsidRPr="00190B88">
        <w:rPr>
          <w:rFonts w:ascii="Calibri" w:eastAsia="Calibri" w:hAnsi="Calibri" w:cs="Calibri"/>
          <w:color w:val="000000"/>
          <w:lang w:val="es-ES"/>
        </w:rPr>
        <w:t xml:space="preserve"> </w:t>
      </w:r>
      <w:proofErr w:type="spellStart"/>
      <w:proofErr w:type="gramStart"/>
      <w:r w:rsidR="009A536C" w:rsidRPr="00190B88">
        <w:rPr>
          <w:rFonts w:ascii="Calibri" w:eastAsia="Calibri" w:hAnsi="Calibri" w:cs="Calibri"/>
          <w:color w:val="000000"/>
          <w:lang w:val="es-ES"/>
        </w:rPr>
        <w:t>SD</w:t>
      </w:r>
      <w:r w:rsidR="009A536C" w:rsidRPr="00190B88">
        <w:rPr>
          <w:rFonts w:ascii="Calibri" w:eastAsia="Calibri" w:hAnsi="Calibri" w:cs="Calibri"/>
          <w:color w:val="000000"/>
          <w:vertAlign w:val="subscript"/>
          <w:lang w:val="es-ES"/>
        </w:rPr>
        <w:t>i,j</w:t>
      </w:r>
      <w:proofErr w:type="gramEnd"/>
      <w:r w:rsidR="009A536C" w:rsidRPr="00190B88">
        <w:rPr>
          <w:rFonts w:ascii="Calibri" w:eastAsia="Calibri" w:hAnsi="Calibri" w:cs="Calibri"/>
          <w:color w:val="000000"/>
          <w:vertAlign w:val="subscript"/>
          <w:lang w:val="es-ES"/>
        </w:rPr>
        <w:t>,y</w:t>
      </w:r>
      <w:proofErr w:type="spellEnd"/>
      <w:r w:rsidR="005636C8" w:rsidRPr="00190B88">
        <w:rPr>
          <w:rFonts w:ascii="Calibri" w:eastAsia="Calibri" w:hAnsi="Calibri" w:cs="Calibri"/>
          <w:color w:val="000000"/>
          <w:lang w:val="es-ES"/>
        </w:rPr>
        <w:t xml:space="preserve">) – </w:t>
      </w:r>
      <w:proofErr w:type="spellStart"/>
      <w:proofErr w:type="gramStart"/>
      <w:r w:rsidR="005636C8" w:rsidRPr="00190B88">
        <w:rPr>
          <w:rFonts w:ascii="Calibri" w:eastAsia="Calibri" w:hAnsi="Calibri" w:cs="Calibri"/>
          <w:color w:val="000000"/>
          <w:lang w:val="es-ES"/>
        </w:rPr>
        <w:t>CR</w:t>
      </w:r>
      <w:r w:rsidR="005636C8" w:rsidRPr="00190B88">
        <w:rPr>
          <w:rFonts w:ascii="Calibri" w:eastAsia="Calibri" w:hAnsi="Calibri" w:cs="Calibri"/>
          <w:color w:val="000000"/>
          <w:vertAlign w:val="subscript"/>
          <w:lang w:val="es-ES"/>
        </w:rPr>
        <w:t>i,j</w:t>
      </w:r>
      <w:proofErr w:type="gramEnd"/>
      <w:r w:rsidR="005636C8" w:rsidRPr="00190B88">
        <w:rPr>
          <w:rFonts w:ascii="Calibri" w:eastAsia="Calibri" w:hAnsi="Calibri" w:cs="Calibri"/>
          <w:color w:val="000000"/>
          <w:vertAlign w:val="subscript"/>
          <w:lang w:val="es-ES"/>
        </w:rPr>
        <w:t>,y</w:t>
      </w:r>
      <w:proofErr w:type="spellEnd"/>
      <w:sdt>
        <w:sdtPr>
          <w:tag w:val="goog_rdk_22"/>
          <w:id w:val="1582098342"/>
        </w:sdtPr>
        <w:sdtEndPr/>
        <w:sdtContent>
          <w:sdt>
            <w:sdtPr>
              <w:tag w:val="goog_rdk_21"/>
              <w:id w:val="-619226001"/>
            </w:sdtPr>
            <w:sdtEndPr/>
            <w:sdtContent/>
          </w:sdt>
        </w:sdtContent>
      </w:sdt>
    </w:p>
    <w:sdt>
      <w:sdtPr>
        <w:tag w:val="goog_rdk_24"/>
        <w:id w:val="162746494"/>
      </w:sdtPr>
      <w:sdtEndPr/>
      <w:sdtContent>
        <w:p w14:paraId="38F30143" w14:textId="44339E63" w:rsidR="005636C8" w:rsidRPr="00B20FF5" w:rsidRDefault="002A733C" w:rsidP="005636C8">
          <w:pPr>
            <w:rPr>
              <w:rFonts w:ascii="Calibri" w:eastAsia="Calibri" w:hAnsi="Calibri" w:cs="Calibri"/>
              <w:color w:val="000000"/>
            </w:rPr>
          </w:pPr>
          <w:sdt>
            <w:sdtPr>
              <w:tag w:val="goog_rdk_23"/>
              <w:id w:val="771293663"/>
            </w:sdtPr>
            <w:sdtEndPr/>
            <w:sdtContent>
              <w:r w:rsidR="005636C8" w:rsidRPr="00B20FF5">
                <w:rPr>
                  <w:rFonts w:ascii="Calibri" w:eastAsia="Calibri" w:hAnsi="Calibri" w:cs="Calibri"/>
                  <w:color w:val="000000"/>
                </w:rPr>
                <w:t xml:space="preserve">The Nutrient Use Efficiency (NUE) for country </w:t>
              </w:r>
              <w:r w:rsidR="009A536C">
                <w:rPr>
                  <w:rFonts w:ascii="Calibri" w:eastAsia="Calibri" w:hAnsi="Calibri" w:cs="Calibri"/>
                  <w:color w:val="000000"/>
                </w:rPr>
                <w:t>I</w:t>
              </w:r>
              <w:r w:rsidR="005636C8" w:rsidRPr="00B20FF5">
                <w:rPr>
                  <w:rFonts w:ascii="Calibri" w:eastAsia="Calibri" w:hAnsi="Calibri" w:cs="Calibri"/>
                  <w:color w:val="000000"/>
                </w:rPr>
                <w:t xml:space="preserve"> for nutrient j for year y is calculated as:</w:t>
              </w:r>
            </w:sdtContent>
          </w:sdt>
        </w:p>
      </w:sdtContent>
    </w:sdt>
    <w:sdt>
      <w:sdtPr>
        <w:tag w:val="goog_rdk_28"/>
        <w:id w:val="604303859"/>
      </w:sdtPr>
      <w:sdtEndPr/>
      <w:sdtContent>
        <w:p w14:paraId="349D40B4" w14:textId="7A8B0C61" w:rsidR="005636C8" w:rsidRPr="00190B88" w:rsidRDefault="002A733C" w:rsidP="005636C8">
          <w:pPr>
            <w:rPr>
              <w:rFonts w:ascii="Calibri" w:eastAsia="Calibri" w:hAnsi="Calibri" w:cs="Calibri"/>
              <w:color w:val="000000"/>
              <w:lang w:val="es-ES"/>
            </w:rPr>
          </w:pPr>
          <w:sdt>
            <w:sdtPr>
              <w:tag w:val="goog_rdk_27"/>
              <w:id w:val="15655201"/>
            </w:sdtPr>
            <w:sdtEndPr/>
            <w:sdtContent>
              <w:proofErr w:type="spellStart"/>
              <w:proofErr w:type="gramStart"/>
              <w:r w:rsidR="005636C8" w:rsidRPr="00190B88">
                <w:rPr>
                  <w:rFonts w:ascii="Calibri" w:eastAsia="Calibri" w:hAnsi="Calibri" w:cs="Calibri"/>
                  <w:color w:val="000000"/>
                  <w:lang w:val="es-ES"/>
                </w:rPr>
                <w:t>NUE</w:t>
              </w:r>
              <w:r w:rsidR="005636C8" w:rsidRPr="00190B88">
                <w:rPr>
                  <w:rFonts w:ascii="Calibri" w:eastAsia="Calibri" w:hAnsi="Calibri" w:cs="Calibri"/>
                  <w:color w:val="000000"/>
                  <w:vertAlign w:val="subscript"/>
                  <w:lang w:val="es-ES"/>
                </w:rPr>
                <w:t>i,j</w:t>
              </w:r>
              <w:proofErr w:type="gramEnd"/>
              <w:r w:rsidR="005636C8" w:rsidRPr="00190B88">
                <w:rPr>
                  <w:rFonts w:ascii="Calibri" w:eastAsia="Calibri" w:hAnsi="Calibri" w:cs="Calibri"/>
                  <w:color w:val="000000"/>
                  <w:vertAlign w:val="subscript"/>
                  <w:lang w:val="es-ES"/>
                </w:rPr>
                <w:t>,y</w:t>
              </w:r>
              <w:proofErr w:type="spellEnd"/>
              <w:r w:rsidR="005636C8" w:rsidRPr="00190B88">
                <w:rPr>
                  <w:rFonts w:ascii="Calibri" w:eastAsia="Calibri" w:hAnsi="Calibri" w:cs="Calibri"/>
                  <w:color w:val="000000"/>
                  <w:lang w:val="es-ES"/>
                </w:rPr>
                <w:t xml:space="preserve"> = </w:t>
              </w:r>
              <w:proofErr w:type="spellStart"/>
              <w:proofErr w:type="gramStart"/>
              <w:r w:rsidR="005636C8" w:rsidRPr="00190B88">
                <w:rPr>
                  <w:rFonts w:ascii="Calibri" w:eastAsia="Calibri" w:hAnsi="Calibri" w:cs="Calibri"/>
                  <w:color w:val="000000"/>
                  <w:lang w:val="es-ES"/>
                </w:rPr>
                <w:t>C</w:t>
              </w:r>
              <w:r w:rsidR="009A536C" w:rsidRPr="00190B88">
                <w:rPr>
                  <w:rFonts w:ascii="Calibri" w:eastAsia="Calibri" w:hAnsi="Calibri" w:cs="Calibri"/>
                  <w:color w:val="000000"/>
                  <w:lang w:val="es-ES"/>
                </w:rPr>
                <w:t>r</w:t>
              </w:r>
              <w:r w:rsidR="005636C8" w:rsidRPr="00190B88">
                <w:rPr>
                  <w:rFonts w:ascii="Calibri" w:eastAsia="Calibri" w:hAnsi="Calibri" w:cs="Calibri"/>
                  <w:color w:val="000000"/>
                  <w:lang w:val="es-ES"/>
                </w:rPr>
                <w:t>i,</w:t>
              </w:r>
              <w:r w:rsidR="005636C8" w:rsidRPr="00190B88">
                <w:rPr>
                  <w:rFonts w:ascii="Calibri" w:eastAsia="Calibri" w:hAnsi="Calibri" w:cs="Calibri"/>
                  <w:color w:val="000000"/>
                  <w:vertAlign w:val="subscript"/>
                  <w:lang w:val="es-ES"/>
                </w:rPr>
                <w:t>j</w:t>
              </w:r>
              <w:proofErr w:type="gramEnd"/>
              <w:r w:rsidR="005636C8" w:rsidRPr="00190B88">
                <w:rPr>
                  <w:rFonts w:ascii="Calibri" w:eastAsia="Calibri" w:hAnsi="Calibri" w:cs="Calibri"/>
                  <w:color w:val="000000"/>
                  <w:vertAlign w:val="subscript"/>
                  <w:lang w:val="es-ES"/>
                </w:rPr>
                <w:t>,y</w:t>
              </w:r>
              <w:proofErr w:type="spellEnd"/>
              <w:r w:rsidR="005636C8" w:rsidRPr="00190B88">
                <w:rPr>
                  <w:rFonts w:ascii="Calibri" w:eastAsia="Calibri" w:hAnsi="Calibri" w:cs="Calibri"/>
                  <w:color w:val="000000"/>
                  <w:lang w:val="es-ES"/>
                </w:rPr>
                <w:t>/</w:t>
              </w:r>
              <w:proofErr w:type="gramStart"/>
              <w:r w:rsidR="005636C8" w:rsidRPr="00190B88">
                <w:rPr>
                  <w:rFonts w:ascii="Calibri" w:eastAsia="Calibri" w:hAnsi="Calibri" w:cs="Calibri"/>
                  <w:color w:val="000000"/>
                  <w:lang w:val="es-ES"/>
                </w:rPr>
                <w:t>sum(</w:t>
              </w:r>
              <w:proofErr w:type="spellStart"/>
              <w:r w:rsidR="00B13928">
                <w:rPr>
                  <w:rFonts w:ascii="Calibri" w:eastAsia="Calibri" w:hAnsi="Calibri" w:cs="Calibri"/>
                  <w:color w:val="000000"/>
                  <w:lang w:val="es-ES"/>
                </w:rPr>
                <w:t>M</w:t>
              </w:r>
              <w:r w:rsidR="005636C8" w:rsidRPr="00190B88">
                <w:rPr>
                  <w:rFonts w:ascii="Calibri" w:eastAsia="Calibri" w:hAnsi="Calibri" w:cs="Calibri"/>
                  <w:color w:val="000000"/>
                  <w:lang w:val="es-ES"/>
                </w:rPr>
                <w:t>F</w:t>
              </w:r>
              <w:r w:rsidR="005636C8" w:rsidRPr="00190B88">
                <w:rPr>
                  <w:rFonts w:ascii="Calibri" w:eastAsia="Calibri" w:hAnsi="Calibri" w:cs="Calibri"/>
                  <w:color w:val="000000"/>
                  <w:vertAlign w:val="subscript"/>
                  <w:lang w:val="es-ES"/>
                </w:rPr>
                <w:t>i,j</w:t>
              </w:r>
              <w:proofErr w:type="gramEnd"/>
              <w:r w:rsidR="005636C8" w:rsidRPr="00190B88">
                <w:rPr>
                  <w:rFonts w:ascii="Calibri" w:eastAsia="Calibri" w:hAnsi="Calibri" w:cs="Calibri"/>
                  <w:color w:val="000000"/>
                  <w:vertAlign w:val="subscript"/>
                  <w:lang w:val="es-ES"/>
                </w:rPr>
                <w:t>,y</w:t>
              </w:r>
              <w:proofErr w:type="spellEnd"/>
              <w:r w:rsidR="005636C8" w:rsidRPr="00190B88">
                <w:rPr>
                  <w:rFonts w:ascii="Calibri" w:eastAsia="Calibri" w:hAnsi="Calibri" w:cs="Calibri"/>
                  <w:color w:val="000000"/>
                  <w:lang w:val="es-ES"/>
                </w:rPr>
                <w:t xml:space="preserve"> x </w:t>
              </w:r>
              <w:proofErr w:type="spellStart"/>
              <w:proofErr w:type="gramStart"/>
              <w:r w:rsidR="005636C8" w:rsidRPr="00190B88">
                <w:rPr>
                  <w:rFonts w:ascii="Calibri" w:eastAsia="Calibri" w:hAnsi="Calibri" w:cs="Calibri"/>
                  <w:color w:val="000000"/>
                  <w:lang w:val="es-ES"/>
                </w:rPr>
                <w:t>CF</w:t>
              </w:r>
              <w:r w:rsidR="005636C8" w:rsidRPr="00190B88">
                <w:rPr>
                  <w:rFonts w:ascii="Calibri" w:eastAsia="Calibri" w:hAnsi="Calibri" w:cs="Calibri"/>
                  <w:color w:val="000000"/>
                  <w:vertAlign w:val="subscript"/>
                  <w:lang w:val="es-ES"/>
                </w:rPr>
                <w:t>i,j</w:t>
              </w:r>
              <w:proofErr w:type="gramEnd"/>
              <w:r w:rsidR="005636C8" w:rsidRPr="00190B88">
                <w:rPr>
                  <w:rFonts w:ascii="Calibri" w:eastAsia="Calibri" w:hAnsi="Calibri" w:cs="Calibri"/>
                  <w:color w:val="000000"/>
                  <w:vertAlign w:val="subscript"/>
                  <w:lang w:val="es-ES"/>
                </w:rPr>
                <w:t>,y</w:t>
              </w:r>
              <w:proofErr w:type="spellEnd"/>
              <w:r w:rsidR="005636C8" w:rsidRPr="00190B88">
                <w:rPr>
                  <w:rFonts w:ascii="Calibri" w:eastAsia="Calibri" w:hAnsi="Calibri" w:cs="Calibri"/>
                  <w:color w:val="000000"/>
                  <w:lang w:val="es-ES"/>
                </w:rPr>
                <w:t xml:space="preserve">, </w:t>
              </w:r>
              <w:proofErr w:type="spellStart"/>
              <w:proofErr w:type="gramStart"/>
              <w:r w:rsidR="005636C8" w:rsidRPr="00190B88">
                <w:rPr>
                  <w:rFonts w:ascii="Calibri" w:eastAsia="Calibri" w:hAnsi="Calibri" w:cs="Calibri"/>
                  <w:color w:val="000000"/>
                  <w:lang w:val="es-ES"/>
                </w:rPr>
                <w:t>MAS</w:t>
              </w:r>
              <w:r w:rsidR="005636C8" w:rsidRPr="00190B88">
                <w:rPr>
                  <w:rFonts w:ascii="Calibri" w:eastAsia="Calibri" w:hAnsi="Calibri" w:cs="Calibri"/>
                  <w:color w:val="000000"/>
                  <w:vertAlign w:val="subscript"/>
                  <w:lang w:val="es-ES"/>
                </w:rPr>
                <w:t>i,j</w:t>
              </w:r>
              <w:proofErr w:type="gramEnd"/>
              <w:r w:rsidR="005636C8" w:rsidRPr="00190B88">
                <w:rPr>
                  <w:rFonts w:ascii="Calibri" w:eastAsia="Calibri" w:hAnsi="Calibri" w:cs="Calibri"/>
                  <w:color w:val="000000"/>
                  <w:vertAlign w:val="subscript"/>
                  <w:lang w:val="es-ES"/>
                </w:rPr>
                <w:t>,</w:t>
              </w:r>
              <w:proofErr w:type="gramStart"/>
              <w:r w:rsidR="005636C8" w:rsidRPr="00190B88">
                <w:rPr>
                  <w:rFonts w:ascii="Calibri" w:eastAsia="Calibri" w:hAnsi="Calibri" w:cs="Calibri"/>
                  <w:color w:val="000000"/>
                  <w:vertAlign w:val="subscript"/>
                  <w:lang w:val="es-ES"/>
                </w:rPr>
                <w:t>y</w:t>
              </w:r>
              <w:proofErr w:type="spellEnd"/>
              <w:r w:rsidR="005636C8" w:rsidRPr="00190B88">
                <w:rPr>
                  <w:rFonts w:ascii="Calibri" w:eastAsia="Calibri" w:hAnsi="Calibri" w:cs="Calibri"/>
                  <w:color w:val="000000"/>
                  <w:lang w:val="es-ES"/>
                </w:rPr>
                <w:t xml:space="preserve"> ,</w:t>
              </w:r>
              <w:proofErr w:type="gramEnd"/>
              <w:r w:rsidR="005636C8" w:rsidRPr="00190B88">
                <w:rPr>
                  <w:rFonts w:ascii="Calibri" w:eastAsia="Calibri" w:hAnsi="Calibri" w:cs="Calibri"/>
                  <w:color w:val="000000"/>
                  <w:lang w:val="es-ES"/>
                </w:rPr>
                <w:t xml:space="preserve"> </w:t>
              </w:r>
              <w:proofErr w:type="spellStart"/>
              <w:proofErr w:type="gramStart"/>
              <w:r w:rsidR="005636C8" w:rsidRPr="00190B88">
                <w:rPr>
                  <w:rFonts w:ascii="Calibri" w:eastAsia="Calibri" w:hAnsi="Calibri" w:cs="Calibri"/>
                  <w:color w:val="000000"/>
                  <w:lang w:val="es-ES"/>
                </w:rPr>
                <w:t>ND</w:t>
              </w:r>
              <w:r w:rsidR="005636C8" w:rsidRPr="00190B88">
                <w:rPr>
                  <w:rFonts w:ascii="Calibri" w:eastAsia="Calibri" w:hAnsi="Calibri" w:cs="Calibri"/>
                  <w:color w:val="000000"/>
                  <w:vertAlign w:val="subscript"/>
                  <w:lang w:val="es-ES"/>
                </w:rPr>
                <w:t>i,j</w:t>
              </w:r>
              <w:proofErr w:type="gramEnd"/>
              <w:r w:rsidR="005636C8" w:rsidRPr="00190B88">
                <w:rPr>
                  <w:rFonts w:ascii="Calibri" w:eastAsia="Calibri" w:hAnsi="Calibri" w:cs="Calibri"/>
                  <w:color w:val="000000"/>
                  <w:vertAlign w:val="subscript"/>
                  <w:lang w:val="es-ES"/>
                </w:rPr>
                <w:t>,</w:t>
              </w:r>
              <w:proofErr w:type="gramStart"/>
              <w:r w:rsidR="005636C8" w:rsidRPr="00190B88">
                <w:rPr>
                  <w:rFonts w:ascii="Calibri" w:eastAsia="Calibri" w:hAnsi="Calibri" w:cs="Calibri"/>
                  <w:color w:val="000000"/>
                  <w:vertAlign w:val="subscript"/>
                  <w:lang w:val="es-ES"/>
                </w:rPr>
                <w:t>y</w:t>
              </w:r>
              <w:proofErr w:type="spellEnd"/>
              <w:r w:rsidR="005636C8" w:rsidRPr="00190B88">
                <w:rPr>
                  <w:rFonts w:ascii="Calibri" w:eastAsia="Calibri" w:hAnsi="Calibri" w:cs="Calibri"/>
                  <w:color w:val="000000"/>
                  <w:lang w:val="es-ES"/>
                </w:rPr>
                <w:t xml:space="preserve"> ,</w:t>
              </w:r>
              <w:proofErr w:type="gramEnd"/>
              <w:r w:rsidR="005636C8" w:rsidRPr="00190B88">
                <w:rPr>
                  <w:rFonts w:ascii="Calibri" w:eastAsia="Calibri" w:hAnsi="Calibri" w:cs="Calibri"/>
                  <w:color w:val="000000"/>
                  <w:lang w:val="es-ES"/>
                </w:rPr>
                <w:t xml:space="preserve"> </w:t>
              </w:r>
              <w:proofErr w:type="spellStart"/>
              <w:proofErr w:type="gramStart"/>
              <w:r w:rsidR="005636C8" w:rsidRPr="00190B88">
                <w:rPr>
                  <w:rFonts w:ascii="Calibri" w:eastAsia="Calibri" w:hAnsi="Calibri" w:cs="Calibri"/>
                  <w:color w:val="000000"/>
                  <w:lang w:val="es-ES"/>
                </w:rPr>
                <w:t>BF</w:t>
              </w:r>
              <w:r w:rsidR="005636C8" w:rsidRPr="00190B88">
                <w:rPr>
                  <w:rFonts w:ascii="Calibri" w:eastAsia="Calibri" w:hAnsi="Calibri" w:cs="Calibri"/>
                  <w:color w:val="000000"/>
                  <w:vertAlign w:val="subscript"/>
                  <w:lang w:val="es-ES"/>
                </w:rPr>
                <w:t>i,j</w:t>
              </w:r>
              <w:proofErr w:type="gramEnd"/>
              <w:r w:rsidR="005636C8" w:rsidRPr="00190B88">
                <w:rPr>
                  <w:rFonts w:ascii="Calibri" w:eastAsia="Calibri" w:hAnsi="Calibri" w:cs="Calibri"/>
                  <w:color w:val="000000"/>
                  <w:vertAlign w:val="subscript"/>
                  <w:lang w:val="es-ES"/>
                </w:rPr>
                <w:t>,</w:t>
              </w:r>
              <w:proofErr w:type="gramStart"/>
              <w:r w:rsidR="005636C8" w:rsidRPr="00190B88">
                <w:rPr>
                  <w:rFonts w:ascii="Calibri" w:eastAsia="Calibri" w:hAnsi="Calibri" w:cs="Calibri"/>
                  <w:color w:val="000000"/>
                  <w:vertAlign w:val="subscript"/>
                  <w:lang w:val="es-ES"/>
                </w:rPr>
                <w:t>y</w:t>
              </w:r>
              <w:proofErr w:type="spellEnd"/>
              <w:r w:rsidR="005636C8" w:rsidRPr="00190B88">
                <w:rPr>
                  <w:rFonts w:ascii="Calibri" w:eastAsia="Calibri" w:hAnsi="Calibri" w:cs="Calibri"/>
                  <w:color w:val="000000"/>
                  <w:lang w:val="es-ES"/>
                </w:rPr>
                <w:t xml:space="preserve"> </w:t>
              </w:r>
              <w:r w:rsidR="009A536C" w:rsidRPr="00190B88">
                <w:rPr>
                  <w:rFonts w:ascii="Calibri" w:eastAsia="Calibri" w:hAnsi="Calibri" w:cs="Calibri"/>
                  <w:color w:val="000000"/>
                  <w:lang w:val="es-ES"/>
                </w:rPr>
                <w:t>,</w:t>
              </w:r>
              <w:proofErr w:type="spellStart"/>
              <w:r w:rsidR="009A536C" w:rsidRPr="00190B88">
                <w:rPr>
                  <w:rFonts w:ascii="Calibri" w:eastAsia="Calibri" w:hAnsi="Calibri" w:cs="Calibri"/>
                  <w:color w:val="000000"/>
                  <w:lang w:val="es-ES"/>
                </w:rPr>
                <w:t>SD</w:t>
              </w:r>
              <w:r w:rsidR="009A536C" w:rsidRPr="00190B88">
                <w:rPr>
                  <w:rFonts w:ascii="Calibri" w:eastAsia="Calibri" w:hAnsi="Calibri" w:cs="Calibri"/>
                  <w:color w:val="000000"/>
                  <w:vertAlign w:val="subscript"/>
                  <w:lang w:val="es-ES"/>
                </w:rPr>
                <w:t>i</w:t>
              </w:r>
              <w:proofErr w:type="gramEnd"/>
              <w:r w:rsidR="009A536C" w:rsidRPr="00190B88">
                <w:rPr>
                  <w:rFonts w:ascii="Calibri" w:eastAsia="Calibri" w:hAnsi="Calibri" w:cs="Calibri"/>
                  <w:color w:val="000000"/>
                  <w:vertAlign w:val="subscript"/>
                  <w:lang w:val="es-ES"/>
                </w:rPr>
                <w:t>,</w:t>
              </w:r>
              <w:proofErr w:type="gramStart"/>
              <w:r w:rsidR="009A536C" w:rsidRPr="00190B88">
                <w:rPr>
                  <w:rFonts w:ascii="Calibri" w:eastAsia="Calibri" w:hAnsi="Calibri" w:cs="Calibri"/>
                  <w:color w:val="000000"/>
                  <w:vertAlign w:val="subscript"/>
                  <w:lang w:val="es-ES"/>
                </w:rPr>
                <w:t>j,y</w:t>
              </w:r>
              <w:proofErr w:type="spellEnd"/>
              <w:proofErr w:type="gramEnd"/>
              <w:r w:rsidR="005636C8" w:rsidRPr="00190B88">
                <w:rPr>
                  <w:rFonts w:ascii="Calibri" w:eastAsia="Calibri" w:hAnsi="Calibri" w:cs="Calibri"/>
                  <w:color w:val="000000"/>
                  <w:lang w:val="es-ES"/>
                </w:rPr>
                <w:t>)</w:t>
              </w:r>
            </w:sdtContent>
          </w:sdt>
        </w:p>
      </w:sdtContent>
    </w:sdt>
    <w:p w14:paraId="5FB1178E" w14:textId="77777777" w:rsidR="00546F84" w:rsidRDefault="005636C8" w:rsidP="00546F84">
      <w:pPr>
        <w:contextualSpacing/>
        <w:rPr>
          <w:rFonts w:eastAsia="Calibri"/>
          <w:color w:val="000000"/>
        </w:rPr>
      </w:pPr>
      <w:r w:rsidRPr="00CE4828">
        <w:rPr>
          <w:rFonts w:eastAsia="Calibri"/>
          <w:i/>
          <w:color w:val="000000"/>
        </w:rPr>
        <w:t>Unit of measure</w:t>
      </w:r>
      <w:r w:rsidRPr="006800C0">
        <w:rPr>
          <w:rFonts w:eastAsia="Calibri"/>
          <w:color w:val="000000"/>
        </w:rPr>
        <w:t xml:space="preserve">: </w:t>
      </w:r>
      <w:r>
        <w:rPr>
          <w:rFonts w:eastAsia="Calibri"/>
          <w:color w:val="000000"/>
        </w:rPr>
        <w:t>%</w:t>
      </w:r>
    </w:p>
    <w:p w14:paraId="68F33B78" w14:textId="3E306882" w:rsidR="00546F84" w:rsidRPr="00546F84" w:rsidRDefault="00546F84" w:rsidP="00546F84">
      <w:pPr>
        <w:contextualSpacing/>
        <w:rPr>
          <w:rFonts w:eastAsia="Calibri"/>
          <w:color w:val="000000"/>
        </w:rPr>
      </w:pPr>
      <w:r>
        <w:rPr>
          <w:rFonts w:eastAsia="Calibri"/>
          <w:color w:val="000000"/>
        </w:rPr>
        <w:t>“</w:t>
      </w:r>
      <w:r w:rsidRPr="00546F84">
        <w:rPr>
          <w:rFonts w:eastAsia="Calibri"/>
          <w:color w:val="000000"/>
        </w:rPr>
        <w:t>A global reference database in FAOSTAT of cropland nutrient budgets and nutrient use efficiency: nitrogen, phosphorus and potassium, 1961–2020</w:t>
      </w:r>
      <w:r>
        <w:rPr>
          <w:rFonts w:eastAsia="Calibri"/>
          <w:color w:val="000000"/>
        </w:rPr>
        <w:t>”</w:t>
      </w:r>
    </w:p>
    <w:p w14:paraId="563D536B" w14:textId="77777777" w:rsidR="00546F84" w:rsidRPr="00546F84" w:rsidRDefault="00546F84" w:rsidP="00546F84">
      <w:pPr>
        <w:contextualSpacing/>
        <w:rPr>
          <w:rFonts w:eastAsia="Calibri"/>
          <w:color w:val="000000"/>
        </w:rPr>
      </w:pPr>
      <w:r w:rsidRPr="00546F84">
        <w:rPr>
          <w:rFonts w:eastAsia="Calibri"/>
          <w:color w:val="000000"/>
        </w:rPr>
        <w:t xml:space="preserve">Ludemann, C. (Creator), </w:t>
      </w:r>
      <w:proofErr w:type="spellStart"/>
      <w:r w:rsidRPr="00546F84">
        <w:rPr>
          <w:rFonts w:eastAsia="Calibri"/>
          <w:color w:val="000000"/>
        </w:rPr>
        <w:t>Wanner</w:t>
      </w:r>
      <w:proofErr w:type="spellEnd"/>
      <w:r w:rsidRPr="00546F84">
        <w:rPr>
          <w:rFonts w:eastAsia="Calibri"/>
          <w:color w:val="000000"/>
        </w:rPr>
        <w:t xml:space="preserve">, N. (Creator), </w:t>
      </w:r>
      <w:proofErr w:type="spellStart"/>
      <w:r w:rsidRPr="00546F84">
        <w:rPr>
          <w:rFonts w:eastAsia="Calibri"/>
          <w:color w:val="000000"/>
        </w:rPr>
        <w:t>Chivenge</w:t>
      </w:r>
      <w:proofErr w:type="spellEnd"/>
      <w:r w:rsidRPr="00546F84">
        <w:rPr>
          <w:rFonts w:eastAsia="Calibri"/>
          <w:color w:val="000000"/>
        </w:rPr>
        <w:t xml:space="preserve">, P. (Creator), Dobermann, A. (Creator), Einarsson, R. (Creator), Grassini, P. (Creator), </w:t>
      </w:r>
      <w:proofErr w:type="spellStart"/>
      <w:r w:rsidRPr="00546F84">
        <w:rPr>
          <w:rFonts w:eastAsia="Calibri"/>
          <w:color w:val="000000"/>
        </w:rPr>
        <w:t>Gruere</w:t>
      </w:r>
      <w:proofErr w:type="spellEnd"/>
      <w:r w:rsidRPr="00546F84">
        <w:rPr>
          <w:rFonts w:eastAsia="Calibri"/>
          <w:color w:val="000000"/>
        </w:rPr>
        <w:t xml:space="preserve">, A. (Creator), Jackson, K. (Creator), </w:t>
      </w:r>
      <w:proofErr w:type="spellStart"/>
      <w:r w:rsidRPr="00546F84">
        <w:rPr>
          <w:rFonts w:eastAsia="Calibri"/>
          <w:color w:val="000000"/>
        </w:rPr>
        <w:t>Lassaletta</w:t>
      </w:r>
      <w:proofErr w:type="spellEnd"/>
      <w:r w:rsidRPr="00546F84">
        <w:rPr>
          <w:rFonts w:eastAsia="Calibri"/>
          <w:color w:val="000000"/>
        </w:rPr>
        <w:t xml:space="preserve">, L. (Creator), Maggi, F. (Creator), Obli-Laryea, G. (Creator), van </w:t>
      </w:r>
      <w:proofErr w:type="spellStart"/>
      <w:r w:rsidRPr="00546F84">
        <w:rPr>
          <w:rFonts w:eastAsia="Calibri"/>
          <w:color w:val="000000"/>
        </w:rPr>
        <w:t>Ittersum</w:t>
      </w:r>
      <w:proofErr w:type="spellEnd"/>
      <w:r w:rsidRPr="00546F84">
        <w:rPr>
          <w:rFonts w:eastAsia="Calibri"/>
          <w:color w:val="000000"/>
        </w:rPr>
        <w:t xml:space="preserve">, M. (Creator), Vishwakarma, S. (Creator), Zhang, X. (Creator) &amp; </w:t>
      </w:r>
      <w:proofErr w:type="spellStart"/>
      <w:r w:rsidRPr="00546F84">
        <w:rPr>
          <w:rFonts w:eastAsia="Calibri"/>
          <w:color w:val="000000"/>
        </w:rPr>
        <w:t>Tubiello</w:t>
      </w:r>
      <w:proofErr w:type="spellEnd"/>
      <w:r w:rsidRPr="00546F84">
        <w:rPr>
          <w:rFonts w:eastAsia="Calibri"/>
          <w:color w:val="000000"/>
        </w:rPr>
        <w:t>, F. N. (Creator), 2 Jun 2023</w:t>
      </w:r>
    </w:p>
    <w:p w14:paraId="09B60E22" w14:textId="77777777" w:rsidR="00546F84" w:rsidRPr="00546F84" w:rsidRDefault="00546F84" w:rsidP="00546F84">
      <w:pPr>
        <w:contextualSpacing/>
        <w:rPr>
          <w:rFonts w:eastAsia="Calibri"/>
          <w:color w:val="000000"/>
        </w:rPr>
      </w:pPr>
    </w:p>
    <w:p w14:paraId="2848F529" w14:textId="77777777" w:rsidR="00546F84" w:rsidRPr="00546F84" w:rsidRDefault="00546F84" w:rsidP="00546F84">
      <w:pPr>
        <w:contextualSpacing/>
        <w:rPr>
          <w:rFonts w:eastAsia="Calibri"/>
          <w:color w:val="000000"/>
        </w:rPr>
      </w:pPr>
      <w:r w:rsidRPr="00546F84">
        <w:rPr>
          <w:rFonts w:eastAsia="Calibri"/>
          <w:color w:val="000000"/>
        </w:rPr>
        <w:t>DOI: 10.5061/dryad.hx3ffbgkh</w:t>
      </w:r>
    </w:p>
    <w:p w14:paraId="11F1F253" w14:textId="77777777" w:rsidR="00546F84" w:rsidRPr="00546F84" w:rsidRDefault="00546F84" w:rsidP="00546F84">
      <w:pPr>
        <w:contextualSpacing/>
        <w:rPr>
          <w:rFonts w:eastAsia="Calibri"/>
          <w:color w:val="000000"/>
        </w:rPr>
      </w:pPr>
    </w:p>
    <w:p w14:paraId="6AC9293A" w14:textId="77777777" w:rsidR="005636C8" w:rsidRPr="006800C0" w:rsidRDefault="005636C8" w:rsidP="005636C8">
      <w:pPr>
        <w:contextualSpacing/>
        <w:rPr>
          <w:rFonts w:eastAsia="Calibri"/>
          <w:color w:val="000000"/>
        </w:rPr>
      </w:pPr>
      <w:r w:rsidRPr="00CE4828">
        <w:rPr>
          <w:rFonts w:eastAsia="Calibri"/>
          <w:i/>
          <w:color w:val="000000"/>
        </w:rPr>
        <w:t>Data sources</w:t>
      </w:r>
      <w:r w:rsidRPr="006800C0">
        <w:rPr>
          <w:rFonts w:eastAsia="Calibri"/>
          <w:color w:val="000000"/>
        </w:rPr>
        <w:t>:</w:t>
      </w:r>
    </w:p>
    <w:p w14:paraId="423F75D4" w14:textId="77777777" w:rsidR="005636C8" w:rsidRDefault="005636C8" w:rsidP="005636C8">
      <w:pPr>
        <w:spacing w:after="120"/>
        <w:rPr>
          <w:rFonts w:eastAsia="Calibri"/>
          <w:color w:val="000000"/>
        </w:rPr>
      </w:pPr>
    </w:p>
    <w:p w14:paraId="17982541" w14:textId="4366F0C1" w:rsidR="005636C8" w:rsidRDefault="00743C0E" w:rsidP="005636C8">
      <w:pPr>
        <w:spacing w:after="120"/>
        <w:rPr>
          <w:rFonts w:eastAsia="Calibri"/>
          <w:color w:val="000000"/>
        </w:rPr>
      </w:pPr>
      <w:r>
        <w:rPr>
          <w:rFonts w:eastAsia="Calibri"/>
          <w:color w:val="000000"/>
        </w:rPr>
        <w:t>Mineral</w:t>
      </w:r>
      <w:r w:rsidRPr="009F4B4E">
        <w:rPr>
          <w:rFonts w:eastAsia="Calibri"/>
          <w:color w:val="000000"/>
        </w:rPr>
        <w:t xml:space="preserve"> </w:t>
      </w:r>
      <w:r w:rsidR="005636C8" w:rsidRPr="009F4B4E">
        <w:rPr>
          <w:rFonts w:eastAsia="Calibri"/>
          <w:color w:val="000000"/>
        </w:rPr>
        <w:t>fertilizers</w:t>
      </w:r>
      <w:r w:rsidR="005636C8">
        <w:rPr>
          <w:rFonts w:eastAsia="Calibri"/>
          <w:color w:val="000000"/>
        </w:rPr>
        <w:t xml:space="preserve">:  </w:t>
      </w:r>
    </w:p>
    <w:p w14:paraId="42D9DCEB" w14:textId="77777777" w:rsidR="005636C8" w:rsidRDefault="005636C8" w:rsidP="005636C8">
      <w:pPr>
        <w:spacing w:after="120"/>
        <w:ind w:left="720"/>
        <w:rPr>
          <w:rFonts w:eastAsia="Calibri"/>
          <w:color w:val="000000"/>
        </w:rPr>
      </w:pPr>
      <w:r>
        <w:rPr>
          <w:rFonts w:eastAsia="Calibri"/>
          <w:color w:val="000000"/>
        </w:rPr>
        <w:t xml:space="preserve">Data: </w:t>
      </w:r>
      <w:r w:rsidRPr="00231979">
        <w:rPr>
          <w:rFonts w:eastAsia="Calibri"/>
          <w:color w:val="000000"/>
        </w:rPr>
        <w:t>“Fertilizers by Nutrient” domain in FAOSTAT</w:t>
      </w:r>
    </w:p>
    <w:p w14:paraId="3AFD06F4" w14:textId="77777777" w:rsidR="005636C8" w:rsidRDefault="005636C8" w:rsidP="005636C8">
      <w:pPr>
        <w:spacing w:after="120"/>
        <w:ind w:left="720"/>
        <w:rPr>
          <w:rFonts w:eastAsia="Calibri"/>
          <w:color w:val="000000"/>
        </w:rPr>
      </w:pPr>
      <w:hyperlink r:id="rId21" w:anchor="data/RFN" w:history="1">
        <w:r w:rsidRPr="00C71F72">
          <w:rPr>
            <w:rStyle w:val="Hyperlink"/>
            <w:rFonts w:eastAsia="Calibri"/>
          </w:rPr>
          <w:t>http://fenix.fao.org/faostat/internal/en/#data/RFN</w:t>
        </w:r>
      </w:hyperlink>
    </w:p>
    <w:p w14:paraId="1800817B" w14:textId="77777777" w:rsidR="005636C8" w:rsidRDefault="005636C8" w:rsidP="005636C8">
      <w:pPr>
        <w:spacing w:after="120"/>
        <w:ind w:left="720"/>
        <w:rPr>
          <w:rFonts w:eastAsia="Calibri"/>
          <w:color w:val="000000"/>
        </w:rPr>
      </w:pPr>
      <w:r w:rsidRPr="00231979">
        <w:rPr>
          <w:rFonts w:eastAsia="Calibri"/>
          <w:color w:val="000000"/>
        </w:rPr>
        <w:t>Coefficients</w:t>
      </w:r>
      <w:r>
        <w:rPr>
          <w:rFonts w:eastAsia="Calibri"/>
          <w:color w:val="000000"/>
        </w:rPr>
        <w:t xml:space="preserve">:  </w:t>
      </w:r>
      <w:r w:rsidRPr="00811BB6">
        <w:rPr>
          <w:rFonts w:eastAsia="Calibri"/>
          <w:color w:val="000000"/>
        </w:rPr>
        <w:t xml:space="preserve">The cropland fraction estimates were derived from 4 </w:t>
      </w:r>
      <w:proofErr w:type="spellStart"/>
      <w:r w:rsidRPr="00811BB6">
        <w:rPr>
          <w:rFonts w:eastAsia="Calibri"/>
          <w:color w:val="000000"/>
        </w:rPr>
        <w:t>exisiting</w:t>
      </w:r>
      <w:proofErr w:type="spellEnd"/>
      <w:r w:rsidRPr="00811BB6">
        <w:rPr>
          <w:rFonts w:eastAsia="Calibri"/>
          <w:color w:val="000000"/>
        </w:rPr>
        <w:t xml:space="preserve"> datasets</w:t>
      </w:r>
    </w:p>
    <w:p w14:paraId="6674000E" w14:textId="77777777" w:rsidR="005636C8" w:rsidRDefault="005636C8" w:rsidP="005636C8">
      <w:pPr>
        <w:spacing w:after="120"/>
        <w:ind w:left="720"/>
        <w:rPr>
          <w:rFonts w:eastAsia="Calibri"/>
          <w:color w:val="000000"/>
        </w:rPr>
      </w:pPr>
      <w:r w:rsidRPr="00811BB6">
        <w:rPr>
          <w:rFonts w:eastAsia="Calibri"/>
          <w:color w:val="000000"/>
        </w:rPr>
        <w:t>Zou, T., et. al. Global trends of cropland phosphorus use and sustainability challenges. Nature (2022).</w:t>
      </w:r>
    </w:p>
    <w:p w14:paraId="0B331805" w14:textId="77777777" w:rsidR="005636C8" w:rsidRDefault="005636C8" w:rsidP="005636C8">
      <w:pPr>
        <w:spacing w:after="120"/>
        <w:rPr>
          <w:rFonts w:eastAsia="Calibri"/>
          <w:color w:val="000000"/>
        </w:rPr>
      </w:pPr>
      <w:r w:rsidRPr="00811BB6">
        <w:rPr>
          <w:rFonts w:eastAsia="Calibri"/>
          <w:color w:val="000000"/>
        </w:rPr>
        <w:t>Manure applied to soils</w:t>
      </w:r>
    </w:p>
    <w:p w14:paraId="422D1FC1" w14:textId="77777777" w:rsidR="005636C8" w:rsidRDefault="005636C8" w:rsidP="005636C8">
      <w:pPr>
        <w:spacing w:after="120"/>
        <w:ind w:left="720"/>
        <w:rPr>
          <w:rFonts w:eastAsia="Calibri"/>
          <w:color w:val="000000"/>
        </w:rPr>
      </w:pPr>
      <w:r>
        <w:rPr>
          <w:rFonts w:eastAsia="Calibri"/>
          <w:color w:val="000000"/>
        </w:rPr>
        <w:lastRenderedPageBreak/>
        <w:t xml:space="preserve">Data: </w:t>
      </w:r>
      <w:r w:rsidRPr="005D760B">
        <w:rPr>
          <w:rFonts w:eastAsia="Calibri"/>
          <w:color w:val="000000"/>
        </w:rPr>
        <w:t>“Manure applied to Soils” domain in FAOSTAT</w:t>
      </w:r>
    </w:p>
    <w:p w14:paraId="582801D5" w14:textId="77777777" w:rsidR="005636C8" w:rsidRDefault="005636C8" w:rsidP="005636C8">
      <w:pPr>
        <w:spacing w:after="120"/>
        <w:ind w:left="720"/>
        <w:rPr>
          <w:rFonts w:eastAsia="Calibri"/>
          <w:color w:val="000000"/>
        </w:rPr>
      </w:pPr>
      <w:hyperlink r:id="rId22" w:anchor="data/GU" w:history="1">
        <w:r w:rsidRPr="00C71F72">
          <w:rPr>
            <w:rStyle w:val="Hyperlink"/>
            <w:rFonts w:eastAsia="Calibri"/>
          </w:rPr>
          <w:t>http://fenix.fao.org/faostat/internal/en/#data/GU</w:t>
        </w:r>
      </w:hyperlink>
    </w:p>
    <w:p w14:paraId="11DB369A" w14:textId="77777777" w:rsidR="005636C8" w:rsidRDefault="005636C8" w:rsidP="005636C8">
      <w:pPr>
        <w:spacing w:after="120"/>
        <w:ind w:left="720"/>
        <w:rPr>
          <w:rFonts w:eastAsia="Calibri"/>
          <w:color w:val="000000"/>
        </w:rPr>
      </w:pPr>
      <w:r w:rsidRPr="00231979">
        <w:rPr>
          <w:rFonts w:eastAsia="Calibri"/>
          <w:color w:val="000000"/>
        </w:rPr>
        <w:t>Coefficients</w:t>
      </w:r>
      <w:r>
        <w:rPr>
          <w:rFonts w:eastAsia="Calibri"/>
          <w:color w:val="000000"/>
        </w:rPr>
        <w:t xml:space="preserve">:  </w:t>
      </w:r>
      <w:r w:rsidRPr="00856369">
        <w:rPr>
          <w:rFonts w:eastAsia="Calibri"/>
          <w:color w:val="000000"/>
        </w:rPr>
        <w:t xml:space="preserve">OECD Secretariat 1997, USA (Midwest Plan Service 1985) and Europe (Levington Agriculture 1997) and from Sheldrick et al (2003). Statistics Netherlands (2012).  </w:t>
      </w:r>
    </w:p>
    <w:p w14:paraId="21CA6CD7" w14:textId="77777777" w:rsidR="005636C8" w:rsidRDefault="005636C8" w:rsidP="005636C8">
      <w:pPr>
        <w:spacing w:after="120"/>
        <w:rPr>
          <w:rFonts w:eastAsia="Calibri"/>
          <w:color w:val="000000"/>
        </w:rPr>
      </w:pPr>
      <w:r w:rsidRPr="00856369">
        <w:rPr>
          <w:rFonts w:eastAsia="Calibri"/>
          <w:color w:val="000000"/>
        </w:rPr>
        <w:t>Atmospheric Deposition</w:t>
      </w:r>
      <w:r>
        <w:rPr>
          <w:rFonts w:eastAsia="Calibri"/>
          <w:color w:val="000000"/>
        </w:rPr>
        <w:t xml:space="preserve">: </w:t>
      </w:r>
    </w:p>
    <w:p w14:paraId="6DBE451A" w14:textId="77777777" w:rsidR="005636C8" w:rsidRDefault="005636C8" w:rsidP="005636C8">
      <w:pPr>
        <w:spacing w:after="120"/>
        <w:ind w:left="720"/>
        <w:rPr>
          <w:rFonts w:eastAsia="Calibri"/>
          <w:color w:val="000000"/>
        </w:rPr>
      </w:pPr>
      <w:r>
        <w:rPr>
          <w:rFonts w:eastAsia="Calibri"/>
          <w:color w:val="000000"/>
        </w:rPr>
        <w:t xml:space="preserve">Data:  </w:t>
      </w:r>
      <w:r w:rsidRPr="00856369">
        <w:rPr>
          <w:rFonts w:eastAsia="Calibri"/>
          <w:color w:val="000000"/>
        </w:rPr>
        <w:t>Vishwakarma, Srishti et al. (2022), Quantifying nitrogen deposition inputs to cropland: A national scale dataset from 1961 to 2020, Dryad, Dataset.</w:t>
      </w:r>
    </w:p>
    <w:p w14:paraId="376DDDD9" w14:textId="77777777" w:rsidR="005636C8" w:rsidRDefault="005636C8" w:rsidP="005636C8">
      <w:pPr>
        <w:spacing w:after="120"/>
        <w:rPr>
          <w:rFonts w:eastAsia="Calibri"/>
          <w:color w:val="000000"/>
        </w:rPr>
      </w:pPr>
      <w:r w:rsidRPr="009B6E2D">
        <w:rPr>
          <w:rFonts w:eastAsia="Calibri"/>
          <w:color w:val="000000"/>
        </w:rPr>
        <w:t>Crop Removal</w:t>
      </w:r>
      <w:r>
        <w:rPr>
          <w:rFonts w:eastAsia="Calibri"/>
          <w:color w:val="000000"/>
        </w:rPr>
        <w:t xml:space="preserve">:  </w:t>
      </w:r>
    </w:p>
    <w:p w14:paraId="0CE49AC9" w14:textId="77777777" w:rsidR="005636C8" w:rsidRDefault="005636C8" w:rsidP="005636C8">
      <w:pPr>
        <w:spacing w:after="120"/>
        <w:ind w:left="720"/>
        <w:rPr>
          <w:rFonts w:eastAsia="Calibri"/>
          <w:color w:val="000000"/>
        </w:rPr>
      </w:pPr>
      <w:r>
        <w:rPr>
          <w:rFonts w:eastAsia="Calibri"/>
          <w:color w:val="000000"/>
        </w:rPr>
        <w:t xml:space="preserve">Data:  </w:t>
      </w:r>
      <w:r w:rsidRPr="009B6E2D">
        <w:rPr>
          <w:rFonts w:eastAsia="Calibri"/>
          <w:color w:val="000000"/>
        </w:rPr>
        <w:t>Primary Crops under the domain “Crops and livestock products”</w:t>
      </w:r>
    </w:p>
    <w:p w14:paraId="3912D967" w14:textId="77777777" w:rsidR="005636C8" w:rsidRDefault="005636C8" w:rsidP="005636C8">
      <w:pPr>
        <w:spacing w:after="120"/>
        <w:ind w:left="720"/>
        <w:rPr>
          <w:rFonts w:eastAsia="Calibri"/>
          <w:color w:val="000000"/>
        </w:rPr>
      </w:pPr>
      <w:hyperlink r:id="rId23" w:anchor="data/QCL" w:history="1">
        <w:r w:rsidRPr="00C71F72">
          <w:rPr>
            <w:rStyle w:val="Hyperlink"/>
            <w:rFonts w:eastAsia="Calibri"/>
          </w:rPr>
          <w:t>https://www.fao.org/faostat/en/#data/QCL</w:t>
        </w:r>
      </w:hyperlink>
    </w:p>
    <w:p w14:paraId="232B09BB" w14:textId="77777777" w:rsidR="005636C8" w:rsidRDefault="005636C8" w:rsidP="005636C8">
      <w:pPr>
        <w:spacing w:after="120"/>
        <w:ind w:left="720"/>
        <w:rPr>
          <w:rFonts w:eastAsia="Calibri"/>
          <w:color w:val="000000"/>
        </w:rPr>
      </w:pPr>
      <w:r>
        <w:rPr>
          <w:rFonts w:eastAsia="Calibri"/>
          <w:color w:val="000000"/>
        </w:rPr>
        <w:t xml:space="preserve">Coefficients:  </w:t>
      </w:r>
      <w:r w:rsidRPr="009E083F">
        <w:rPr>
          <w:rFonts w:eastAsia="Calibri"/>
          <w:color w:val="000000"/>
        </w:rPr>
        <w:t>Ludemann et al (2022) Global data on crop nutrient concentration and harvest indices</w:t>
      </w:r>
    </w:p>
    <w:p w14:paraId="4520FF15" w14:textId="77777777" w:rsidR="005636C8" w:rsidRPr="00915E7A" w:rsidRDefault="005636C8" w:rsidP="005636C8">
      <w:pPr>
        <w:spacing w:after="120"/>
        <w:ind w:left="720"/>
        <w:rPr>
          <w:rFonts w:eastAsia="Calibri"/>
          <w:color w:val="000000"/>
        </w:rPr>
      </w:pPr>
      <w:hyperlink r:id="rId24" w:history="1">
        <w:r w:rsidRPr="00915E7A">
          <w:rPr>
            <w:rStyle w:val="Hyperlink"/>
            <w:rFonts w:eastAsia="Calibri"/>
          </w:rPr>
          <w:t>https://doi.org/10.5061/dryad.n2z34tn0x</w:t>
        </w:r>
      </w:hyperlink>
    </w:p>
    <w:p w14:paraId="1DE6B2A8" w14:textId="77777777" w:rsidR="005636C8" w:rsidRPr="00915E7A" w:rsidRDefault="005636C8" w:rsidP="005636C8">
      <w:pPr>
        <w:spacing w:after="120"/>
        <w:rPr>
          <w:rFonts w:eastAsia="Calibri"/>
          <w:color w:val="000000"/>
        </w:rPr>
      </w:pPr>
      <w:r w:rsidRPr="00915E7A">
        <w:rPr>
          <w:rFonts w:eastAsia="Calibri"/>
          <w:color w:val="000000"/>
        </w:rPr>
        <w:t xml:space="preserve">Biological </w:t>
      </w:r>
      <w:proofErr w:type="gramStart"/>
      <w:r w:rsidRPr="00915E7A">
        <w:rPr>
          <w:rFonts w:eastAsia="Calibri"/>
          <w:color w:val="000000"/>
        </w:rPr>
        <w:t>Fixation :</w:t>
      </w:r>
      <w:proofErr w:type="gramEnd"/>
      <w:r w:rsidRPr="00915E7A">
        <w:rPr>
          <w:rFonts w:eastAsia="Calibri"/>
          <w:color w:val="000000"/>
        </w:rPr>
        <w:t xml:space="preserve">  </w:t>
      </w:r>
    </w:p>
    <w:p w14:paraId="36608B55" w14:textId="77777777" w:rsidR="005636C8" w:rsidRDefault="005636C8" w:rsidP="005636C8">
      <w:pPr>
        <w:spacing w:after="120"/>
        <w:ind w:left="720"/>
        <w:rPr>
          <w:rFonts w:eastAsia="Calibri"/>
          <w:color w:val="000000"/>
        </w:rPr>
      </w:pPr>
      <w:proofErr w:type="gramStart"/>
      <w:r w:rsidRPr="003727B7">
        <w:rPr>
          <w:rFonts w:eastAsia="Calibri"/>
          <w:color w:val="000000"/>
          <w:lang w:val="en-US"/>
        </w:rPr>
        <w:t>Data :</w:t>
      </w:r>
      <w:proofErr w:type="gramEnd"/>
      <w:r w:rsidRPr="003727B7">
        <w:rPr>
          <w:rFonts w:eastAsia="Calibri"/>
          <w:color w:val="000000"/>
          <w:lang w:val="en-US"/>
        </w:rPr>
        <w:t xml:space="preserve"> Primary Crops under the domain “Crops and livestock products”</w:t>
      </w:r>
    </w:p>
    <w:p w14:paraId="30CE0D7A" w14:textId="77777777" w:rsidR="005636C8" w:rsidRDefault="005636C8" w:rsidP="005636C8">
      <w:pPr>
        <w:spacing w:after="120"/>
        <w:ind w:left="720"/>
        <w:rPr>
          <w:rFonts w:eastAsia="Calibri"/>
          <w:color w:val="000000"/>
        </w:rPr>
      </w:pPr>
      <w:hyperlink r:id="rId25" w:anchor="data/QCL" w:history="1">
        <w:r w:rsidRPr="00C71F72">
          <w:rPr>
            <w:rStyle w:val="Hyperlink"/>
            <w:rFonts w:eastAsia="Calibri"/>
          </w:rPr>
          <w:t>https://www.fao.org/faostat/en/#data/QCL</w:t>
        </w:r>
      </w:hyperlink>
    </w:p>
    <w:p w14:paraId="6BE7D3BD" w14:textId="77777777" w:rsidR="005636C8" w:rsidRPr="00537156" w:rsidRDefault="005636C8" w:rsidP="005636C8">
      <w:pPr>
        <w:spacing w:after="120"/>
        <w:ind w:left="720"/>
        <w:rPr>
          <w:rFonts w:eastAsia="Calibri"/>
          <w:color w:val="000000"/>
          <w:lang w:val="en-US"/>
        </w:rPr>
      </w:pPr>
      <w:r>
        <w:rPr>
          <w:rFonts w:eastAsia="Calibri"/>
          <w:color w:val="000000"/>
        </w:rPr>
        <w:t xml:space="preserve">Methods:  </w:t>
      </w:r>
      <w:r w:rsidRPr="00537156">
        <w:rPr>
          <w:rFonts w:eastAsia="Calibri"/>
          <w:color w:val="000000"/>
        </w:rPr>
        <w:t>Peoples et al. (2021) and Herridge et al. (2022).</w:t>
      </w:r>
    </w:p>
    <w:p w14:paraId="4FE8B4C3" w14:textId="77777777" w:rsidR="003F2D70" w:rsidRPr="006800C0" w:rsidRDefault="003F2D70" w:rsidP="003F2D70">
      <w:pPr>
        <w:spacing w:after="0" w:line="240" w:lineRule="auto"/>
        <w:contextualSpacing/>
        <w:rPr>
          <w:rFonts w:eastAsia="Calibri"/>
          <w:color w:val="000000"/>
          <w:lang w:eastAsia="en-US"/>
        </w:rPr>
      </w:pPr>
    </w:p>
    <w:p w14:paraId="2D6B836B" w14:textId="5F2EFE58" w:rsidR="003F2D70" w:rsidRPr="00783160" w:rsidRDefault="006C5D32" w:rsidP="003F2D70">
      <w:pPr>
        <w:spacing w:before="120" w:after="120"/>
        <w:rPr>
          <w:bCs/>
          <w:color w:val="000000"/>
        </w:rPr>
      </w:pPr>
      <w:r>
        <w:rPr>
          <w:rFonts w:eastAsia="Calibri"/>
          <w:b/>
          <w:bCs/>
          <w:color w:val="000000"/>
          <w:lang w:eastAsia="en-US"/>
        </w:rPr>
        <w:t>5</w:t>
      </w:r>
      <w:r w:rsidR="003F2D70" w:rsidRPr="006800C0">
        <w:rPr>
          <w:rFonts w:eastAsia="Calibri"/>
          <w:b/>
          <w:bCs/>
          <w:color w:val="000000"/>
          <w:lang w:eastAsia="en-US"/>
        </w:rPr>
        <w:t>.</w:t>
      </w:r>
      <w:r w:rsidR="003F2D70" w:rsidRPr="00CE4828">
        <w:rPr>
          <w:rFonts w:eastAsia="Calibri"/>
          <w:b/>
          <w:color w:val="000000"/>
          <w:lang w:eastAsia="en-US"/>
        </w:rPr>
        <w:t xml:space="preserve"> Agriculture component of water stress</w:t>
      </w:r>
    </w:p>
    <w:p w14:paraId="109D6CE7" w14:textId="77777777" w:rsidR="003F2D70" w:rsidRPr="006800C0" w:rsidRDefault="003F2D70" w:rsidP="003F2D70">
      <w:pPr>
        <w:pStyle w:val="ListParagraph"/>
        <w:spacing w:before="120" w:after="120"/>
        <w:ind w:left="0"/>
        <w:rPr>
          <w:rFonts w:ascii="Calibri" w:hAnsi="Calibri"/>
          <w:bCs/>
          <w:color w:val="000000"/>
        </w:rPr>
      </w:pPr>
      <w:r w:rsidRPr="006800C0">
        <w:rPr>
          <w:rFonts w:ascii="Calibri" w:hAnsi="Calibri"/>
          <w:bCs/>
          <w:color w:val="000000"/>
        </w:rPr>
        <w:t>Formula:</w:t>
      </w:r>
    </w:p>
    <w:p w14:paraId="026782E8" w14:textId="77777777" w:rsidR="003F2D70" w:rsidRPr="006800C0" w:rsidRDefault="003F2D70" w:rsidP="003F2D70">
      <w:pPr>
        <w:pStyle w:val="ListParagraph"/>
        <w:spacing w:before="120" w:after="120"/>
        <w:ind w:left="0"/>
        <w:rPr>
          <w:rFonts w:ascii="Calibri" w:hAnsi="Calibri"/>
          <w:bCs/>
          <w:color w:val="000000"/>
        </w:rPr>
      </w:pPr>
      <w:r w:rsidRPr="00CE4828">
        <w:rPr>
          <w:color w:val="000000"/>
        </w:rPr>
        <w:t>Agriculture component of water stress</w:t>
      </w:r>
      <w:r w:rsidRPr="006800C0">
        <w:rPr>
          <w:rFonts w:ascii="Calibri" w:hAnsi="Calibri"/>
          <w:color w:val="000000"/>
        </w:rPr>
        <w:t xml:space="preserve"> = </w:t>
      </w:r>
      <m:oMath>
        <m:f>
          <m:fPr>
            <m:ctrlPr>
              <w:rPr>
                <w:rFonts w:ascii="Cambria Math" w:hAnsi="Cambria Math"/>
                <w:i/>
                <w:color w:val="000000"/>
              </w:rPr>
            </m:ctrlPr>
          </m:fPr>
          <m:num>
            <m:r>
              <m:rPr>
                <m:sty m:val="p"/>
              </m:rPr>
              <w:rPr>
                <w:rFonts w:ascii="Cambria Math" w:hAnsi="Cambria Math"/>
                <w:color w:val="000000"/>
              </w:rPr>
              <m:t xml:space="preserve">TFWW </m:t>
            </m:r>
          </m:num>
          <m:den>
            <m:r>
              <m:rPr>
                <m:sty m:val="p"/>
              </m:rPr>
              <w:rPr>
                <w:rFonts w:ascii="Cambria Math" w:hAnsi="Cambria Math"/>
                <w:color w:val="000000"/>
              </w:rPr>
              <m:t xml:space="preserve">(TRWR - EFR) </m:t>
            </m:r>
          </m:den>
        </m:f>
        <m:r>
          <w:rPr>
            <w:rFonts w:ascii="Cambria Math" w:hAnsi="Cambria Math"/>
            <w:color w:val="000000"/>
          </w:rPr>
          <m:t>*100%</m:t>
        </m:r>
        <m:r>
          <m:rPr>
            <m:sty m:val="p"/>
          </m:rPr>
          <w:rPr>
            <w:rFonts w:ascii="Cambria Math" w:hAnsi="Cambria Math"/>
            <w:color w:val="000000"/>
          </w:rPr>
          <m:t xml:space="preserve"> </m:t>
        </m:r>
      </m:oMath>
    </w:p>
    <w:p w14:paraId="5815BF78" w14:textId="77777777" w:rsidR="003F2D70" w:rsidRPr="006800C0" w:rsidRDefault="003F2D70" w:rsidP="003F2D70">
      <w:pPr>
        <w:pStyle w:val="ListParagraph"/>
        <w:spacing w:before="120" w:after="120"/>
        <w:ind w:left="0"/>
        <w:rPr>
          <w:rFonts w:ascii="Calibri" w:hAnsi="Calibri"/>
          <w:bCs/>
          <w:color w:val="000000"/>
        </w:rPr>
      </w:pPr>
    </w:p>
    <w:p w14:paraId="555F397C" w14:textId="77777777" w:rsidR="003F2D70" w:rsidRPr="006800C0" w:rsidRDefault="003F2D70" w:rsidP="003F2D70">
      <w:pPr>
        <w:pStyle w:val="ListParagraph"/>
        <w:spacing w:before="120" w:after="120"/>
        <w:ind w:left="0"/>
        <w:rPr>
          <w:rFonts w:ascii="Calibri" w:hAnsi="Calibri"/>
          <w:color w:val="000000"/>
        </w:rPr>
      </w:pPr>
      <w:r w:rsidRPr="00CE4828">
        <w:rPr>
          <w:rFonts w:ascii="Calibri" w:hAnsi="Calibri"/>
          <w:color w:val="000000"/>
        </w:rPr>
        <w:t>TFWW:</w:t>
      </w:r>
      <w:r w:rsidRPr="006800C0">
        <w:rPr>
          <w:rFonts w:ascii="Calibri" w:hAnsi="Calibri"/>
          <w:color w:val="000000"/>
        </w:rPr>
        <w:t xml:space="preserve"> the total freshwater withdrawn (km3 /year (109 m3 /year))</w:t>
      </w:r>
    </w:p>
    <w:p w14:paraId="412D2130" w14:textId="77777777" w:rsidR="003F2D70" w:rsidRPr="00CE4828" w:rsidRDefault="003F2D70" w:rsidP="003F2D70">
      <w:pPr>
        <w:pStyle w:val="ListParagraph"/>
        <w:spacing w:before="120" w:after="120"/>
        <w:ind w:left="0"/>
        <w:rPr>
          <w:rFonts w:ascii="Calibri" w:hAnsi="Calibri"/>
          <w:b/>
          <w:color w:val="000000"/>
        </w:rPr>
      </w:pPr>
      <w:r w:rsidRPr="006800C0">
        <w:rPr>
          <w:rFonts w:ascii="Calibri" w:hAnsi="Calibri"/>
          <w:color w:val="000000"/>
        </w:rPr>
        <w:t>TRWR: the difference between the total renewable freshwater resources km3 /year (109 m3 /year))</w:t>
      </w:r>
    </w:p>
    <w:p w14:paraId="7B5F11CA" w14:textId="77777777" w:rsidR="003F2D70" w:rsidRPr="006800C0" w:rsidRDefault="003F2D70" w:rsidP="003F2D70">
      <w:pPr>
        <w:pStyle w:val="ListParagraph"/>
        <w:spacing w:before="120" w:after="120"/>
        <w:ind w:left="0"/>
        <w:rPr>
          <w:rFonts w:ascii="Calibri" w:hAnsi="Calibri"/>
          <w:bCs/>
          <w:color w:val="000000"/>
        </w:rPr>
      </w:pPr>
      <w:r w:rsidRPr="006800C0">
        <w:rPr>
          <w:rFonts w:ascii="Calibri" w:hAnsi="Calibri"/>
          <w:color w:val="000000"/>
        </w:rPr>
        <w:t>EFR: the environmental flow requirements (km3 /year (109 m3 /year))</w:t>
      </w:r>
    </w:p>
    <w:p w14:paraId="093A6D0B" w14:textId="77777777" w:rsidR="003F2D70" w:rsidRPr="006800C0" w:rsidRDefault="003F2D70" w:rsidP="003F2D70">
      <w:pPr>
        <w:pStyle w:val="ListParagraph"/>
        <w:spacing w:before="120" w:after="120"/>
        <w:ind w:left="0"/>
        <w:rPr>
          <w:rFonts w:ascii="Calibri" w:hAnsi="Calibri"/>
          <w:color w:val="000000"/>
        </w:rPr>
      </w:pPr>
      <w:r>
        <w:rPr>
          <w:rFonts w:ascii="Calibri" w:hAnsi="Calibri"/>
          <w:color w:val="000000"/>
        </w:rPr>
        <w:t>While for the overall</w:t>
      </w:r>
      <w:r w:rsidRPr="006800C0">
        <w:rPr>
          <w:rFonts w:ascii="Calibri" w:hAnsi="Calibri"/>
          <w:color w:val="000000"/>
        </w:rPr>
        <w:t xml:space="preserve"> SDG </w:t>
      </w:r>
      <w:r>
        <w:rPr>
          <w:rFonts w:ascii="Calibri" w:hAnsi="Calibri"/>
          <w:color w:val="000000"/>
        </w:rPr>
        <w:t xml:space="preserve">indicator </w:t>
      </w:r>
      <w:r w:rsidRPr="006800C0">
        <w:rPr>
          <w:rFonts w:ascii="Calibri" w:hAnsi="Calibri"/>
          <w:color w:val="000000"/>
        </w:rPr>
        <w:t>6.4.2., values below 25% are considered safe (no stress)</w:t>
      </w:r>
      <w:r>
        <w:rPr>
          <w:rFonts w:ascii="Calibri" w:hAnsi="Calibri"/>
          <w:color w:val="000000"/>
        </w:rPr>
        <w:t>, whereas values over 25% are classified into four different levels of severity,</w:t>
      </w:r>
      <w:r w:rsidRPr="006800C0">
        <w:rPr>
          <w:rFonts w:ascii="Calibri" w:hAnsi="Calibri"/>
          <w:color w:val="000000"/>
        </w:rPr>
        <w:t xml:space="preserve"> </w:t>
      </w:r>
      <w:r>
        <w:rPr>
          <w:rFonts w:ascii="Calibri" w:hAnsi="Calibri"/>
          <w:color w:val="000000"/>
        </w:rPr>
        <w:t>for the agriculture component of the</w:t>
      </w:r>
      <w:r w:rsidRPr="0068308B">
        <w:rPr>
          <w:rFonts w:ascii="Calibri" w:hAnsi="Calibri"/>
          <w:color w:val="000000"/>
        </w:rPr>
        <w:t xml:space="preserve"> indicator,</w:t>
      </w:r>
      <w:r>
        <w:rPr>
          <w:rFonts w:ascii="Calibri" w:hAnsi="Calibri"/>
          <w:color w:val="000000"/>
        </w:rPr>
        <w:t xml:space="preserve"> adjusted</w:t>
      </w:r>
      <w:r w:rsidRPr="0068308B">
        <w:rPr>
          <w:rFonts w:ascii="Calibri" w:hAnsi="Calibri"/>
          <w:color w:val="000000"/>
        </w:rPr>
        <w:t xml:space="preserve"> thresholds have been determined at 70 percent of the</w:t>
      </w:r>
      <w:r>
        <w:rPr>
          <w:rFonts w:ascii="Calibri" w:hAnsi="Calibri"/>
          <w:color w:val="000000"/>
        </w:rPr>
        <w:t>se</w:t>
      </w:r>
      <w:r w:rsidRPr="0068308B">
        <w:rPr>
          <w:rFonts w:ascii="Calibri" w:hAnsi="Calibri"/>
          <w:color w:val="000000"/>
        </w:rPr>
        <w:t xml:space="preserve"> conventional thresholds at aggregate national level, considering that globally, agriculture is responsible for 70 percent of all water withdrawals. </w:t>
      </w:r>
      <w:r>
        <w:rPr>
          <w:rFonts w:ascii="Calibri" w:hAnsi="Calibri"/>
          <w:color w:val="000000"/>
        </w:rPr>
        <w:t xml:space="preserve">Therefore, a water stress level for the agriculture component of below 17.5% is considered safe, a level of between 17.5% and 35% </w:t>
      </w:r>
      <w:proofErr w:type="gramStart"/>
      <w:r>
        <w:rPr>
          <w:rFonts w:ascii="Calibri" w:hAnsi="Calibri"/>
          <w:color w:val="000000"/>
        </w:rPr>
        <w:t>is considered to be</w:t>
      </w:r>
      <w:proofErr w:type="gramEnd"/>
      <w:r>
        <w:rPr>
          <w:rFonts w:ascii="Calibri" w:hAnsi="Calibri"/>
          <w:color w:val="000000"/>
        </w:rPr>
        <w:t xml:space="preserve"> low stress, and so on. </w:t>
      </w:r>
    </w:p>
    <w:p w14:paraId="2175FFD0" w14:textId="77777777" w:rsidR="003F2D70" w:rsidRPr="00783160" w:rsidRDefault="003F2D70" w:rsidP="003F2D70">
      <w:pPr>
        <w:spacing w:before="120" w:after="120"/>
        <w:rPr>
          <w:rFonts w:eastAsia="Calibri"/>
          <w:b/>
          <w:bCs/>
          <w:color w:val="000000"/>
          <w:lang w:eastAsia="en-US"/>
        </w:rPr>
      </w:pPr>
      <w:r w:rsidRPr="00CE4828">
        <w:rPr>
          <w:rFonts w:eastAsia="Calibri"/>
          <w:i/>
          <w:color w:val="000000"/>
          <w:lang w:eastAsia="en-US"/>
        </w:rPr>
        <w:t>Unit of measure:</w:t>
      </w:r>
      <w:r w:rsidRPr="006800C0">
        <w:rPr>
          <w:rFonts w:eastAsia="Calibri"/>
          <w:color w:val="000000"/>
          <w:lang w:eastAsia="en-US"/>
        </w:rPr>
        <w:t xml:space="preserve"> </w:t>
      </w:r>
      <w:r>
        <w:rPr>
          <w:rFonts w:eastAsia="Calibri"/>
          <w:color w:val="000000"/>
          <w:lang w:eastAsia="en-US"/>
        </w:rPr>
        <w:t>Percentage</w:t>
      </w:r>
    </w:p>
    <w:p w14:paraId="46E3869C" w14:textId="77777777" w:rsidR="003F2D70" w:rsidRDefault="003F2D70" w:rsidP="003F2D70">
      <w:pPr>
        <w:pStyle w:val="ListParagraph"/>
        <w:spacing w:before="120" w:after="120"/>
        <w:ind w:left="0"/>
        <w:rPr>
          <w:rStyle w:val="Hyperlink"/>
          <w:rFonts w:ascii="Calibri" w:hAnsi="Calibri"/>
        </w:rPr>
      </w:pPr>
      <w:r w:rsidRPr="00CE4828">
        <w:rPr>
          <w:rFonts w:ascii="Calibri" w:hAnsi="Calibri"/>
          <w:i/>
          <w:color w:val="000000"/>
        </w:rPr>
        <w:t>Data source:</w:t>
      </w:r>
      <w:r w:rsidRPr="006800C0">
        <w:rPr>
          <w:color w:val="2F5496"/>
        </w:rPr>
        <w:t xml:space="preserve"> </w:t>
      </w:r>
      <w:r>
        <w:t xml:space="preserve"> </w:t>
      </w:r>
      <w:hyperlink r:id="rId26" w:history="1">
        <w:r w:rsidRPr="00B51961">
          <w:rPr>
            <w:rStyle w:val="Hyperlink"/>
            <w:rFonts w:ascii="Calibri" w:hAnsi="Calibri"/>
          </w:rPr>
          <w:t>https://www.fao.org/sustainable-development-goals/indicators/642/en/</w:t>
        </w:r>
      </w:hyperlink>
    </w:p>
    <w:p w14:paraId="21AFE36B" w14:textId="77777777" w:rsidR="003F2D70" w:rsidRPr="006800C0" w:rsidRDefault="003F2D70" w:rsidP="003F2D70">
      <w:pPr>
        <w:pStyle w:val="ListParagraph"/>
        <w:spacing w:before="120" w:after="120"/>
        <w:ind w:left="0"/>
        <w:rPr>
          <w:rFonts w:ascii="Calibri" w:hAnsi="Calibri"/>
          <w:color w:val="000000"/>
        </w:rPr>
      </w:pPr>
      <w:r w:rsidRPr="003B6E89">
        <w:rPr>
          <w:rFonts w:ascii="Calibri" w:hAnsi="Calibri"/>
          <w:color w:val="000000"/>
        </w:rPr>
        <w:t>https://unstats.un.org/sdgs/dataportal</w:t>
      </w:r>
    </w:p>
    <w:p w14:paraId="044D2A23" w14:textId="77777777" w:rsidR="00095EAE" w:rsidRDefault="00095EAE" w:rsidP="003F2D70">
      <w:pPr>
        <w:pStyle w:val="ListParagraph"/>
        <w:spacing w:before="120" w:after="120" w:line="240" w:lineRule="auto"/>
        <w:ind w:left="0"/>
        <w:jc w:val="both"/>
        <w:rPr>
          <w:rFonts w:eastAsia="Calibri"/>
          <w:b/>
          <w:bCs/>
          <w:color w:val="000000"/>
          <w:lang w:eastAsia="en-US"/>
        </w:rPr>
      </w:pPr>
    </w:p>
    <w:p w14:paraId="79C762E9" w14:textId="28E054D4" w:rsidR="004B64E7" w:rsidRDefault="006C5D32" w:rsidP="003F2D70">
      <w:pPr>
        <w:pStyle w:val="ListParagraph"/>
        <w:spacing w:before="120" w:after="120" w:line="240" w:lineRule="auto"/>
        <w:ind w:left="0"/>
        <w:jc w:val="both"/>
        <w:rPr>
          <w:rFonts w:eastAsia="Calibri"/>
          <w:b/>
          <w:bCs/>
          <w:color w:val="000000"/>
          <w:lang w:eastAsia="en-US"/>
        </w:rPr>
      </w:pPr>
      <w:r>
        <w:rPr>
          <w:rFonts w:eastAsia="Calibri"/>
          <w:b/>
          <w:bCs/>
          <w:color w:val="000000"/>
          <w:lang w:eastAsia="en-US"/>
        </w:rPr>
        <w:t>6</w:t>
      </w:r>
      <w:r w:rsidR="004B64E7">
        <w:rPr>
          <w:rFonts w:eastAsia="Calibri"/>
          <w:b/>
          <w:bCs/>
          <w:color w:val="000000"/>
          <w:lang w:eastAsia="en-US"/>
        </w:rPr>
        <w:t>.  GHG emissions intensity in agriculture</w:t>
      </w:r>
    </w:p>
    <w:p w14:paraId="7FA55E02" w14:textId="77777777" w:rsidR="00CA3246" w:rsidRDefault="00CA3246" w:rsidP="00CA3246">
      <w:pPr>
        <w:ind w:left="1233" w:hanging="1233"/>
        <w:rPr>
          <w:color w:val="000000"/>
        </w:rPr>
      </w:pPr>
      <w:r>
        <w:rPr>
          <w:rFonts w:eastAsia="Calibri"/>
          <w:color w:val="000000"/>
        </w:rPr>
        <w:lastRenderedPageBreak/>
        <w:t>Formula</w:t>
      </w:r>
      <m:oMath>
        <m:r>
          <w:rPr>
            <w:rFonts w:ascii="Cambria Math" w:hAnsi="Cambria Math"/>
            <w:color w:val="000000"/>
          </w:rPr>
          <m:t>:</m:t>
        </m:r>
      </m:oMath>
    </w:p>
    <w:p w14:paraId="06145EB4" w14:textId="77777777" w:rsidR="00CA3246" w:rsidRDefault="00CA3246" w:rsidP="00CA3246">
      <w:pPr>
        <w:ind w:left="1233" w:hanging="1233"/>
        <w:rPr>
          <w:rFonts w:eastAsia="Calibri"/>
          <w:color w:val="000000"/>
        </w:rPr>
      </w:pPr>
      <w:r>
        <w:rPr>
          <w:rFonts w:eastAsia="Calibri"/>
          <w:color w:val="000000"/>
        </w:rPr>
        <w:t xml:space="preserve">Green House Gas Emissions Intensity </w:t>
      </w:r>
      <m:oMath>
        <m:r>
          <m:rPr>
            <m:sty m:val="p"/>
          </m:rPr>
          <w:rPr>
            <w:rFonts w:ascii="Cambria Math" w:hAnsi="Cambria Math"/>
            <w:color w:val="000000"/>
          </w:rPr>
          <m:t>=</m:t>
        </m:r>
        <m:f>
          <m:fPr>
            <m:ctrlPr>
              <w:rPr>
                <w:rFonts w:ascii="Cambria Math" w:hAnsi="Cambria Math" w:cs="Times New Roman"/>
                <w:color w:val="000000"/>
                <w:sz w:val="24"/>
                <w:szCs w:val="24"/>
                <w:lang w:val="en-US" w:eastAsia="en-US"/>
              </w:rPr>
            </m:ctrlPr>
          </m:fPr>
          <m:num>
            <m:r>
              <w:rPr>
                <w:rFonts w:ascii="Cambria Math" w:hAnsi="Cambria Math"/>
                <w:color w:val="000000"/>
              </w:rPr>
              <m:t>Emissions (Farm gate)</m:t>
            </m:r>
          </m:num>
          <m:den>
            <m:r>
              <w:rPr>
                <w:rFonts w:ascii="Cambria Math" w:hAnsi="Cambria Math"/>
                <w:color w:val="000000"/>
              </w:rPr>
              <m:t>Value of Agricultural Production</m:t>
            </m:r>
          </m:den>
        </m:f>
        <m:r>
          <w:rPr>
            <w:rFonts w:ascii="Cambria Math" w:hAnsi="Cambria Math"/>
            <w:color w:val="000000"/>
          </w:rPr>
          <m:t>*100%</m:t>
        </m:r>
      </m:oMath>
      <w:r>
        <w:rPr>
          <w:rFonts w:eastAsia="Calibri"/>
          <w:color w:val="000000"/>
        </w:rPr>
        <w:t xml:space="preserve"> </w:t>
      </w:r>
    </w:p>
    <w:p w14:paraId="5681C920" w14:textId="77777777" w:rsidR="00CA3246" w:rsidRDefault="00CA3246" w:rsidP="00CA3246">
      <w:pPr>
        <w:spacing w:before="120" w:after="120"/>
        <w:ind w:right="272"/>
        <w:jc w:val="both"/>
        <w:rPr>
          <w:rFonts w:eastAsia="Calibri"/>
          <w:color w:val="000000"/>
        </w:rPr>
      </w:pPr>
      <w:r>
        <w:rPr>
          <w:rFonts w:eastAsia="Calibri"/>
          <w:i/>
          <w:color w:val="000000"/>
        </w:rPr>
        <w:t>Numerator</w:t>
      </w:r>
      <w:r>
        <w:rPr>
          <w:rFonts w:eastAsia="Calibri"/>
          <w:color w:val="000000"/>
        </w:rPr>
        <w:t xml:space="preserve"> (Farm gate emissions): Emissions from drained organic soils, cultivation of histosols, inorganic N fertilizers, crop residues, manure deposited on pasture, range and paddock, manure applied to soils, manure management, enteric fermentation, prescribed burning of savanna, burning crop residues, rice cultivation, and on-farm energy use.</w:t>
      </w:r>
    </w:p>
    <w:p w14:paraId="4C0DB122" w14:textId="77777777" w:rsidR="00CA3246" w:rsidRDefault="00CA3246" w:rsidP="00CA3246">
      <w:pPr>
        <w:ind w:right="272"/>
        <w:contextualSpacing/>
        <w:rPr>
          <w:rFonts w:eastAsia="Calibri"/>
          <w:color w:val="000000"/>
        </w:rPr>
      </w:pPr>
      <w:r>
        <w:rPr>
          <w:rFonts w:eastAsia="Calibri"/>
          <w:i/>
          <w:color w:val="000000"/>
        </w:rPr>
        <w:t xml:space="preserve">Denominator </w:t>
      </w:r>
      <w:r>
        <w:rPr>
          <w:rFonts w:eastAsia="Calibri"/>
          <w:color w:val="000000"/>
        </w:rPr>
        <w:t>(Value of Agricultural Production): Value of gross production has been compiled by multiplying gross production in physical terms by output prices at farm gate.</w:t>
      </w:r>
    </w:p>
    <w:p w14:paraId="44513D64" w14:textId="77777777" w:rsidR="00CA3246" w:rsidRDefault="00CA3246" w:rsidP="00CA3246">
      <w:pPr>
        <w:rPr>
          <w:rFonts w:eastAsia="Calibri"/>
          <w:color w:val="000000"/>
        </w:rPr>
      </w:pPr>
    </w:p>
    <w:p w14:paraId="7BAD0F93" w14:textId="77777777" w:rsidR="00CA3246" w:rsidRDefault="00CA3246" w:rsidP="00CA3246">
      <w:pPr>
        <w:spacing w:before="120" w:after="120"/>
        <w:jc w:val="both"/>
        <w:rPr>
          <w:rFonts w:eastAsia="Calibri"/>
          <w:i/>
          <w:color w:val="000000"/>
        </w:rPr>
      </w:pPr>
      <w:r>
        <w:rPr>
          <w:rFonts w:eastAsia="Calibri"/>
          <w:i/>
          <w:color w:val="000000"/>
        </w:rPr>
        <w:t>Unit of measure:</w:t>
      </w:r>
      <w:r>
        <w:rPr>
          <w:rFonts w:eastAsia="Calibri"/>
          <w:color w:val="000000"/>
        </w:rPr>
        <w:t xml:space="preserve"> kg CO</w:t>
      </w:r>
      <w:r>
        <w:rPr>
          <w:rFonts w:eastAsia="Calibri"/>
          <w:color w:val="000000"/>
          <w:vertAlign w:val="subscript"/>
        </w:rPr>
        <w:t>2</w:t>
      </w:r>
      <w:r>
        <w:rPr>
          <w:rFonts w:eastAsia="Calibri"/>
          <w:color w:val="000000"/>
        </w:rPr>
        <w:t xml:space="preserve"> equivalent per constant 2014-2016 USD</w:t>
      </w:r>
    </w:p>
    <w:p w14:paraId="393B69F9" w14:textId="77777777" w:rsidR="00CA3246" w:rsidRDefault="00CA3246" w:rsidP="00CA3246">
      <w:pPr>
        <w:rPr>
          <w:rFonts w:eastAsia="Calibri"/>
          <w:i/>
          <w:color w:val="000000"/>
        </w:rPr>
      </w:pPr>
      <w:r>
        <w:rPr>
          <w:rFonts w:eastAsia="Calibri"/>
          <w:i/>
          <w:color w:val="000000"/>
        </w:rPr>
        <w:t>Data source:</w:t>
      </w:r>
    </w:p>
    <w:p w14:paraId="375D3AC4" w14:textId="77777777" w:rsidR="00CA3246" w:rsidRDefault="00CA3246" w:rsidP="00CA3246">
      <w:pPr>
        <w:rPr>
          <w:rFonts w:eastAsia="Calibri"/>
          <w:color w:val="000000"/>
        </w:rPr>
      </w:pPr>
      <w:r>
        <w:rPr>
          <w:rFonts w:eastAsia="Calibri"/>
          <w:color w:val="000000"/>
        </w:rPr>
        <w:t xml:space="preserve">FAOSTAT Climate Change: Agrifood system emissions </w:t>
      </w:r>
      <w:proofErr w:type="spellStart"/>
      <w:r>
        <w:rPr>
          <w:rFonts w:eastAsia="Calibri"/>
          <w:color w:val="000000"/>
        </w:rPr>
        <w:t>Emissions</w:t>
      </w:r>
      <w:proofErr w:type="spellEnd"/>
      <w:r>
        <w:rPr>
          <w:rFonts w:eastAsia="Calibri"/>
          <w:color w:val="000000"/>
        </w:rPr>
        <w:t xml:space="preserve"> totals domain</w:t>
      </w:r>
    </w:p>
    <w:p w14:paraId="0EA44BB8" w14:textId="77777777" w:rsidR="00CA3246" w:rsidRDefault="00CA3246" w:rsidP="00CA3246">
      <w:pPr>
        <w:rPr>
          <w:rFonts w:eastAsia="Calibri"/>
          <w:color w:val="000000"/>
        </w:rPr>
      </w:pPr>
      <w:hyperlink r:id="rId27" w:anchor="data/GT" w:history="1">
        <w:r>
          <w:rPr>
            <w:rStyle w:val="Hyperlink"/>
            <w:rFonts w:eastAsia="Calibri"/>
          </w:rPr>
          <w:t>https://www.fao.org/faostat/en/#data/GT</w:t>
        </w:r>
      </w:hyperlink>
    </w:p>
    <w:p w14:paraId="34E95087" w14:textId="77777777" w:rsidR="00CA3246" w:rsidRDefault="00CA3246" w:rsidP="00CA3246">
      <w:pPr>
        <w:rPr>
          <w:rFonts w:eastAsia="Calibri"/>
          <w:color w:val="000000"/>
        </w:rPr>
      </w:pPr>
      <w:r>
        <w:rPr>
          <w:rFonts w:eastAsia="Calibri"/>
          <w:color w:val="000000"/>
        </w:rPr>
        <w:t>FAOSTAT Value of Agricultural Production Domain</w:t>
      </w:r>
    </w:p>
    <w:p w14:paraId="37E57ECF" w14:textId="397E803B" w:rsidR="008464EA" w:rsidRDefault="00CA3246" w:rsidP="002A733C">
      <w:pPr>
        <w:spacing w:before="120" w:after="120"/>
        <w:jc w:val="both"/>
      </w:pPr>
      <w:hyperlink r:id="rId28" w:anchor="data/QV" w:history="1">
        <w:r>
          <w:rPr>
            <w:rStyle w:val="Hyperlink"/>
          </w:rPr>
          <w:t>https://www.fao.org/faostat/en/#data/QV</w:t>
        </w:r>
      </w:hyperlink>
    </w:p>
    <w:p w14:paraId="5DF545A5" w14:textId="043EDCDD" w:rsidR="009528ED" w:rsidRPr="006800C0" w:rsidRDefault="00E74C3C" w:rsidP="009528ED">
      <w:pPr>
        <w:spacing w:before="120" w:after="120"/>
        <w:jc w:val="both"/>
        <w:rPr>
          <w:rFonts w:eastAsia="Calibri"/>
          <w:b/>
          <w:bCs/>
          <w:color w:val="000000"/>
          <w:lang w:eastAsia="en-US"/>
        </w:rPr>
      </w:pPr>
      <w:r>
        <w:rPr>
          <w:b/>
        </w:rPr>
        <w:t>7</w:t>
      </w:r>
      <w:r w:rsidR="003F2D70" w:rsidRPr="00CE4828">
        <w:rPr>
          <w:b/>
        </w:rPr>
        <w:t>.</w:t>
      </w:r>
      <w:r w:rsidR="003F2D70" w:rsidRPr="00CE4828">
        <w:rPr>
          <w:b/>
          <w:color w:val="000000"/>
        </w:rPr>
        <w:t xml:space="preserve"> </w:t>
      </w:r>
      <w:r w:rsidR="009528ED" w:rsidRPr="009528ED">
        <w:rPr>
          <w:b/>
          <w:color w:val="000000"/>
        </w:rPr>
        <w:t xml:space="preserve">Informal employment in agriculture </w:t>
      </w:r>
    </w:p>
    <w:p w14:paraId="4D535868" w14:textId="77777777" w:rsidR="0062704D" w:rsidRPr="001F5D7D" w:rsidRDefault="0062704D" w:rsidP="0062704D">
      <w:pPr>
        <w:spacing w:before="120" w:after="120"/>
        <w:ind w:right="562"/>
        <w:jc w:val="both"/>
        <w:rPr>
          <w:b/>
          <w:bCs/>
          <w:color w:val="000000"/>
        </w:rPr>
      </w:pPr>
      <w:r w:rsidRPr="001F5D7D">
        <w:rPr>
          <w:rFonts w:eastAsia="Calibri"/>
          <w:color w:val="000000"/>
        </w:rPr>
        <w:t>SDG Indicator 8.3.1 Proportion of informal employment in total employment</w:t>
      </w:r>
      <w:r>
        <w:rPr>
          <w:rFonts w:eastAsia="Calibri"/>
          <w:color w:val="000000"/>
        </w:rPr>
        <w:t>, disaggregated by the agricultural sector</w:t>
      </w:r>
    </w:p>
    <w:p w14:paraId="11737735" w14:textId="77777777" w:rsidR="0062704D" w:rsidRPr="001F5D7D" w:rsidRDefault="0062704D" w:rsidP="0062704D">
      <w:pPr>
        <w:pStyle w:val="ListParagraph"/>
        <w:spacing w:before="120" w:after="120"/>
        <w:ind w:left="0" w:right="562"/>
        <w:rPr>
          <w:iCs/>
          <w:color w:val="000000"/>
        </w:rPr>
      </w:pPr>
      <w:r w:rsidRPr="001F5D7D">
        <w:rPr>
          <w:iCs/>
          <w:color w:val="000000"/>
        </w:rPr>
        <w:lastRenderedPageBreak/>
        <w:t xml:space="preserve">Informal employment comprises persons who in their main or secondary jobs were in one of the following categories: - Own-account workers, employers and members of producers’ cooperatives employed in their own informal sector enterprises (the characteristics of the enterprise determine the informal nature of their jobs) - Own-account workers engaged in the production of goods exclusively for own final use by their household (e.g. subsistence farming) - Contributing family workers, regardless of whether they work in formal or informal sector enterprises (they usually do not have explicit, written contracts of employment, and are not subject to labour legislation, social security regulations, collective agreements, etc., which determines the informal nature of their jobs) - Employees holding informal jobs, whether employed by formal sector enterprises, informal sector enterprises, or as paid domestic workers by households (employees are considered to have informal jobs if their employment relationship is, in law or in practice, not subject to national labour legislation, income taxation, social protection or entitlement to certain employment benefits) For the purpose of classifying persons into formal or informal employment for this indicator, only the characteristics of the main job are considered. </w:t>
      </w:r>
    </w:p>
    <w:p w14:paraId="15B0F589" w14:textId="77777777" w:rsidR="0062704D" w:rsidRDefault="0062704D" w:rsidP="0062704D">
      <w:pPr>
        <w:pStyle w:val="ListParagraph"/>
        <w:spacing w:before="120" w:after="120"/>
        <w:ind w:left="0"/>
        <w:jc w:val="both"/>
        <w:rPr>
          <w:i/>
          <w:color w:val="000000"/>
        </w:rPr>
      </w:pPr>
    </w:p>
    <w:p w14:paraId="40C854F9" w14:textId="77777777" w:rsidR="0062704D" w:rsidRPr="001F5D7D" w:rsidRDefault="0062704D" w:rsidP="0062704D">
      <w:pPr>
        <w:pStyle w:val="ListParagraph"/>
        <w:spacing w:before="120" w:after="120"/>
        <w:ind w:left="0"/>
        <w:jc w:val="both"/>
        <w:rPr>
          <w:color w:val="000000"/>
        </w:rPr>
      </w:pPr>
      <w:r w:rsidRPr="001F5D7D">
        <w:rPr>
          <w:i/>
          <w:color w:val="000000"/>
        </w:rPr>
        <w:t>Unit of measure:</w:t>
      </w:r>
      <w:r w:rsidRPr="001F5D7D">
        <w:rPr>
          <w:color w:val="000000"/>
        </w:rPr>
        <w:t xml:space="preserve"> Percentage</w:t>
      </w:r>
    </w:p>
    <w:p w14:paraId="153B34A1" w14:textId="77777777" w:rsidR="004D5DA4" w:rsidRDefault="004D5DA4" w:rsidP="004D5DA4">
      <w:pPr>
        <w:rPr>
          <w:rFonts w:eastAsia="Calibri"/>
          <w:i/>
          <w:color w:val="000000"/>
        </w:rPr>
      </w:pPr>
      <w:r w:rsidRPr="001F5D7D">
        <w:rPr>
          <w:rFonts w:eastAsia="Calibri"/>
          <w:i/>
          <w:color w:val="000000"/>
        </w:rPr>
        <w:t>Data sources:  ILO Stat</w:t>
      </w:r>
    </w:p>
    <w:p w14:paraId="1D0403B1" w14:textId="50422967" w:rsidR="004D5DA4" w:rsidRPr="001F5D7D" w:rsidRDefault="004D5DA4" w:rsidP="004D5DA4">
      <w:pPr>
        <w:rPr>
          <w:rFonts w:eastAsia="Calibri"/>
          <w:color w:val="000000"/>
        </w:rPr>
      </w:pPr>
      <w:hyperlink r:id="rId29" w:history="1">
        <w:r w:rsidRPr="001F5D7D">
          <w:rPr>
            <w:rStyle w:val="Hyperlink"/>
            <w:rFonts w:eastAsia="Calibri"/>
          </w:rPr>
          <w:t>https://ilostat.ilo.org/topics/informality/</w:t>
        </w:r>
      </w:hyperlink>
    </w:p>
    <w:p w14:paraId="42A7F687" w14:textId="77777777" w:rsidR="008B27F5" w:rsidRDefault="008B27F5" w:rsidP="002A733C">
      <w:pPr>
        <w:pStyle w:val="MHeader"/>
        <w:pBdr>
          <w:bottom w:val="none" w:sz="0" w:space="0" w:color="auto"/>
        </w:pBdr>
        <w:adjustRightInd w:val="0"/>
        <w:snapToGrid w:val="0"/>
      </w:pPr>
      <w:r>
        <w:t xml:space="preserve">Annex 2: </w:t>
      </w:r>
      <w:r w:rsidRPr="00AB7907">
        <w:t xml:space="preserve">Methods for assessing the </w:t>
      </w:r>
      <w:proofErr w:type="gramStart"/>
      <w:r w:rsidRPr="00AB7907">
        <w:t>current status</w:t>
      </w:r>
      <w:proofErr w:type="gramEnd"/>
    </w:p>
    <w:p w14:paraId="40A97C66" w14:textId="77777777" w:rsidR="008B27F5" w:rsidRDefault="008B27F5" w:rsidP="008B27F5">
      <w:pPr>
        <w:jc w:val="both"/>
        <w:rPr>
          <w:b/>
          <w:sz w:val="28"/>
          <w:szCs w:val="28"/>
        </w:rPr>
      </w:pPr>
    </w:p>
    <w:tbl>
      <w:tblPr>
        <w:tblW w:w="9488" w:type="dxa"/>
        <w:shd w:val="clear" w:color="auto" w:fill="FFFFFF"/>
        <w:tblLook w:val="04A0" w:firstRow="1" w:lastRow="0" w:firstColumn="1" w:lastColumn="0" w:noHBand="0" w:noVBand="1"/>
      </w:tblPr>
      <w:tblGrid>
        <w:gridCol w:w="1505"/>
        <w:gridCol w:w="2078"/>
        <w:gridCol w:w="3785"/>
        <w:gridCol w:w="2120"/>
      </w:tblGrid>
      <w:tr w:rsidR="004F246B" w:rsidRPr="000852F2" w14:paraId="074DBE08" w14:textId="77777777" w:rsidTr="00915E7A">
        <w:trPr>
          <w:trHeight w:val="306"/>
        </w:trPr>
        <w:tc>
          <w:tcPr>
            <w:tcW w:w="1505" w:type="dxa"/>
            <w:tcBorders>
              <w:top w:val="single" w:sz="8" w:space="0" w:color="auto"/>
              <w:left w:val="single" w:sz="8" w:space="0" w:color="auto"/>
              <w:bottom w:val="single" w:sz="8" w:space="0" w:color="auto"/>
              <w:right w:val="single" w:sz="6" w:space="0" w:color="auto"/>
            </w:tcBorders>
            <w:shd w:val="clear" w:color="auto" w:fill="FFFFFF"/>
            <w:hideMark/>
          </w:tcPr>
          <w:p w14:paraId="0C4A20A9" w14:textId="77777777" w:rsidR="004F246B" w:rsidRPr="00915E7A" w:rsidRDefault="004F246B" w:rsidP="00915E7A">
            <w:pPr>
              <w:pStyle w:val="xxxmsonormal"/>
              <w:jc w:val="center"/>
              <w:rPr>
                <w:b/>
                <w:bCs/>
                <w:color w:val="000000" w:themeColor="text1"/>
                <w:sz w:val="22"/>
                <w:shd w:val="clear" w:color="auto" w:fill="FFFFFF"/>
              </w:rPr>
            </w:pPr>
            <w:r w:rsidRPr="00915E7A">
              <w:rPr>
                <w:b/>
                <w:bCs/>
                <w:color w:val="000000" w:themeColor="text1"/>
                <w:sz w:val="22"/>
                <w:shd w:val="clear" w:color="auto" w:fill="FFFFFF"/>
              </w:rPr>
              <w:t>Dimension</w:t>
            </w:r>
          </w:p>
        </w:tc>
        <w:tc>
          <w:tcPr>
            <w:tcW w:w="2078" w:type="dxa"/>
            <w:tcBorders>
              <w:top w:val="single" w:sz="8" w:space="0" w:color="auto"/>
              <w:left w:val="single" w:sz="6" w:space="0" w:color="auto"/>
              <w:bottom w:val="single" w:sz="8" w:space="0" w:color="auto"/>
              <w:right w:val="single" w:sz="6" w:space="0" w:color="auto"/>
            </w:tcBorders>
            <w:shd w:val="clear" w:color="auto" w:fill="FFFFFF"/>
            <w:hideMark/>
          </w:tcPr>
          <w:p w14:paraId="12D39E08" w14:textId="77777777" w:rsidR="004F246B" w:rsidRPr="00915E7A" w:rsidRDefault="004F246B" w:rsidP="00915E7A">
            <w:pPr>
              <w:pStyle w:val="xxxmsonormal"/>
              <w:jc w:val="center"/>
              <w:rPr>
                <w:b/>
                <w:bCs/>
                <w:color w:val="000000" w:themeColor="text1"/>
                <w:sz w:val="22"/>
              </w:rPr>
            </w:pPr>
            <w:r w:rsidRPr="00915E7A">
              <w:rPr>
                <w:b/>
                <w:bCs/>
                <w:color w:val="000000" w:themeColor="text1"/>
                <w:sz w:val="22"/>
              </w:rPr>
              <w:t>2.4.1 sub-indicator theme</w:t>
            </w:r>
          </w:p>
        </w:tc>
        <w:tc>
          <w:tcPr>
            <w:tcW w:w="3785" w:type="dxa"/>
            <w:tcBorders>
              <w:top w:val="single" w:sz="8" w:space="0" w:color="auto"/>
              <w:left w:val="single" w:sz="6" w:space="0" w:color="auto"/>
              <w:bottom w:val="single" w:sz="8" w:space="0" w:color="auto"/>
              <w:right w:val="single" w:sz="6" w:space="0" w:color="auto"/>
            </w:tcBorders>
            <w:shd w:val="clear" w:color="auto" w:fill="FFFFFF"/>
            <w:hideMark/>
          </w:tcPr>
          <w:p w14:paraId="5B6259F1" w14:textId="77777777" w:rsidR="004F246B" w:rsidRPr="00915E7A" w:rsidRDefault="004F246B" w:rsidP="00915E7A">
            <w:pPr>
              <w:pStyle w:val="xxxmsonormal"/>
              <w:jc w:val="center"/>
              <w:rPr>
                <w:b/>
                <w:bCs/>
                <w:color w:val="000000" w:themeColor="text1"/>
                <w:sz w:val="22"/>
              </w:rPr>
            </w:pPr>
            <w:r w:rsidRPr="00915E7A">
              <w:rPr>
                <w:b/>
                <w:bCs/>
                <w:color w:val="000000" w:themeColor="text1"/>
                <w:sz w:val="22"/>
              </w:rPr>
              <w:t>Proposed Proxy measure</w:t>
            </w:r>
          </w:p>
        </w:tc>
        <w:tc>
          <w:tcPr>
            <w:tcW w:w="2120" w:type="dxa"/>
            <w:tcBorders>
              <w:top w:val="single" w:sz="8" w:space="0" w:color="auto"/>
              <w:left w:val="single" w:sz="6" w:space="0" w:color="auto"/>
              <w:bottom w:val="single" w:sz="8" w:space="0" w:color="auto"/>
              <w:right w:val="single" w:sz="8" w:space="0" w:color="auto"/>
            </w:tcBorders>
            <w:shd w:val="clear" w:color="auto" w:fill="FFFFFF"/>
            <w:tcMar>
              <w:top w:w="0" w:type="dxa"/>
              <w:left w:w="0" w:type="dxa"/>
              <w:bottom w:w="0" w:type="dxa"/>
              <w:right w:w="0" w:type="dxa"/>
            </w:tcMar>
            <w:hideMark/>
          </w:tcPr>
          <w:p w14:paraId="672165DD" w14:textId="77777777" w:rsidR="004F246B" w:rsidRPr="00915E7A" w:rsidRDefault="004F246B" w:rsidP="00915E7A">
            <w:pPr>
              <w:pStyle w:val="xxxmsonormal"/>
              <w:jc w:val="center"/>
              <w:rPr>
                <w:b/>
                <w:bCs/>
                <w:color w:val="000000" w:themeColor="text1"/>
                <w:sz w:val="22"/>
              </w:rPr>
            </w:pPr>
            <w:r w:rsidRPr="00915E7A">
              <w:rPr>
                <w:b/>
                <w:bCs/>
                <w:color w:val="000000" w:themeColor="text1"/>
                <w:sz w:val="22"/>
              </w:rPr>
              <w:t>Numerical target</w:t>
            </w:r>
          </w:p>
        </w:tc>
      </w:tr>
      <w:tr w:rsidR="004F246B" w:rsidRPr="000852F2" w14:paraId="23A7F287" w14:textId="77777777" w:rsidTr="004F246B">
        <w:trPr>
          <w:trHeight w:val="306"/>
        </w:trPr>
        <w:tc>
          <w:tcPr>
            <w:tcW w:w="1505" w:type="dxa"/>
            <w:tcBorders>
              <w:top w:val="single" w:sz="8" w:space="0" w:color="auto"/>
              <w:left w:val="single" w:sz="8" w:space="0" w:color="auto"/>
              <w:bottom w:val="single" w:sz="8" w:space="0" w:color="auto"/>
              <w:right w:val="single" w:sz="4" w:space="0" w:color="auto"/>
            </w:tcBorders>
            <w:shd w:val="clear" w:color="auto" w:fill="FFFFFF"/>
            <w:hideMark/>
          </w:tcPr>
          <w:p w14:paraId="4C7FFE37" w14:textId="77777777" w:rsidR="004F246B" w:rsidRPr="004F246B" w:rsidRDefault="004F246B" w:rsidP="00BC5846">
            <w:pPr>
              <w:pStyle w:val="xxxmsonormal"/>
              <w:rPr>
                <w:color w:val="000000" w:themeColor="text1"/>
                <w:sz w:val="22"/>
                <w:shd w:val="clear" w:color="auto" w:fill="FFFFFF"/>
              </w:rPr>
            </w:pPr>
            <w:r w:rsidRPr="004F246B">
              <w:rPr>
                <w:color w:val="000000" w:themeColor="text1"/>
                <w:sz w:val="22"/>
                <w:shd w:val="clear" w:color="auto" w:fill="FFFFFF"/>
              </w:rPr>
              <w:t>Economic</w:t>
            </w:r>
          </w:p>
        </w:tc>
        <w:tc>
          <w:tcPr>
            <w:tcW w:w="2078" w:type="dxa"/>
            <w:tcBorders>
              <w:top w:val="single" w:sz="8" w:space="0" w:color="auto"/>
              <w:left w:val="single" w:sz="4" w:space="0" w:color="auto"/>
              <w:bottom w:val="single" w:sz="4" w:space="0" w:color="auto"/>
              <w:right w:val="single" w:sz="4" w:space="0" w:color="auto"/>
            </w:tcBorders>
            <w:shd w:val="clear" w:color="auto" w:fill="FFFFFF"/>
            <w:hideMark/>
          </w:tcPr>
          <w:p w14:paraId="65485E7E" w14:textId="77777777" w:rsidR="004F246B" w:rsidRPr="000852F2" w:rsidRDefault="004F246B" w:rsidP="00BC5846">
            <w:pPr>
              <w:pStyle w:val="xxxmsonormal"/>
              <w:rPr>
                <w:color w:val="000000" w:themeColor="text1"/>
                <w:sz w:val="22"/>
              </w:rPr>
            </w:pPr>
            <w:r w:rsidRPr="000852F2">
              <w:rPr>
                <w:color w:val="000000" w:themeColor="text1"/>
                <w:sz w:val="22"/>
              </w:rPr>
              <w:t>Land productivity</w:t>
            </w:r>
          </w:p>
        </w:tc>
        <w:tc>
          <w:tcPr>
            <w:tcW w:w="3785" w:type="dxa"/>
            <w:tcBorders>
              <w:top w:val="single" w:sz="8" w:space="0" w:color="auto"/>
              <w:left w:val="single" w:sz="4" w:space="0" w:color="auto"/>
              <w:bottom w:val="single" w:sz="4" w:space="0" w:color="auto"/>
              <w:right w:val="single" w:sz="4" w:space="0" w:color="auto"/>
            </w:tcBorders>
            <w:shd w:val="clear" w:color="auto" w:fill="FFFFFF"/>
            <w:hideMark/>
          </w:tcPr>
          <w:p w14:paraId="245DF1CD" w14:textId="77777777" w:rsidR="004F246B" w:rsidRPr="000852F2" w:rsidRDefault="004F246B" w:rsidP="00BC5846">
            <w:pPr>
              <w:pStyle w:val="xxxmsonormal"/>
              <w:rPr>
                <w:color w:val="000000" w:themeColor="text1"/>
                <w:sz w:val="22"/>
              </w:rPr>
            </w:pPr>
            <w:r w:rsidRPr="000852F2">
              <w:rPr>
                <w:color w:val="000000" w:themeColor="text1"/>
                <w:sz w:val="22"/>
              </w:rPr>
              <w:t>Gross production value per hectare</w:t>
            </w:r>
          </w:p>
        </w:tc>
        <w:tc>
          <w:tcPr>
            <w:tcW w:w="2120" w:type="dxa"/>
            <w:tcBorders>
              <w:top w:val="single" w:sz="8" w:space="0" w:color="auto"/>
              <w:left w:val="nil"/>
              <w:bottom w:val="single" w:sz="8" w:space="0" w:color="auto"/>
              <w:right w:val="single" w:sz="8" w:space="0" w:color="auto"/>
            </w:tcBorders>
            <w:shd w:val="clear" w:color="auto" w:fill="FFFFFF"/>
            <w:tcMar>
              <w:top w:w="0" w:type="dxa"/>
              <w:left w:w="0" w:type="dxa"/>
              <w:bottom w:w="0" w:type="dxa"/>
              <w:right w:w="0" w:type="dxa"/>
            </w:tcMar>
            <w:hideMark/>
          </w:tcPr>
          <w:p w14:paraId="4311F9C6" w14:textId="77777777" w:rsidR="004F246B" w:rsidRPr="000852F2" w:rsidRDefault="004F246B" w:rsidP="004F246B">
            <w:pPr>
              <w:pStyle w:val="xxxmsonormal"/>
              <w:rPr>
                <w:color w:val="000000" w:themeColor="text1"/>
                <w:sz w:val="22"/>
              </w:rPr>
            </w:pPr>
            <w:r>
              <w:rPr>
                <w:color w:val="000000" w:themeColor="text1"/>
                <w:sz w:val="22"/>
              </w:rPr>
              <w:t>No</w:t>
            </w:r>
          </w:p>
        </w:tc>
      </w:tr>
      <w:tr w:rsidR="004F246B" w:rsidRPr="000852F2" w14:paraId="6798D2EB" w14:textId="77777777" w:rsidTr="004F246B">
        <w:trPr>
          <w:trHeight w:val="306"/>
        </w:trPr>
        <w:tc>
          <w:tcPr>
            <w:tcW w:w="1505" w:type="dxa"/>
            <w:tcBorders>
              <w:top w:val="nil"/>
              <w:left w:val="single" w:sz="8" w:space="0" w:color="auto"/>
              <w:bottom w:val="single" w:sz="8" w:space="0" w:color="auto"/>
              <w:right w:val="single" w:sz="4" w:space="0" w:color="auto"/>
            </w:tcBorders>
            <w:shd w:val="clear" w:color="auto" w:fill="FFFFFF"/>
            <w:hideMark/>
          </w:tcPr>
          <w:p w14:paraId="7D0FF776" w14:textId="77777777" w:rsidR="004F246B" w:rsidRPr="004F246B" w:rsidRDefault="004F246B" w:rsidP="00BC5846">
            <w:pPr>
              <w:pStyle w:val="xxxmsonormal"/>
              <w:rPr>
                <w:color w:val="000000" w:themeColor="text1"/>
                <w:sz w:val="22"/>
                <w:shd w:val="clear" w:color="auto" w:fill="FFFFFF"/>
              </w:rPr>
            </w:pPr>
            <w:r w:rsidRPr="000852F2">
              <w:rPr>
                <w:color w:val="000000" w:themeColor="text1"/>
                <w:sz w:val="22"/>
                <w:shd w:val="clear" w:color="auto" w:fill="FFFFFF"/>
              </w:rPr>
              <w:t>Economic</w:t>
            </w:r>
          </w:p>
        </w:tc>
        <w:tc>
          <w:tcPr>
            <w:tcW w:w="2078" w:type="dxa"/>
            <w:tcBorders>
              <w:top w:val="single" w:sz="4" w:space="0" w:color="auto"/>
              <w:left w:val="single" w:sz="4" w:space="0" w:color="auto"/>
              <w:bottom w:val="single" w:sz="4" w:space="0" w:color="auto"/>
              <w:right w:val="single" w:sz="4" w:space="0" w:color="auto"/>
            </w:tcBorders>
            <w:shd w:val="clear" w:color="auto" w:fill="FFFFFF"/>
            <w:hideMark/>
          </w:tcPr>
          <w:p w14:paraId="68956293" w14:textId="77777777" w:rsidR="004F246B" w:rsidRPr="000852F2" w:rsidRDefault="004F246B" w:rsidP="00BC5846">
            <w:pPr>
              <w:pStyle w:val="xxxmsonormal"/>
              <w:rPr>
                <w:color w:val="000000" w:themeColor="text1"/>
                <w:sz w:val="22"/>
              </w:rPr>
            </w:pPr>
            <w:r>
              <w:rPr>
                <w:color w:val="000000" w:themeColor="text1"/>
                <w:sz w:val="22"/>
              </w:rPr>
              <w:t xml:space="preserve"> Resilience </w:t>
            </w:r>
          </w:p>
        </w:tc>
        <w:tc>
          <w:tcPr>
            <w:tcW w:w="3785" w:type="dxa"/>
            <w:tcBorders>
              <w:top w:val="single" w:sz="4" w:space="0" w:color="auto"/>
              <w:left w:val="single" w:sz="4" w:space="0" w:color="auto"/>
              <w:bottom w:val="single" w:sz="4" w:space="0" w:color="auto"/>
              <w:right w:val="single" w:sz="4" w:space="0" w:color="auto"/>
            </w:tcBorders>
            <w:shd w:val="clear" w:color="auto" w:fill="FFFFFF"/>
            <w:hideMark/>
          </w:tcPr>
          <w:p w14:paraId="45F39338" w14:textId="77777777" w:rsidR="004F246B" w:rsidRPr="000852F2" w:rsidRDefault="004F246B" w:rsidP="00BC5846">
            <w:pPr>
              <w:pStyle w:val="xxxmsonormal"/>
              <w:rPr>
                <w:color w:val="000000" w:themeColor="text1"/>
                <w:sz w:val="22"/>
              </w:rPr>
            </w:pPr>
            <w:r w:rsidRPr="000852F2">
              <w:rPr>
                <w:color w:val="000000" w:themeColor="text1"/>
                <w:sz w:val="22"/>
              </w:rPr>
              <w:t>Gross output diversification</w:t>
            </w:r>
          </w:p>
        </w:tc>
        <w:tc>
          <w:tcPr>
            <w:tcW w:w="2120" w:type="dxa"/>
            <w:tcBorders>
              <w:top w:val="nil"/>
              <w:left w:val="nil"/>
              <w:bottom w:val="single" w:sz="8" w:space="0" w:color="auto"/>
              <w:right w:val="single" w:sz="8" w:space="0" w:color="auto"/>
            </w:tcBorders>
            <w:shd w:val="clear" w:color="auto" w:fill="FFFFFF"/>
            <w:tcMar>
              <w:top w:w="0" w:type="dxa"/>
              <w:left w:w="0" w:type="dxa"/>
              <w:bottom w:w="0" w:type="dxa"/>
              <w:right w:w="0" w:type="dxa"/>
            </w:tcMar>
            <w:hideMark/>
          </w:tcPr>
          <w:p w14:paraId="2C63A1D0" w14:textId="77777777" w:rsidR="004F246B" w:rsidRPr="000852F2" w:rsidRDefault="004F246B" w:rsidP="004F246B">
            <w:pPr>
              <w:pStyle w:val="xxxmsonormal"/>
              <w:rPr>
                <w:color w:val="000000" w:themeColor="text1"/>
                <w:sz w:val="22"/>
              </w:rPr>
            </w:pPr>
            <w:r>
              <w:rPr>
                <w:color w:val="000000" w:themeColor="text1"/>
                <w:sz w:val="22"/>
              </w:rPr>
              <w:t>No</w:t>
            </w:r>
          </w:p>
        </w:tc>
      </w:tr>
      <w:tr w:rsidR="00B32D78" w:rsidRPr="000852F2" w14:paraId="051D476C" w14:textId="77777777" w:rsidTr="004F246B">
        <w:trPr>
          <w:trHeight w:val="306"/>
        </w:trPr>
        <w:tc>
          <w:tcPr>
            <w:tcW w:w="1505" w:type="dxa"/>
            <w:tcBorders>
              <w:top w:val="nil"/>
              <w:left w:val="single" w:sz="8" w:space="0" w:color="auto"/>
              <w:bottom w:val="single" w:sz="8" w:space="0" w:color="auto"/>
              <w:right w:val="single" w:sz="4" w:space="0" w:color="auto"/>
            </w:tcBorders>
            <w:shd w:val="clear" w:color="auto" w:fill="FFFFFF"/>
          </w:tcPr>
          <w:p w14:paraId="62892D11" w14:textId="79DE0D4B" w:rsidR="00B32D78" w:rsidRPr="000852F2" w:rsidRDefault="008A3FDF" w:rsidP="00B32D78">
            <w:pPr>
              <w:pStyle w:val="xxxmsonormal"/>
              <w:rPr>
                <w:color w:val="000000" w:themeColor="text1"/>
                <w:sz w:val="22"/>
                <w:shd w:val="clear" w:color="auto" w:fill="FFFFFF"/>
              </w:rPr>
            </w:pPr>
            <w:r>
              <w:rPr>
                <w:color w:val="000000" w:themeColor="text1"/>
                <w:sz w:val="22"/>
                <w:shd w:val="clear" w:color="auto" w:fill="FFFFFF"/>
              </w:rPr>
              <w:t>Economic</w:t>
            </w:r>
          </w:p>
        </w:tc>
        <w:tc>
          <w:tcPr>
            <w:tcW w:w="2078" w:type="dxa"/>
            <w:tcBorders>
              <w:top w:val="single" w:sz="4" w:space="0" w:color="auto"/>
              <w:left w:val="single" w:sz="4" w:space="0" w:color="auto"/>
              <w:bottom w:val="single" w:sz="4" w:space="0" w:color="auto"/>
              <w:right w:val="single" w:sz="4" w:space="0" w:color="auto"/>
            </w:tcBorders>
            <w:shd w:val="clear" w:color="auto" w:fill="FFFFFF"/>
          </w:tcPr>
          <w:p w14:paraId="4392D0FF" w14:textId="01FEAC93" w:rsidR="00B32D78" w:rsidRDefault="00B32D78" w:rsidP="00B32D78">
            <w:pPr>
              <w:pStyle w:val="xxxmsonormal"/>
              <w:rPr>
                <w:color w:val="000000" w:themeColor="text1"/>
                <w:sz w:val="22"/>
              </w:rPr>
            </w:pPr>
          </w:p>
        </w:tc>
        <w:tc>
          <w:tcPr>
            <w:tcW w:w="3785" w:type="dxa"/>
            <w:tcBorders>
              <w:top w:val="single" w:sz="4" w:space="0" w:color="auto"/>
              <w:left w:val="single" w:sz="4" w:space="0" w:color="auto"/>
              <w:bottom w:val="single" w:sz="4" w:space="0" w:color="auto"/>
              <w:right w:val="single" w:sz="4" w:space="0" w:color="auto"/>
            </w:tcBorders>
            <w:shd w:val="clear" w:color="auto" w:fill="FFFFFF"/>
          </w:tcPr>
          <w:p w14:paraId="7268AF16" w14:textId="7E01FC70" w:rsidR="00B32D78" w:rsidRPr="000852F2" w:rsidRDefault="00B32D78" w:rsidP="00B32D78">
            <w:pPr>
              <w:pStyle w:val="xxxmsonormal"/>
              <w:rPr>
                <w:color w:val="000000" w:themeColor="text1"/>
                <w:sz w:val="22"/>
              </w:rPr>
            </w:pPr>
            <w:r w:rsidRPr="000852F2">
              <w:rPr>
                <w:color w:val="000000" w:themeColor="text1"/>
                <w:sz w:val="22"/>
              </w:rPr>
              <w:t>Agricultural value added per worker (link to 2.3.2)</w:t>
            </w:r>
          </w:p>
        </w:tc>
        <w:tc>
          <w:tcPr>
            <w:tcW w:w="2120" w:type="dxa"/>
            <w:tcBorders>
              <w:top w:val="nil"/>
              <w:left w:val="nil"/>
              <w:bottom w:val="single" w:sz="8" w:space="0" w:color="auto"/>
              <w:right w:val="single" w:sz="8" w:space="0" w:color="auto"/>
            </w:tcBorders>
            <w:shd w:val="clear" w:color="auto" w:fill="FFFFFF"/>
            <w:tcMar>
              <w:top w:w="0" w:type="dxa"/>
              <w:left w:w="0" w:type="dxa"/>
              <w:bottom w:w="0" w:type="dxa"/>
              <w:right w:w="0" w:type="dxa"/>
            </w:tcMar>
          </w:tcPr>
          <w:p w14:paraId="3511C0C6" w14:textId="2D3E6095" w:rsidR="00B32D78" w:rsidRDefault="00B32D78" w:rsidP="00B32D78">
            <w:pPr>
              <w:pStyle w:val="xxxmsonormal"/>
              <w:rPr>
                <w:color w:val="000000" w:themeColor="text1"/>
                <w:sz w:val="22"/>
              </w:rPr>
            </w:pPr>
            <w:r>
              <w:rPr>
                <w:color w:val="000000" w:themeColor="text1"/>
                <w:sz w:val="22"/>
              </w:rPr>
              <w:t>No</w:t>
            </w:r>
          </w:p>
        </w:tc>
      </w:tr>
      <w:tr w:rsidR="00B32D78" w:rsidRPr="000852F2" w14:paraId="3959E238" w14:textId="77777777" w:rsidTr="004F246B">
        <w:trPr>
          <w:trHeight w:val="306"/>
        </w:trPr>
        <w:tc>
          <w:tcPr>
            <w:tcW w:w="1505" w:type="dxa"/>
            <w:tcBorders>
              <w:top w:val="nil"/>
              <w:left w:val="single" w:sz="8" w:space="0" w:color="auto"/>
              <w:bottom w:val="single" w:sz="8" w:space="0" w:color="auto"/>
              <w:right w:val="single" w:sz="4" w:space="0" w:color="auto"/>
            </w:tcBorders>
            <w:shd w:val="clear" w:color="auto" w:fill="FFFFFF"/>
            <w:hideMark/>
          </w:tcPr>
          <w:p w14:paraId="07B554B3" w14:textId="77777777" w:rsidR="00B32D78" w:rsidRPr="004F246B" w:rsidRDefault="00B32D78" w:rsidP="00B32D78">
            <w:pPr>
              <w:pStyle w:val="xxxmsonormal"/>
              <w:rPr>
                <w:color w:val="000000" w:themeColor="text1"/>
                <w:sz w:val="22"/>
                <w:shd w:val="clear" w:color="auto" w:fill="FFFFFF"/>
              </w:rPr>
            </w:pPr>
            <w:r w:rsidRPr="004F246B">
              <w:rPr>
                <w:color w:val="000000" w:themeColor="text1"/>
                <w:sz w:val="22"/>
                <w:shd w:val="clear" w:color="auto" w:fill="FFFFFF"/>
              </w:rPr>
              <w:t>Environment</w:t>
            </w:r>
          </w:p>
        </w:tc>
        <w:tc>
          <w:tcPr>
            <w:tcW w:w="2078" w:type="dxa"/>
            <w:tcBorders>
              <w:top w:val="single" w:sz="4" w:space="0" w:color="auto"/>
              <w:left w:val="single" w:sz="4" w:space="0" w:color="auto"/>
              <w:bottom w:val="single" w:sz="4" w:space="0" w:color="auto"/>
              <w:right w:val="single" w:sz="4" w:space="0" w:color="auto"/>
            </w:tcBorders>
            <w:shd w:val="clear" w:color="auto" w:fill="FFFFFF"/>
            <w:hideMark/>
          </w:tcPr>
          <w:p w14:paraId="527F1465" w14:textId="77777777" w:rsidR="00B32D78" w:rsidRPr="000852F2" w:rsidRDefault="00B32D78" w:rsidP="00B32D78">
            <w:pPr>
              <w:pStyle w:val="xxxmsonormal"/>
              <w:rPr>
                <w:color w:val="000000" w:themeColor="text1"/>
                <w:sz w:val="22"/>
              </w:rPr>
            </w:pPr>
            <w:r w:rsidRPr="000852F2">
              <w:rPr>
                <w:color w:val="000000" w:themeColor="text1"/>
                <w:sz w:val="22"/>
              </w:rPr>
              <w:t>Soil quality</w:t>
            </w:r>
          </w:p>
        </w:tc>
        <w:tc>
          <w:tcPr>
            <w:tcW w:w="3785" w:type="dxa"/>
            <w:tcBorders>
              <w:top w:val="single" w:sz="4" w:space="0" w:color="auto"/>
              <w:left w:val="single" w:sz="4" w:space="0" w:color="auto"/>
              <w:bottom w:val="single" w:sz="4" w:space="0" w:color="auto"/>
              <w:right w:val="single" w:sz="4" w:space="0" w:color="auto"/>
            </w:tcBorders>
            <w:shd w:val="clear" w:color="auto" w:fill="FFFFFF"/>
            <w:hideMark/>
          </w:tcPr>
          <w:p w14:paraId="703E3776" w14:textId="77777777" w:rsidR="00B32D78" w:rsidRPr="000852F2" w:rsidRDefault="00B32D78" w:rsidP="00B32D78">
            <w:pPr>
              <w:pStyle w:val="xxxmsonormal"/>
              <w:rPr>
                <w:color w:val="000000" w:themeColor="text1"/>
                <w:sz w:val="22"/>
              </w:rPr>
            </w:pPr>
            <w:r>
              <w:rPr>
                <w:color w:val="000000" w:themeColor="text1"/>
                <w:sz w:val="22"/>
              </w:rPr>
              <w:t>Nitrogen use efficiency</w:t>
            </w:r>
          </w:p>
        </w:tc>
        <w:tc>
          <w:tcPr>
            <w:tcW w:w="2120" w:type="dxa"/>
            <w:tcBorders>
              <w:top w:val="nil"/>
              <w:left w:val="nil"/>
              <w:bottom w:val="single" w:sz="8" w:space="0" w:color="auto"/>
              <w:right w:val="single" w:sz="8" w:space="0" w:color="auto"/>
            </w:tcBorders>
            <w:shd w:val="clear" w:color="auto" w:fill="FFFFFF"/>
            <w:tcMar>
              <w:top w:w="0" w:type="dxa"/>
              <w:left w:w="0" w:type="dxa"/>
              <w:bottom w:w="0" w:type="dxa"/>
              <w:right w:w="0" w:type="dxa"/>
            </w:tcMar>
            <w:hideMark/>
          </w:tcPr>
          <w:p w14:paraId="1DE2A2BB" w14:textId="77777777" w:rsidR="00B32D78" w:rsidRPr="000852F2" w:rsidRDefault="00B32D78" w:rsidP="00B32D78">
            <w:pPr>
              <w:pStyle w:val="xxxmsonormal"/>
              <w:rPr>
                <w:color w:val="000000" w:themeColor="text1"/>
                <w:sz w:val="22"/>
              </w:rPr>
            </w:pPr>
            <w:r>
              <w:rPr>
                <w:color w:val="000000" w:themeColor="text1"/>
                <w:sz w:val="22"/>
              </w:rPr>
              <w:t>Yes</w:t>
            </w:r>
          </w:p>
        </w:tc>
      </w:tr>
      <w:tr w:rsidR="00B32D78" w:rsidRPr="000852F2" w14:paraId="2F2E42C7" w14:textId="77777777" w:rsidTr="004F246B">
        <w:trPr>
          <w:trHeight w:val="306"/>
        </w:trPr>
        <w:tc>
          <w:tcPr>
            <w:tcW w:w="1505" w:type="dxa"/>
            <w:tcBorders>
              <w:top w:val="nil"/>
              <w:left w:val="single" w:sz="8" w:space="0" w:color="auto"/>
              <w:bottom w:val="single" w:sz="8" w:space="0" w:color="auto"/>
              <w:right w:val="single" w:sz="4" w:space="0" w:color="auto"/>
            </w:tcBorders>
            <w:shd w:val="clear" w:color="auto" w:fill="FFFFFF"/>
            <w:hideMark/>
          </w:tcPr>
          <w:p w14:paraId="2AD7B598" w14:textId="77777777" w:rsidR="00B32D78" w:rsidRPr="004F246B" w:rsidRDefault="00B32D78" w:rsidP="00B32D78">
            <w:pPr>
              <w:pStyle w:val="xxxmsonormal"/>
              <w:rPr>
                <w:color w:val="000000" w:themeColor="text1"/>
                <w:sz w:val="22"/>
                <w:shd w:val="clear" w:color="auto" w:fill="FFFFFF"/>
              </w:rPr>
            </w:pPr>
            <w:r w:rsidRPr="004F246B">
              <w:rPr>
                <w:color w:val="000000" w:themeColor="text1"/>
                <w:sz w:val="22"/>
                <w:shd w:val="clear" w:color="auto" w:fill="FFFFFF"/>
              </w:rPr>
              <w:t>Environment</w:t>
            </w:r>
          </w:p>
        </w:tc>
        <w:tc>
          <w:tcPr>
            <w:tcW w:w="2078" w:type="dxa"/>
            <w:tcBorders>
              <w:top w:val="single" w:sz="4" w:space="0" w:color="auto"/>
              <w:left w:val="single" w:sz="4" w:space="0" w:color="auto"/>
              <w:bottom w:val="single" w:sz="4" w:space="0" w:color="auto"/>
              <w:right w:val="single" w:sz="4" w:space="0" w:color="auto"/>
            </w:tcBorders>
            <w:shd w:val="clear" w:color="auto" w:fill="FFFFFF"/>
            <w:hideMark/>
          </w:tcPr>
          <w:p w14:paraId="305E53F9" w14:textId="77777777" w:rsidR="00B32D78" w:rsidRPr="000852F2" w:rsidRDefault="00B32D78" w:rsidP="00B32D78">
            <w:pPr>
              <w:pStyle w:val="xxxmsonormal"/>
              <w:rPr>
                <w:color w:val="000000" w:themeColor="text1"/>
                <w:sz w:val="22"/>
              </w:rPr>
            </w:pPr>
            <w:r w:rsidRPr="000852F2">
              <w:rPr>
                <w:color w:val="000000" w:themeColor="text1"/>
                <w:sz w:val="22"/>
              </w:rPr>
              <w:t>Water availability</w:t>
            </w:r>
          </w:p>
        </w:tc>
        <w:tc>
          <w:tcPr>
            <w:tcW w:w="3785" w:type="dxa"/>
            <w:tcBorders>
              <w:top w:val="single" w:sz="4" w:space="0" w:color="auto"/>
              <w:left w:val="single" w:sz="4" w:space="0" w:color="auto"/>
              <w:bottom w:val="single" w:sz="4" w:space="0" w:color="auto"/>
              <w:right w:val="single" w:sz="4" w:space="0" w:color="auto"/>
            </w:tcBorders>
            <w:shd w:val="clear" w:color="auto" w:fill="FFFFFF"/>
            <w:hideMark/>
          </w:tcPr>
          <w:p w14:paraId="2DC84370" w14:textId="77777777" w:rsidR="00B32D78" w:rsidRPr="000852F2" w:rsidRDefault="00B32D78" w:rsidP="00B32D78">
            <w:pPr>
              <w:pStyle w:val="xxxmsonormal"/>
              <w:rPr>
                <w:color w:val="000000" w:themeColor="text1"/>
                <w:sz w:val="22"/>
              </w:rPr>
            </w:pPr>
            <w:r w:rsidRPr="000852F2">
              <w:rPr>
                <w:color w:val="000000" w:themeColor="text1"/>
                <w:sz w:val="22"/>
              </w:rPr>
              <w:t>Agriculture</w:t>
            </w:r>
            <w:r>
              <w:rPr>
                <w:color w:val="000000" w:themeColor="text1"/>
                <w:sz w:val="22"/>
              </w:rPr>
              <w:t xml:space="preserve"> component of</w:t>
            </w:r>
            <w:r w:rsidRPr="000852F2">
              <w:rPr>
                <w:color w:val="000000" w:themeColor="text1"/>
                <w:sz w:val="22"/>
              </w:rPr>
              <w:t xml:space="preserve"> water stress (6.4.2 disaggregation)</w:t>
            </w:r>
          </w:p>
        </w:tc>
        <w:tc>
          <w:tcPr>
            <w:tcW w:w="2120" w:type="dxa"/>
            <w:tcBorders>
              <w:top w:val="nil"/>
              <w:left w:val="nil"/>
              <w:bottom w:val="single" w:sz="8" w:space="0" w:color="auto"/>
              <w:right w:val="single" w:sz="8" w:space="0" w:color="auto"/>
            </w:tcBorders>
            <w:shd w:val="clear" w:color="auto" w:fill="FFFFFF"/>
            <w:tcMar>
              <w:top w:w="0" w:type="dxa"/>
              <w:left w:w="0" w:type="dxa"/>
              <w:bottom w:w="0" w:type="dxa"/>
              <w:right w:w="0" w:type="dxa"/>
            </w:tcMar>
            <w:hideMark/>
          </w:tcPr>
          <w:p w14:paraId="76CFDA34" w14:textId="77777777" w:rsidR="00B32D78" w:rsidRPr="000852F2" w:rsidRDefault="00B32D78" w:rsidP="00B32D78">
            <w:pPr>
              <w:pStyle w:val="xxxmsonormal"/>
              <w:rPr>
                <w:color w:val="000000" w:themeColor="text1"/>
                <w:sz w:val="22"/>
              </w:rPr>
            </w:pPr>
            <w:r>
              <w:rPr>
                <w:color w:val="000000" w:themeColor="text1"/>
                <w:sz w:val="22"/>
              </w:rPr>
              <w:t>Yes</w:t>
            </w:r>
          </w:p>
        </w:tc>
      </w:tr>
      <w:tr w:rsidR="00B32D78" w:rsidRPr="000852F2" w14:paraId="4F67BA74" w14:textId="77777777" w:rsidTr="004F246B">
        <w:trPr>
          <w:trHeight w:val="306"/>
        </w:trPr>
        <w:tc>
          <w:tcPr>
            <w:tcW w:w="1505" w:type="dxa"/>
            <w:tcBorders>
              <w:top w:val="nil"/>
              <w:left w:val="single" w:sz="8" w:space="0" w:color="auto"/>
              <w:bottom w:val="single" w:sz="8" w:space="0" w:color="auto"/>
              <w:right w:val="single" w:sz="4" w:space="0" w:color="auto"/>
            </w:tcBorders>
            <w:shd w:val="clear" w:color="auto" w:fill="FFFFFF"/>
            <w:hideMark/>
          </w:tcPr>
          <w:p w14:paraId="6A183C92" w14:textId="77777777" w:rsidR="00B32D78" w:rsidRPr="004F246B" w:rsidRDefault="00B32D78" w:rsidP="00B32D78">
            <w:pPr>
              <w:pStyle w:val="xxxmsonormal"/>
              <w:rPr>
                <w:color w:val="000000" w:themeColor="text1"/>
                <w:sz w:val="22"/>
                <w:shd w:val="clear" w:color="auto" w:fill="FFFFFF"/>
              </w:rPr>
            </w:pPr>
            <w:r w:rsidRPr="004F246B">
              <w:rPr>
                <w:color w:val="000000" w:themeColor="text1"/>
                <w:sz w:val="22"/>
                <w:shd w:val="clear" w:color="auto" w:fill="FFFFFF"/>
              </w:rPr>
              <w:t>Environment</w:t>
            </w:r>
          </w:p>
        </w:tc>
        <w:tc>
          <w:tcPr>
            <w:tcW w:w="2078" w:type="dxa"/>
            <w:tcBorders>
              <w:top w:val="single" w:sz="4" w:space="0" w:color="auto"/>
              <w:left w:val="single" w:sz="4" w:space="0" w:color="auto"/>
              <w:bottom w:val="single" w:sz="4" w:space="0" w:color="auto"/>
              <w:right w:val="single" w:sz="4" w:space="0" w:color="auto"/>
            </w:tcBorders>
            <w:shd w:val="clear" w:color="auto" w:fill="FFFFFF"/>
            <w:hideMark/>
          </w:tcPr>
          <w:p w14:paraId="3ED89E7B" w14:textId="77777777" w:rsidR="00B32D78" w:rsidRPr="000852F2" w:rsidRDefault="00B32D78" w:rsidP="00B32D78">
            <w:pPr>
              <w:pStyle w:val="xxxmsonormal"/>
              <w:rPr>
                <w:color w:val="000000" w:themeColor="text1"/>
                <w:sz w:val="22"/>
              </w:rPr>
            </w:pPr>
            <w:r>
              <w:rPr>
                <w:color w:val="000000" w:themeColor="text1"/>
                <w:sz w:val="22"/>
              </w:rPr>
              <w:t>[No equivalent theme]</w:t>
            </w:r>
          </w:p>
        </w:tc>
        <w:tc>
          <w:tcPr>
            <w:tcW w:w="3785" w:type="dxa"/>
            <w:tcBorders>
              <w:top w:val="single" w:sz="4" w:space="0" w:color="auto"/>
              <w:left w:val="single" w:sz="4" w:space="0" w:color="auto"/>
              <w:bottom w:val="single" w:sz="4" w:space="0" w:color="auto"/>
              <w:right w:val="single" w:sz="4" w:space="0" w:color="auto"/>
            </w:tcBorders>
            <w:shd w:val="clear" w:color="auto" w:fill="FFFFFF"/>
            <w:hideMark/>
          </w:tcPr>
          <w:p w14:paraId="1744AEAD" w14:textId="77777777" w:rsidR="00B32D78" w:rsidRPr="000852F2" w:rsidRDefault="00B32D78" w:rsidP="00B32D78">
            <w:pPr>
              <w:pStyle w:val="xxxmsonormal"/>
              <w:rPr>
                <w:color w:val="000000" w:themeColor="text1"/>
                <w:sz w:val="22"/>
              </w:rPr>
            </w:pPr>
            <w:r>
              <w:rPr>
                <w:color w:val="000000" w:themeColor="text1"/>
                <w:sz w:val="22"/>
              </w:rPr>
              <w:t>GHG emissions intensity</w:t>
            </w:r>
          </w:p>
        </w:tc>
        <w:tc>
          <w:tcPr>
            <w:tcW w:w="2120" w:type="dxa"/>
            <w:tcBorders>
              <w:top w:val="nil"/>
              <w:left w:val="nil"/>
              <w:bottom w:val="single" w:sz="8" w:space="0" w:color="auto"/>
              <w:right w:val="single" w:sz="8" w:space="0" w:color="auto"/>
            </w:tcBorders>
            <w:shd w:val="clear" w:color="auto" w:fill="FFFFFF"/>
            <w:tcMar>
              <w:top w:w="0" w:type="dxa"/>
              <w:left w:w="0" w:type="dxa"/>
              <w:bottom w:w="0" w:type="dxa"/>
              <w:right w:w="0" w:type="dxa"/>
            </w:tcMar>
            <w:hideMark/>
          </w:tcPr>
          <w:p w14:paraId="40EDDC18" w14:textId="77777777" w:rsidR="00B32D78" w:rsidRPr="000852F2" w:rsidRDefault="00B32D78" w:rsidP="00B32D78">
            <w:pPr>
              <w:pStyle w:val="xxxmsonormal"/>
              <w:rPr>
                <w:color w:val="000000" w:themeColor="text1"/>
                <w:sz w:val="22"/>
              </w:rPr>
            </w:pPr>
            <w:r>
              <w:rPr>
                <w:color w:val="000000" w:themeColor="text1"/>
                <w:sz w:val="22"/>
              </w:rPr>
              <w:t>No</w:t>
            </w:r>
          </w:p>
        </w:tc>
      </w:tr>
      <w:tr w:rsidR="00B32D78" w:rsidRPr="000852F2" w14:paraId="721F3590" w14:textId="77777777" w:rsidTr="004F246B">
        <w:trPr>
          <w:trHeight w:val="306"/>
        </w:trPr>
        <w:tc>
          <w:tcPr>
            <w:tcW w:w="1505" w:type="dxa"/>
            <w:tcBorders>
              <w:top w:val="nil"/>
              <w:left w:val="single" w:sz="8" w:space="0" w:color="auto"/>
              <w:bottom w:val="single" w:sz="8" w:space="0" w:color="auto"/>
              <w:right w:val="single" w:sz="4" w:space="0" w:color="auto"/>
            </w:tcBorders>
            <w:shd w:val="clear" w:color="auto" w:fill="FFFFFF"/>
            <w:hideMark/>
          </w:tcPr>
          <w:p w14:paraId="7D0E7989" w14:textId="77777777" w:rsidR="00B32D78" w:rsidRPr="004F246B" w:rsidRDefault="00B32D78" w:rsidP="00B32D78">
            <w:pPr>
              <w:pStyle w:val="xxxmsonormal"/>
              <w:rPr>
                <w:color w:val="000000" w:themeColor="text1"/>
                <w:sz w:val="22"/>
                <w:shd w:val="clear" w:color="auto" w:fill="FFFFFF"/>
              </w:rPr>
            </w:pPr>
            <w:r w:rsidRPr="000852F2">
              <w:rPr>
                <w:color w:val="000000" w:themeColor="text1"/>
                <w:sz w:val="22"/>
                <w:shd w:val="clear" w:color="auto" w:fill="FFFFFF"/>
              </w:rPr>
              <w:t>Social</w:t>
            </w:r>
          </w:p>
        </w:tc>
        <w:tc>
          <w:tcPr>
            <w:tcW w:w="2078" w:type="dxa"/>
            <w:tcBorders>
              <w:top w:val="single" w:sz="4" w:space="0" w:color="auto"/>
              <w:left w:val="single" w:sz="4" w:space="0" w:color="auto"/>
              <w:bottom w:val="single" w:sz="4" w:space="0" w:color="auto"/>
              <w:right w:val="single" w:sz="4" w:space="0" w:color="auto"/>
            </w:tcBorders>
            <w:shd w:val="clear" w:color="auto" w:fill="FFFFFF"/>
            <w:hideMark/>
          </w:tcPr>
          <w:p w14:paraId="2F596A51" w14:textId="77777777" w:rsidR="00B32D78" w:rsidRPr="000852F2" w:rsidRDefault="00B32D78" w:rsidP="00B32D78">
            <w:pPr>
              <w:pStyle w:val="xxxmsonormal"/>
              <w:rPr>
                <w:color w:val="000000" w:themeColor="text1"/>
                <w:sz w:val="22"/>
              </w:rPr>
            </w:pPr>
            <w:r>
              <w:rPr>
                <w:color w:val="000000" w:themeColor="text1"/>
                <w:sz w:val="22"/>
              </w:rPr>
              <w:t>Decent employment</w:t>
            </w:r>
          </w:p>
        </w:tc>
        <w:tc>
          <w:tcPr>
            <w:tcW w:w="3785" w:type="dxa"/>
            <w:tcBorders>
              <w:top w:val="single" w:sz="4" w:space="0" w:color="auto"/>
              <w:left w:val="single" w:sz="4" w:space="0" w:color="auto"/>
              <w:bottom w:val="single" w:sz="4" w:space="0" w:color="auto"/>
              <w:right w:val="single" w:sz="4" w:space="0" w:color="auto"/>
            </w:tcBorders>
            <w:shd w:val="clear" w:color="auto" w:fill="FFFFFF"/>
            <w:hideMark/>
          </w:tcPr>
          <w:p w14:paraId="14506E7C" w14:textId="77777777" w:rsidR="00B32D78" w:rsidRPr="000852F2" w:rsidRDefault="00B32D78" w:rsidP="00B32D78">
            <w:pPr>
              <w:pStyle w:val="xxxmsonormal"/>
              <w:rPr>
                <w:color w:val="000000" w:themeColor="text1"/>
                <w:sz w:val="22"/>
              </w:rPr>
            </w:pPr>
            <w:r>
              <w:rPr>
                <w:color w:val="000000" w:themeColor="text1"/>
                <w:sz w:val="22"/>
              </w:rPr>
              <w:t>Proportion of informal employment in agriculture</w:t>
            </w:r>
          </w:p>
        </w:tc>
        <w:tc>
          <w:tcPr>
            <w:tcW w:w="2120" w:type="dxa"/>
            <w:tcBorders>
              <w:top w:val="nil"/>
              <w:left w:val="nil"/>
              <w:bottom w:val="single" w:sz="8" w:space="0" w:color="auto"/>
              <w:right w:val="single" w:sz="8" w:space="0" w:color="auto"/>
            </w:tcBorders>
            <w:shd w:val="clear" w:color="auto" w:fill="FFFFFF"/>
            <w:tcMar>
              <w:top w:w="0" w:type="dxa"/>
              <w:left w:w="0" w:type="dxa"/>
              <w:bottom w:w="0" w:type="dxa"/>
              <w:right w:w="0" w:type="dxa"/>
            </w:tcMar>
            <w:hideMark/>
          </w:tcPr>
          <w:p w14:paraId="6CAB4257" w14:textId="77777777" w:rsidR="00B32D78" w:rsidRPr="000852F2" w:rsidRDefault="00B32D78" w:rsidP="00B32D78">
            <w:pPr>
              <w:pStyle w:val="xxxmsonormal"/>
              <w:rPr>
                <w:color w:val="000000" w:themeColor="text1"/>
                <w:sz w:val="22"/>
              </w:rPr>
            </w:pPr>
            <w:r>
              <w:rPr>
                <w:color w:val="000000" w:themeColor="text1"/>
                <w:sz w:val="22"/>
              </w:rPr>
              <w:t>No</w:t>
            </w:r>
          </w:p>
        </w:tc>
      </w:tr>
    </w:tbl>
    <w:p w14:paraId="193ADCFD" w14:textId="77777777" w:rsidR="008B27F5" w:rsidRDefault="008B27F5" w:rsidP="008B27F5">
      <w:pPr>
        <w:jc w:val="both"/>
        <w:rPr>
          <w:b/>
          <w:sz w:val="28"/>
          <w:szCs w:val="28"/>
        </w:rPr>
      </w:pPr>
    </w:p>
    <w:p w14:paraId="023CA03E" w14:textId="77777777" w:rsidR="008B27F5" w:rsidRPr="008A1A89" w:rsidRDefault="008B27F5" w:rsidP="008B27F5">
      <w:pPr>
        <w:pStyle w:val="ListParagraph"/>
        <w:numPr>
          <w:ilvl w:val="1"/>
          <w:numId w:val="6"/>
        </w:numPr>
        <w:spacing w:after="0" w:line="240" w:lineRule="auto"/>
        <w:jc w:val="both"/>
        <w:rPr>
          <w:b/>
        </w:rPr>
      </w:pPr>
      <w:r w:rsidRPr="008A1A89">
        <w:rPr>
          <w:b/>
        </w:rPr>
        <w:t>Indicators with a numerical target</w:t>
      </w:r>
    </w:p>
    <w:p w14:paraId="0A2A5D15" w14:textId="77777777" w:rsidR="004835F5" w:rsidRDefault="004835F5" w:rsidP="004835F5">
      <w:pPr>
        <w:jc w:val="both"/>
      </w:pPr>
    </w:p>
    <w:p w14:paraId="4D393A73" w14:textId="46D8E733" w:rsidR="004835F5" w:rsidRDefault="004835F5" w:rsidP="004835F5">
      <w:pPr>
        <w:jc w:val="both"/>
      </w:pPr>
      <w:r>
        <w:t>The current distance to the target is calculated only when a numerical target exists, as follows:</w:t>
      </w:r>
    </w:p>
    <w:p w14:paraId="2784364E" w14:textId="77777777" w:rsidR="004835F5" w:rsidRDefault="002A733C" w:rsidP="004835F5">
      <w:pPr>
        <w:jc w:val="both"/>
      </w:pPr>
      <m:oMathPara>
        <m:oMath>
          <m:sSub>
            <m:sSubPr>
              <m:ctrlPr>
                <w:rPr>
                  <w:rFonts w:ascii="Cambria Math" w:hAnsi="Cambria Math"/>
                  <w:i/>
                </w:rPr>
              </m:ctrlPr>
            </m:sSubPr>
            <m:e>
              <m:r>
                <w:rPr>
                  <w:rFonts w:ascii="Cambria Math" w:hAnsi="Cambria Math"/>
                </w:rPr>
                <m:t>d</m:t>
              </m:r>
            </m:e>
            <m:sub>
              <m:r>
                <w:rPr>
                  <w:rFonts w:ascii="Cambria Math" w:hAnsi="Cambria Math"/>
                </w:rPr>
                <m:t>it</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 xml:space="preserve">,  </m:t>
                  </m:r>
                  <m:r>
                    <m:rPr>
                      <m:nor/>
                    </m:rPr>
                    <w:rPr>
                      <w:rFonts w:ascii="Cambria Math" w:hAnsi="Cambria Math"/>
                    </w:rPr>
                    <m:t>when the desired direction is an increase over time</m:t>
                  </m:r>
                  <m:r>
                    <w:rPr>
                      <w:rFonts w:ascii="Cambria Math" w:hAnsi="Cambria Math"/>
                    </w:rPr>
                    <m:t xml:space="preserve"> </m:t>
                  </m:r>
                </m:e>
                <m:e>
                  <m:ctrlPr>
                    <w:rPr>
                      <w:rFonts w:ascii="Cambria Math" w:eastAsia="Cambria Math" w:hAnsi="Cambria Math" w:cs="Cambria Math"/>
                      <w:i/>
                    </w:rPr>
                  </m:ctrlPr>
                </m:e>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-x</m:t>
                      </m:r>
                    </m:e>
                    <m:sup>
                      <m:r>
                        <w:rPr>
                          <w:rFonts w:ascii="Cambria Math" w:hAnsi="Cambria Math"/>
                        </w:rPr>
                        <m:t>*</m:t>
                      </m:r>
                    </m:sup>
                  </m:sSup>
                  <m:r>
                    <w:rPr>
                      <w:rFonts w:ascii="Cambria Math" w:hAnsi="Cambria Math"/>
                    </w:rPr>
                    <m:t xml:space="preserve">,  </m:t>
                  </m:r>
                  <m:r>
                    <m:rPr>
                      <m:nor/>
                    </m:rPr>
                    <w:rPr>
                      <w:rFonts w:ascii="Cambria Math" w:hAnsi="Cambria Math"/>
                    </w:rPr>
                    <m:t>when the desired direction is a decrease over time</m:t>
                  </m:r>
                </m:e>
              </m:eqArr>
            </m:e>
          </m:d>
        </m:oMath>
      </m:oMathPara>
    </w:p>
    <w:p w14:paraId="3D0B678F" w14:textId="7B14FBB2" w:rsidR="004835F5" w:rsidRDefault="004835F5" w:rsidP="008B27F5">
      <w:pPr>
        <w:jc w:val="both"/>
        <w:rPr>
          <w:b/>
        </w:rPr>
      </w:pPr>
      <w:r>
        <w:t xml:space="preserve">Here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denotes the numerical value of the generic indicator for country </w:t>
      </w:r>
      <w:proofErr w:type="spellStart"/>
      <w:r w:rsidRPr="007D3070">
        <w:rPr>
          <w:i/>
        </w:rPr>
        <w:t>i</w:t>
      </w:r>
      <w:proofErr w:type="spellEnd"/>
      <w:r>
        <w:t xml:space="preserve"> in year </w:t>
      </w:r>
      <w:proofErr w:type="gramStart"/>
      <w:r w:rsidRPr="007D3070">
        <w:rPr>
          <w:i/>
        </w:rPr>
        <w:t>t</w:t>
      </w:r>
      <w:r>
        <w:t>;</w:t>
      </w:r>
      <w:proofErr w:type="gramEnd"/>
      <w:r>
        <w:t xml:space="preserve"> while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is the target value of the generic indicator (to be reached by 2030). This distance measure is 0 for indicators having already reached the target at the time of the assessment.</w:t>
      </w:r>
    </w:p>
    <w:p w14:paraId="08AE8B19" w14:textId="15DE3270" w:rsidR="00DB68F4" w:rsidRDefault="00E705ED" w:rsidP="00DB68F4">
      <w:pPr>
        <w:pStyle w:val="ListParagraph"/>
        <w:numPr>
          <w:ilvl w:val="0"/>
          <w:numId w:val="7"/>
        </w:numPr>
        <w:spacing w:after="160" w:line="259" w:lineRule="auto"/>
        <w:rPr>
          <w:b/>
        </w:rPr>
      </w:pPr>
      <w:r w:rsidRPr="008A1A89">
        <w:rPr>
          <w:b/>
        </w:rPr>
        <w:t>SDG indicator 6.4.2, agriculture component</w:t>
      </w:r>
    </w:p>
    <w:p w14:paraId="43EB8D8F" w14:textId="4EA689C3" w:rsidR="00263E4F" w:rsidRDefault="00DB68F4" w:rsidP="00915E7A">
      <w:r>
        <w:t>For this indicator,</w:t>
      </w:r>
      <w:r w:rsidRPr="002954DA">
        <w:t xml:space="preserve"> threshold</w:t>
      </w:r>
      <w:r>
        <w:t>s have been determined that are set at 70 percent, the conventional thresholds for the severity levels of water stress at aggregate national level (as per metadata of SDG indicator 6.4.2), considering that globally, a</w:t>
      </w:r>
      <w:r w:rsidRPr="002D369D">
        <w:t>griculture is re</w:t>
      </w:r>
      <w:r>
        <w:t>sponsible for 70 percent</w:t>
      </w:r>
      <w:r w:rsidRPr="002D369D">
        <w:t xml:space="preserve"> of all water withdrawals</w:t>
      </w:r>
      <w:r>
        <w:t>. The current distance to the target for the agriculture component of SDG indicator 6.4.2 is therefore calculated as follows:</w:t>
      </w:r>
      <w:r w:rsidR="004D5DA4">
        <w:t xml:space="preserve"> </w:t>
      </w:r>
      <w:r w:rsidR="00263E4F">
        <w:rPr>
          <w:i/>
        </w:rPr>
        <w:t xml:space="preserve">Where </w:t>
      </w:r>
      <w:r w:rsidR="00263E4F">
        <w:t>x is the level of water stress attributable to agriculture</w:t>
      </w:r>
    </w:p>
    <w:tbl>
      <w:tblPr>
        <w:tblStyle w:val="TableGrid"/>
        <w:tblW w:w="9554" w:type="dxa"/>
        <w:jc w:val="center"/>
        <w:tblLook w:val="04A0" w:firstRow="1" w:lastRow="0" w:firstColumn="1" w:lastColumn="0" w:noHBand="0" w:noVBand="1"/>
      </w:tblPr>
      <w:tblGrid>
        <w:gridCol w:w="2689"/>
        <w:gridCol w:w="1573"/>
        <w:gridCol w:w="3543"/>
        <w:gridCol w:w="1749"/>
      </w:tblGrid>
      <w:tr w:rsidR="00263E4F" w:rsidRPr="00741769" w14:paraId="0DC80431" w14:textId="77777777" w:rsidTr="00BC5846">
        <w:trPr>
          <w:trHeight w:val="291"/>
          <w:jc w:val="center"/>
        </w:trPr>
        <w:tc>
          <w:tcPr>
            <w:tcW w:w="2689" w:type="dxa"/>
            <w:shd w:val="clear" w:color="auto" w:fill="002060"/>
          </w:tcPr>
          <w:p w14:paraId="3EA28DC0" w14:textId="77777777" w:rsidR="00263E4F" w:rsidRPr="00741769" w:rsidRDefault="00263E4F" w:rsidP="00BC5846">
            <w:pPr>
              <w:jc w:val="both"/>
              <w:rPr>
                <w:rFonts w:ascii="Arial" w:hAnsi="Arial" w:cs="Arial"/>
                <w:b/>
                <w:color w:val="FFFFFF" w:themeColor="background1"/>
                <w:sz w:val="18"/>
                <w:szCs w:val="20"/>
              </w:rPr>
            </w:pPr>
            <w:r w:rsidRPr="00741769">
              <w:rPr>
                <w:rFonts w:ascii="Arial" w:hAnsi="Arial" w:cs="Arial"/>
                <w:b/>
                <w:sz w:val="18"/>
                <w:szCs w:val="20"/>
              </w:rPr>
              <w:t>Bounds</w:t>
            </w:r>
          </w:p>
        </w:tc>
        <w:tc>
          <w:tcPr>
            <w:tcW w:w="1573" w:type="dxa"/>
            <w:shd w:val="clear" w:color="auto" w:fill="002060"/>
            <w:vAlign w:val="center"/>
          </w:tcPr>
          <w:p w14:paraId="7D24E0AE" w14:textId="77777777" w:rsidR="00263E4F" w:rsidRPr="00741769" w:rsidRDefault="00263E4F" w:rsidP="00BC5846">
            <w:pPr>
              <w:jc w:val="both"/>
              <w:rPr>
                <w:rFonts w:ascii="Arial" w:hAnsi="Arial" w:cs="Arial"/>
                <w:b/>
                <w:sz w:val="18"/>
                <w:szCs w:val="20"/>
              </w:rPr>
            </w:pPr>
            <w:proofErr w:type="spellStart"/>
            <w:r w:rsidRPr="00741769">
              <w:rPr>
                <w:rFonts w:ascii="Arial" w:eastAsia="Times New Roman" w:hAnsi="Arial" w:cs="Arial"/>
                <w:b/>
                <w:bCs/>
                <w:color w:val="FFFFFF"/>
                <w:sz w:val="18"/>
                <w:szCs w:val="20"/>
                <w:lang w:eastAsia="it-IT"/>
              </w:rPr>
              <w:t>Color</w:t>
            </w:r>
            <w:proofErr w:type="spellEnd"/>
          </w:p>
        </w:tc>
        <w:tc>
          <w:tcPr>
            <w:tcW w:w="3543" w:type="dxa"/>
            <w:shd w:val="clear" w:color="auto" w:fill="002060"/>
          </w:tcPr>
          <w:p w14:paraId="0ACC5C90" w14:textId="77777777" w:rsidR="00263E4F" w:rsidRPr="00741769" w:rsidRDefault="00263E4F" w:rsidP="00BC5846">
            <w:pPr>
              <w:jc w:val="both"/>
              <w:rPr>
                <w:rFonts w:ascii="Arial" w:hAnsi="Arial" w:cs="Arial"/>
                <w:b/>
                <w:color w:val="FFFFFF" w:themeColor="background1"/>
                <w:sz w:val="18"/>
                <w:szCs w:val="20"/>
              </w:rPr>
            </w:pPr>
            <w:r w:rsidRPr="00741769">
              <w:rPr>
                <w:rFonts w:ascii="Arial" w:hAnsi="Arial" w:cs="Arial"/>
                <w:b/>
                <w:sz w:val="18"/>
                <w:szCs w:val="20"/>
              </w:rPr>
              <w:t>Meaning</w:t>
            </w:r>
          </w:p>
        </w:tc>
        <w:tc>
          <w:tcPr>
            <w:tcW w:w="1749" w:type="dxa"/>
            <w:shd w:val="clear" w:color="auto" w:fill="002060"/>
          </w:tcPr>
          <w:p w14:paraId="5D07C2C6" w14:textId="77777777" w:rsidR="00263E4F" w:rsidRPr="00741769" w:rsidRDefault="00263E4F" w:rsidP="00BC5846">
            <w:pPr>
              <w:jc w:val="both"/>
              <w:rPr>
                <w:rFonts w:ascii="Arial" w:hAnsi="Arial" w:cs="Arial"/>
                <w:b/>
                <w:color w:val="FFFFFF" w:themeColor="background1"/>
                <w:sz w:val="18"/>
                <w:szCs w:val="20"/>
              </w:rPr>
            </w:pPr>
            <w:r w:rsidRPr="00741769">
              <w:rPr>
                <w:rFonts w:ascii="Arial" w:hAnsi="Arial" w:cs="Arial"/>
                <w:b/>
                <w:color w:val="FFFFFF" w:themeColor="background1"/>
                <w:sz w:val="18"/>
                <w:szCs w:val="20"/>
              </w:rPr>
              <w:t>Score</w:t>
            </w:r>
          </w:p>
        </w:tc>
      </w:tr>
      <w:tr w:rsidR="00263E4F" w:rsidRPr="00741769" w14:paraId="0BCFD5DE" w14:textId="77777777" w:rsidTr="00915E7A">
        <w:trPr>
          <w:trHeight w:val="312"/>
          <w:jc w:val="center"/>
        </w:trPr>
        <w:tc>
          <w:tcPr>
            <w:tcW w:w="2689" w:type="dxa"/>
            <w:shd w:val="clear" w:color="auto" w:fill="4F6228" w:themeFill="accent3" w:themeFillShade="80"/>
            <w:vAlign w:val="center"/>
          </w:tcPr>
          <w:p w14:paraId="4D55929C" w14:textId="77777777" w:rsidR="00263E4F" w:rsidRPr="00741769" w:rsidRDefault="00263E4F" w:rsidP="00BC5846">
            <w:pPr>
              <w:jc w:val="center"/>
              <w:rPr>
                <w:rFonts w:ascii="Arial" w:hAnsi="Arial" w:cs="Arial"/>
                <w:b/>
                <w:color w:val="FFFFFF" w:themeColor="background1"/>
                <w:sz w:val="18"/>
                <w:szCs w:val="20"/>
              </w:rPr>
            </w:pPr>
            <m:oMath>
              <m:r>
                <w:rPr>
                  <w:rFonts w:ascii="Cambria Math" w:hAnsi="Cambria Math" w:cs="Arial"/>
                  <w:color w:val="FFFFFF" w:themeColor="background1"/>
                  <w:sz w:val="18"/>
                  <w:szCs w:val="20"/>
                </w:rPr>
                <m:t>x</m:t>
              </m:r>
              <m:r>
                <m:rPr>
                  <m:sty m:val="bi"/>
                </m:rPr>
                <w:rPr>
                  <w:rFonts w:ascii="Cambria Math" w:hAnsi="Cambria Math" w:cs="Arial"/>
                  <w:color w:val="FFFFFF" w:themeColor="background1"/>
                  <w:sz w:val="18"/>
                  <w:szCs w:val="20"/>
                </w:rPr>
                <m:t>≤</m:t>
              </m:r>
            </m:oMath>
            <w:r>
              <w:rPr>
                <w:b/>
                <w:color w:val="FFFFFF" w:themeColor="background1"/>
                <w:sz w:val="18"/>
                <w:szCs w:val="20"/>
              </w:rPr>
              <w:t xml:space="preserve"> 17.5</w:t>
            </w:r>
            <w:r w:rsidRPr="00211641">
              <w:rPr>
                <w:b/>
                <w:color w:val="FFFFFF" w:themeColor="background1"/>
                <w:sz w:val="18"/>
                <w:szCs w:val="20"/>
              </w:rPr>
              <w:t xml:space="preserve"> percent</w:t>
            </w:r>
          </w:p>
        </w:tc>
        <w:tc>
          <w:tcPr>
            <w:tcW w:w="1573" w:type="dxa"/>
            <w:shd w:val="clear" w:color="auto" w:fill="4F6228" w:themeFill="accent3" w:themeFillShade="80"/>
            <w:vAlign w:val="center"/>
          </w:tcPr>
          <w:p w14:paraId="66E63719" w14:textId="77777777" w:rsidR="00263E4F" w:rsidRPr="00741769" w:rsidRDefault="00263E4F" w:rsidP="00BC5846">
            <w:pPr>
              <w:jc w:val="both"/>
              <w:rPr>
                <w:rFonts w:ascii="Arial" w:hAnsi="Arial" w:cs="Arial"/>
                <w:color w:val="FFFFFF" w:themeColor="background1"/>
                <w:sz w:val="18"/>
                <w:szCs w:val="20"/>
              </w:rPr>
            </w:pPr>
            <w:r w:rsidRPr="00741769">
              <w:rPr>
                <w:rFonts w:ascii="Arial" w:eastAsia="Times New Roman" w:hAnsi="Arial" w:cs="Arial"/>
                <w:color w:val="FFFFFF"/>
                <w:sz w:val="18"/>
                <w:szCs w:val="18"/>
                <w:lang w:eastAsia="it-IT"/>
              </w:rPr>
              <w:t>Dark green</w:t>
            </w:r>
          </w:p>
        </w:tc>
        <w:tc>
          <w:tcPr>
            <w:tcW w:w="3543" w:type="dxa"/>
            <w:shd w:val="clear" w:color="auto" w:fill="4F6228" w:themeFill="accent3" w:themeFillShade="80"/>
            <w:vAlign w:val="center"/>
          </w:tcPr>
          <w:p w14:paraId="28DC9E6A" w14:textId="77777777" w:rsidR="00263E4F" w:rsidRPr="00741769" w:rsidRDefault="00263E4F" w:rsidP="00BC5846">
            <w:pPr>
              <w:jc w:val="both"/>
              <w:rPr>
                <w:rFonts w:ascii="Arial" w:hAnsi="Arial" w:cs="Arial"/>
                <w:b/>
                <w:color w:val="FFFFFF" w:themeColor="background1"/>
                <w:sz w:val="18"/>
                <w:szCs w:val="20"/>
              </w:rPr>
            </w:pPr>
            <w:r w:rsidRPr="00741769">
              <w:rPr>
                <w:rFonts w:ascii="Arial" w:hAnsi="Arial" w:cs="Arial"/>
                <w:color w:val="FFFFFF" w:themeColor="background1"/>
                <w:sz w:val="18"/>
                <w:szCs w:val="20"/>
              </w:rPr>
              <w:t>Target already met</w:t>
            </w:r>
          </w:p>
        </w:tc>
        <w:tc>
          <w:tcPr>
            <w:tcW w:w="1749" w:type="dxa"/>
            <w:shd w:val="clear" w:color="auto" w:fill="4F6228" w:themeFill="accent3" w:themeFillShade="80"/>
          </w:tcPr>
          <w:p w14:paraId="32B6044D" w14:textId="77777777" w:rsidR="00263E4F" w:rsidRPr="00741769" w:rsidRDefault="00263E4F" w:rsidP="00BC5846">
            <w:pPr>
              <w:jc w:val="both"/>
              <w:rPr>
                <w:rFonts w:ascii="Arial" w:hAnsi="Arial" w:cs="Arial"/>
                <w:color w:val="FFFFFF" w:themeColor="background1"/>
                <w:sz w:val="18"/>
                <w:szCs w:val="20"/>
              </w:rPr>
            </w:pPr>
            <w:r w:rsidRPr="00741769">
              <w:rPr>
                <w:rFonts w:ascii="Arial" w:hAnsi="Arial" w:cs="Arial"/>
                <w:color w:val="FFFFFF" w:themeColor="background1"/>
                <w:sz w:val="18"/>
                <w:szCs w:val="20"/>
              </w:rPr>
              <w:t>5</w:t>
            </w:r>
          </w:p>
        </w:tc>
      </w:tr>
      <w:tr w:rsidR="00263E4F" w:rsidRPr="00741769" w14:paraId="144674BE" w14:textId="77777777" w:rsidTr="00915E7A">
        <w:trPr>
          <w:trHeight w:val="291"/>
          <w:jc w:val="center"/>
        </w:trPr>
        <w:tc>
          <w:tcPr>
            <w:tcW w:w="2689" w:type="dxa"/>
            <w:shd w:val="clear" w:color="auto" w:fill="C2D69B" w:themeFill="accent3" w:themeFillTint="99"/>
            <w:vAlign w:val="center"/>
          </w:tcPr>
          <w:p w14:paraId="3F4C5B99" w14:textId="77777777" w:rsidR="00263E4F" w:rsidRPr="00741769" w:rsidRDefault="00263E4F" w:rsidP="00BC5846">
            <w:pPr>
              <w:jc w:val="both"/>
              <w:rPr>
                <w:rFonts w:ascii="Arial" w:hAnsi="Arial" w:cs="Arial"/>
                <w:b/>
                <w:sz w:val="18"/>
                <w:szCs w:val="20"/>
              </w:rPr>
            </w:pPr>
            <m:oMathPara>
              <m:oMath>
                <m:r>
                  <w:rPr>
                    <w:rFonts w:ascii="Cambria Math" w:hAnsi="Cambria Math" w:cs="Arial"/>
                    <w:sz w:val="18"/>
                    <w:szCs w:val="20"/>
                  </w:rPr>
                  <m:t>17.5&lt;x≤35 percent</m:t>
                </m:r>
              </m:oMath>
            </m:oMathPara>
          </w:p>
        </w:tc>
        <w:tc>
          <w:tcPr>
            <w:tcW w:w="1573" w:type="dxa"/>
            <w:shd w:val="clear" w:color="auto" w:fill="C2D69B" w:themeFill="accent3" w:themeFillTint="99"/>
            <w:vAlign w:val="center"/>
          </w:tcPr>
          <w:p w14:paraId="6F62CE07" w14:textId="77777777" w:rsidR="00263E4F" w:rsidRPr="00741769" w:rsidRDefault="00263E4F" w:rsidP="00BC5846">
            <w:pPr>
              <w:jc w:val="both"/>
              <w:rPr>
                <w:rFonts w:ascii="Arial" w:hAnsi="Arial" w:cs="Arial"/>
                <w:sz w:val="18"/>
                <w:szCs w:val="20"/>
              </w:rPr>
            </w:pPr>
            <w:r w:rsidRPr="00741769">
              <w:rPr>
                <w:rFonts w:ascii="Arial" w:eastAsia="Times New Roman" w:hAnsi="Arial" w:cs="Arial"/>
                <w:color w:val="000000"/>
                <w:sz w:val="18"/>
                <w:szCs w:val="18"/>
                <w:lang w:eastAsia="it-IT"/>
              </w:rPr>
              <w:t>Light green</w:t>
            </w:r>
          </w:p>
        </w:tc>
        <w:tc>
          <w:tcPr>
            <w:tcW w:w="3543" w:type="dxa"/>
            <w:shd w:val="clear" w:color="auto" w:fill="C2D69B" w:themeFill="accent3" w:themeFillTint="99"/>
            <w:vAlign w:val="center"/>
          </w:tcPr>
          <w:p w14:paraId="3C86CD64" w14:textId="77777777" w:rsidR="00263E4F" w:rsidRPr="00741769" w:rsidRDefault="00263E4F" w:rsidP="00BC5846">
            <w:pPr>
              <w:jc w:val="both"/>
              <w:rPr>
                <w:rFonts w:ascii="Arial" w:hAnsi="Arial" w:cs="Arial"/>
                <w:b/>
                <w:color w:val="E36C0A" w:themeColor="accent6" w:themeShade="BF"/>
                <w:sz w:val="18"/>
                <w:szCs w:val="20"/>
              </w:rPr>
            </w:pPr>
            <w:r>
              <w:rPr>
                <w:rFonts w:ascii="Arial" w:hAnsi="Arial" w:cs="Arial"/>
                <w:sz w:val="18"/>
                <w:szCs w:val="20"/>
              </w:rPr>
              <w:t>C</w:t>
            </w:r>
            <w:r w:rsidRPr="00741769">
              <w:rPr>
                <w:rFonts w:ascii="Arial" w:hAnsi="Arial" w:cs="Arial"/>
                <w:sz w:val="18"/>
                <w:szCs w:val="20"/>
              </w:rPr>
              <w:t>lose to the target</w:t>
            </w:r>
          </w:p>
        </w:tc>
        <w:tc>
          <w:tcPr>
            <w:tcW w:w="1749" w:type="dxa"/>
            <w:shd w:val="clear" w:color="auto" w:fill="C2D69B" w:themeFill="accent3" w:themeFillTint="99"/>
          </w:tcPr>
          <w:p w14:paraId="1A825012" w14:textId="77777777" w:rsidR="00263E4F" w:rsidRPr="00741769" w:rsidRDefault="00263E4F" w:rsidP="00BC5846">
            <w:pPr>
              <w:jc w:val="both"/>
              <w:rPr>
                <w:rFonts w:ascii="Arial" w:hAnsi="Arial" w:cs="Arial"/>
                <w:sz w:val="18"/>
                <w:szCs w:val="20"/>
              </w:rPr>
            </w:pPr>
            <w:r w:rsidRPr="00741769">
              <w:rPr>
                <w:rFonts w:ascii="Arial" w:hAnsi="Arial" w:cs="Arial"/>
                <w:sz w:val="18"/>
                <w:szCs w:val="20"/>
              </w:rPr>
              <w:t>4</w:t>
            </w:r>
          </w:p>
        </w:tc>
      </w:tr>
      <w:tr w:rsidR="00263E4F" w:rsidRPr="00741769" w14:paraId="4D2FB54C" w14:textId="77777777" w:rsidTr="00915E7A">
        <w:trPr>
          <w:trHeight w:val="291"/>
          <w:jc w:val="center"/>
        </w:trPr>
        <w:tc>
          <w:tcPr>
            <w:tcW w:w="2689" w:type="dxa"/>
            <w:shd w:val="clear" w:color="auto" w:fill="F2EEA8"/>
            <w:vAlign w:val="center"/>
          </w:tcPr>
          <w:p w14:paraId="6DF96B52" w14:textId="77777777" w:rsidR="00263E4F" w:rsidRPr="00741769" w:rsidRDefault="00263E4F" w:rsidP="00BC5846">
            <w:pPr>
              <w:jc w:val="both"/>
              <w:rPr>
                <w:rFonts w:ascii="Arial" w:hAnsi="Arial" w:cs="Arial"/>
                <w:b/>
                <w:sz w:val="18"/>
                <w:szCs w:val="20"/>
              </w:rPr>
            </w:pPr>
            <m:oMathPara>
              <m:oMath>
                <m:r>
                  <w:rPr>
                    <w:rFonts w:ascii="Cambria Math" w:hAnsi="Cambria Math" w:cs="Arial"/>
                    <w:sz w:val="18"/>
                    <w:szCs w:val="20"/>
                  </w:rPr>
                  <m:t>35 percent&lt;x≤52.5 percent</m:t>
                </m:r>
              </m:oMath>
            </m:oMathPara>
          </w:p>
        </w:tc>
        <w:tc>
          <w:tcPr>
            <w:tcW w:w="1573" w:type="dxa"/>
            <w:shd w:val="clear" w:color="auto" w:fill="F2EEA8"/>
            <w:vAlign w:val="center"/>
          </w:tcPr>
          <w:p w14:paraId="149721E0" w14:textId="77777777" w:rsidR="00263E4F" w:rsidRPr="00741769" w:rsidRDefault="00263E4F" w:rsidP="00BC5846">
            <w:pPr>
              <w:jc w:val="both"/>
              <w:rPr>
                <w:rFonts w:ascii="Arial" w:hAnsi="Arial" w:cs="Arial"/>
                <w:sz w:val="18"/>
                <w:szCs w:val="20"/>
              </w:rPr>
            </w:pPr>
            <w:r w:rsidRPr="00741769">
              <w:rPr>
                <w:rFonts w:ascii="Arial" w:eastAsia="Times New Roman" w:hAnsi="Arial" w:cs="Arial"/>
                <w:color w:val="000000"/>
                <w:sz w:val="18"/>
                <w:szCs w:val="18"/>
                <w:lang w:eastAsia="it-IT"/>
              </w:rPr>
              <w:t>Yellow</w:t>
            </w:r>
          </w:p>
        </w:tc>
        <w:tc>
          <w:tcPr>
            <w:tcW w:w="3543" w:type="dxa"/>
            <w:shd w:val="clear" w:color="auto" w:fill="F2EEA8"/>
            <w:vAlign w:val="center"/>
          </w:tcPr>
          <w:p w14:paraId="04FB563C" w14:textId="77777777" w:rsidR="00263E4F" w:rsidRPr="00741769" w:rsidRDefault="00263E4F" w:rsidP="00BC5846">
            <w:pPr>
              <w:jc w:val="both"/>
              <w:rPr>
                <w:rFonts w:ascii="Arial" w:hAnsi="Arial" w:cs="Arial"/>
                <w:b/>
                <w:color w:val="FABF8F" w:themeColor="accent6" w:themeTint="99"/>
                <w:sz w:val="18"/>
                <w:szCs w:val="20"/>
              </w:rPr>
            </w:pPr>
            <w:r>
              <w:rPr>
                <w:rFonts w:ascii="Arial" w:hAnsi="Arial" w:cs="Arial"/>
                <w:sz w:val="18"/>
                <w:szCs w:val="20"/>
              </w:rPr>
              <w:t>Moderate distance to</w:t>
            </w:r>
            <w:r w:rsidRPr="00741769">
              <w:rPr>
                <w:rFonts w:ascii="Arial" w:hAnsi="Arial" w:cs="Arial"/>
                <w:sz w:val="18"/>
                <w:szCs w:val="20"/>
              </w:rPr>
              <w:t xml:space="preserve"> the target</w:t>
            </w:r>
          </w:p>
        </w:tc>
        <w:tc>
          <w:tcPr>
            <w:tcW w:w="1749" w:type="dxa"/>
            <w:shd w:val="clear" w:color="auto" w:fill="F2EEA8"/>
          </w:tcPr>
          <w:p w14:paraId="3927F6B1" w14:textId="77777777" w:rsidR="00263E4F" w:rsidRPr="00741769" w:rsidRDefault="00263E4F" w:rsidP="00BC5846">
            <w:pPr>
              <w:jc w:val="both"/>
              <w:rPr>
                <w:rFonts w:ascii="Arial" w:hAnsi="Arial" w:cs="Arial"/>
                <w:sz w:val="18"/>
                <w:szCs w:val="20"/>
              </w:rPr>
            </w:pPr>
            <w:r w:rsidRPr="00741769">
              <w:rPr>
                <w:rFonts w:ascii="Arial" w:hAnsi="Arial" w:cs="Arial"/>
                <w:sz w:val="18"/>
                <w:szCs w:val="20"/>
              </w:rPr>
              <w:t>3</w:t>
            </w:r>
          </w:p>
        </w:tc>
      </w:tr>
      <w:tr w:rsidR="00263E4F" w:rsidRPr="00741769" w14:paraId="638C551D" w14:textId="77777777" w:rsidTr="00BC5846">
        <w:trPr>
          <w:trHeight w:val="312"/>
          <w:jc w:val="center"/>
        </w:trPr>
        <w:tc>
          <w:tcPr>
            <w:tcW w:w="2689" w:type="dxa"/>
            <w:shd w:val="clear" w:color="auto" w:fill="FFC000"/>
            <w:vAlign w:val="center"/>
          </w:tcPr>
          <w:p w14:paraId="3A4B0C03" w14:textId="77777777" w:rsidR="00263E4F" w:rsidRPr="00741769" w:rsidRDefault="00263E4F" w:rsidP="00BC5846">
            <w:pPr>
              <w:jc w:val="both"/>
              <w:rPr>
                <w:rFonts w:ascii="Arial" w:hAnsi="Arial" w:cs="Arial"/>
                <w:b/>
                <w:sz w:val="18"/>
                <w:szCs w:val="20"/>
              </w:rPr>
            </w:pPr>
            <m:oMathPara>
              <m:oMath>
                <m:r>
                  <w:rPr>
                    <w:rFonts w:ascii="Cambria Math" w:hAnsi="Cambria Math" w:cs="Arial"/>
                    <w:sz w:val="18"/>
                    <w:szCs w:val="20"/>
                  </w:rPr>
                  <m:t>52.5 percent&lt;x≤70 percent</m:t>
                </m:r>
              </m:oMath>
            </m:oMathPara>
          </w:p>
        </w:tc>
        <w:tc>
          <w:tcPr>
            <w:tcW w:w="1573" w:type="dxa"/>
            <w:shd w:val="clear" w:color="auto" w:fill="FFC000"/>
            <w:vAlign w:val="center"/>
          </w:tcPr>
          <w:p w14:paraId="6C189C0A" w14:textId="77777777" w:rsidR="00263E4F" w:rsidRPr="00741769" w:rsidRDefault="00263E4F" w:rsidP="00BC5846">
            <w:pPr>
              <w:jc w:val="both"/>
              <w:rPr>
                <w:rFonts w:ascii="Arial" w:hAnsi="Arial" w:cs="Arial"/>
                <w:sz w:val="18"/>
                <w:szCs w:val="20"/>
              </w:rPr>
            </w:pPr>
            <w:r w:rsidRPr="00741769">
              <w:rPr>
                <w:rFonts w:ascii="Arial" w:eastAsia="Times New Roman" w:hAnsi="Arial" w:cs="Arial"/>
                <w:color w:val="000000"/>
                <w:sz w:val="18"/>
                <w:szCs w:val="18"/>
                <w:lang w:eastAsia="it-IT"/>
              </w:rPr>
              <w:t>Orange</w:t>
            </w:r>
          </w:p>
        </w:tc>
        <w:tc>
          <w:tcPr>
            <w:tcW w:w="3543" w:type="dxa"/>
            <w:shd w:val="clear" w:color="auto" w:fill="FFC000"/>
            <w:vAlign w:val="center"/>
          </w:tcPr>
          <w:p w14:paraId="07271A61" w14:textId="77777777" w:rsidR="00263E4F" w:rsidRPr="00741769" w:rsidRDefault="00263E4F" w:rsidP="00BC5846">
            <w:pPr>
              <w:jc w:val="both"/>
              <w:rPr>
                <w:rFonts w:ascii="Arial" w:hAnsi="Arial" w:cs="Arial"/>
                <w:b/>
                <w:color w:val="FFC000"/>
                <w:sz w:val="18"/>
                <w:szCs w:val="20"/>
              </w:rPr>
            </w:pPr>
            <w:r w:rsidRPr="00741769">
              <w:rPr>
                <w:rFonts w:ascii="Arial" w:hAnsi="Arial" w:cs="Arial"/>
                <w:sz w:val="18"/>
                <w:szCs w:val="20"/>
              </w:rPr>
              <w:t>Far from the target</w:t>
            </w:r>
          </w:p>
        </w:tc>
        <w:tc>
          <w:tcPr>
            <w:tcW w:w="1749" w:type="dxa"/>
            <w:shd w:val="clear" w:color="auto" w:fill="FFC000"/>
          </w:tcPr>
          <w:p w14:paraId="022BC0B3" w14:textId="77777777" w:rsidR="00263E4F" w:rsidRPr="00741769" w:rsidRDefault="00263E4F" w:rsidP="00BC5846">
            <w:pPr>
              <w:jc w:val="both"/>
              <w:rPr>
                <w:rFonts w:ascii="Arial" w:hAnsi="Arial" w:cs="Arial"/>
                <w:sz w:val="18"/>
                <w:szCs w:val="20"/>
              </w:rPr>
            </w:pPr>
            <w:r w:rsidRPr="00741769">
              <w:rPr>
                <w:rFonts w:ascii="Arial" w:hAnsi="Arial" w:cs="Arial"/>
                <w:sz w:val="18"/>
                <w:szCs w:val="20"/>
              </w:rPr>
              <w:t>2</w:t>
            </w:r>
          </w:p>
        </w:tc>
      </w:tr>
      <w:tr w:rsidR="00263E4F" w:rsidRPr="00741769" w14:paraId="51171B6F" w14:textId="77777777" w:rsidTr="00BC5846">
        <w:trPr>
          <w:trHeight w:val="291"/>
          <w:jc w:val="center"/>
        </w:trPr>
        <w:tc>
          <w:tcPr>
            <w:tcW w:w="2689" w:type="dxa"/>
            <w:shd w:val="clear" w:color="auto" w:fill="FF0000"/>
            <w:vAlign w:val="center"/>
          </w:tcPr>
          <w:p w14:paraId="19AA1B52" w14:textId="77777777" w:rsidR="00263E4F" w:rsidRPr="00741769" w:rsidRDefault="00263E4F" w:rsidP="00BC5846">
            <w:pPr>
              <w:jc w:val="both"/>
              <w:rPr>
                <w:rFonts w:ascii="Arial" w:hAnsi="Arial" w:cs="Arial"/>
                <w:b/>
                <w:color w:val="FFFFFF" w:themeColor="background1"/>
                <w:sz w:val="18"/>
                <w:szCs w:val="20"/>
              </w:rPr>
            </w:pPr>
            <m:oMathPara>
              <m:oMath>
                <m:r>
                  <w:rPr>
                    <w:rFonts w:ascii="Cambria Math" w:hAnsi="Cambria Math" w:cs="Arial"/>
                    <w:color w:val="FFFFFF" w:themeColor="background1"/>
                    <w:sz w:val="18"/>
                    <w:szCs w:val="20"/>
                  </w:rPr>
                  <m:t>x&gt;70 percent</m:t>
                </m:r>
              </m:oMath>
            </m:oMathPara>
          </w:p>
        </w:tc>
        <w:tc>
          <w:tcPr>
            <w:tcW w:w="1573" w:type="dxa"/>
            <w:shd w:val="clear" w:color="auto" w:fill="FF0000"/>
            <w:vAlign w:val="center"/>
          </w:tcPr>
          <w:p w14:paraId="2DE6E4D8" w14:textId="77777777" w:rsidR="00263E4F" w:rsidRPr="00741769" w:rsidRDefault="00263E4F" w:rsidP="00BC5846">
            <w:pPr>
              <w:jc w:val="both"/>
              <w:rPr>
                <w:rFonts w:ascii="Arial" w:hAnsi="Arial" w:cs="Arial"/>
                <w:color w:val="FFFFFF" w:themeColor="background1"/>
                <w:sz w:val="18"/>
                <w:szCs w:val="20"/>
              </w:rPr>
            </w:pPr>
            <w:r w:rsidRPr="00741769">
              <w:rPr>
                <w:rFonts w:ascii="Arial" w:eastAsia="Times New Roman" w:hAnsi="Arial" w:cs="Arial"/>
                <w:color w:val="FFFFFF"/>
                <w:sz w:val="18"/>
                <w:szCs w:val="18"/>
                <w:lang w:eastAsia="it-IT"/>
              </w:rPr>
              <w:t>Red</w:t>
            </w:r>
          </w:p>
        </w:tc>
        <w:tc>
          <w:tcPr>
            <w:tcW w:w="3543" w:type="dxa"/>
            <w:shd w:val="clear" w:color="auto" w:fill="FF0000"/>
            <w:vAlign w:val="center"/>
          </w:tcPr>
          <w:p w14:paraId="0DE5F3F6" w14:textId="77777777" w:rsidR="00263E4F" w:rsidRPr="00741769" w:rsidRDefault="00263E4F" w:rsidP="00BC5846">
            <w:pPr>
              <w:jc w:val="both"/>
              <w:rPr>
                <w:rFonts w:ascii="Arial" w:hAnsi="Arial" w:cs="Arial"/>
                <w:b/>
                <w:color w:val="FFFFFF" w:themeColor="background1"/>
                <w:sz w:val="18"/>
                <w:szCs w:val="20"/>
              </w:rPr>
            </w:pPr>
            <w:r w:rsidRPr="00741769">
              <w:rPr>
                <w:rFonts w:ascii="Arial" w:hAnsi="Arial" w:cs="Arial"/>
                <w:color w:val="FFFFFF" w:themeColor="background1"/>
                <w:sz w:val="18"/>
                <w:szCs w:val="20"/>
              </w:rPr>
              <w:t>Very far from the target</w:t>
            </w:r>
          </w:p>
        </w:tc>
        <w:tc>
          <w:tcPr>
            <w:tcW w:w="1749" w:type="dxa"/>
            <w:shd w:val="clear" w:color="auto" w:fill="FF0000"/>
          </w:tcPr>
          <w:p w14:paraId="49CCCE67" w14:textId="77777777" w:rsidR="00263E4F" w:rsidRPr="00741769" w:rsidRDefault="00263E4F" w:rsidP="00BC5846">
            <w:pPr>
              <w:jc w:val="both"/>
              <w:rPr>
                <w:rFonts w:ascii="Arial" w:hAnsi="Arial" w:cs="Arial"/>
                <w:color w:val="FFFFFF" w:themeColor="background1"/>
                <w:sz w:val="18"/>
                <w:szCs w:val="20"/>
              </w:rPr>
            </w:pPr>
            <w:r w:rsidRPr="00741769">
              <w:rPr>
                <w:rFonts w:ascii="Arial" w:hAnsi="Arial" w:cs="Arial"/>
                <w:color w:val="FFFFFF" w:themeColor="background1"/>
                <w:sz w:val="18"/>
                <w:szCs w:val="20"/>
              </w:rPr>
              <w:t>1</w:t>
            </w:r>
          </w:p>
        </w:tc>
      </w:tr>
      <w:tr w:rsidR="00263E4F" w:rsidRPr="00741769" w14:paraId="5BC1DCA8" w14:textId="77777777" w:rsidTr="00BC5846">
        <w:trPr>
          <w:trHeight w:val="291"/>
          <w:jc w:val="center"/>
        </w:trPr>
        <w:tc>
          <w:tcPr>
            <w:tcW w:w="2689" w:type="dxa"/>
            <w:shd w:val="clear" w:color="auto" w:fill="BFBFBF" w:themeFill="background1" w:themeFillShade="BF"/>
            <w:vAlign w:val="center"/>
          </w:tcPr>
          <w:p w14:paraId="7E845F3E" w14:textId="77777777" w:rsidR="00263E4F" w:rsidRPr="00741769" w:rsidRDefault="00263E4F" w:rsidP="00BC5846">
            <w:pPr>
              <w:jc w:val="both"/>
              <w:rPr>
                <w:rFonts w:ascii="Arial" w:eastAsia="Calibri" w:hAnsi="Arial" w:cs="Arial"/>
                <w:color w:val="FFFFFF" w:themeColor="background1"/>
                <w:sz w:val="18"/>
                <w:szCs w:val="20"/>
              </w:rPr>
            </w:pPr>
            <w:r>
              <w:rPr>
                <w:rFonts w:ascii="Arial" w:eastAsia="Calibri" w:hAnsi="Arial" w:cs="Arial"/>
                <w:color w:val="FFFFFF" w:themeColor="background1"/>
                <w:sz w:val="18"/>
                <w:szCs w:val="20"/>
              </w:rPr>
              <w:t>None</w:t>
            </w:r>
          </w:p>
        </w:tc>
        <w:tc>
          <w:tcPr>
            <w:tcW w:w="1573" w:type="dxa"/>
            <w:shd w:val="clear" w:color="auto" w:fill="BFBFBF" w:themeFill="background1" w:themeFillShade="BF"/>
            <w:vAlign w:val="center"/>
          </w:tcPr>
          <w:p w14:paraId="3746B945" w14:textId="77777777" w:rsidR="00263E4F" w:rsidRPr="00741769" w:rsidRDefault="00263E4F" w:rsidP="00BC5846">
            <w:pPr>
              <w:jc w:val="both"/>
              <w:rPr>
                <w:rFonts w:ascii="Arial" w:hAnsi="Arial" w:cs="Arial"/>
                <w:color w:val="FFFFFF" w:themeColor="background1"/>
                <w:sz w:val="18"/>
                <w:szCs w:val="20"/>
              </w:rPr>
            </w:pPr>
            <w:r w:rsidRPr="00741769">
              <w:rPr>
                <w:rFonts w:ascii="Arial" w:eastAsia="Times New Roman" w:hAnsi="Arial" w:cs="Arial"/>
                <w:color w:val="FFFFFF"/>
                <w:sz w:val="18"/>
                <w:szCs w:val="18"/>
                <w:lang w:eastAsia="it-IT"/>
              </w:rPr>
              <w:t>Grey</w:t>
            </w:r>
          </w:p>
        </w:tc>
        <w:tc>
          <w:tcPr>
            <w:tcW w:w="3543" w:type="dxa"/>
            <w:shd w:val="clear" w:color="auto" w:fill="BFBFBF" w:themeFill="background1" w:themeFillShade="BF"/>
            <w:vAlign w:val="center"/>
          </w:tcPr>
          <w:p w14:paraId="2F3E6DB3" w14:textId="77777777" w:rsidR="00263E4F" w:rsidRPr="00741769" w:rsidRDefault="00263E4F" w:rsidP="00BC5846">
            <w:pPr>
              <w:jc w:val="both"/>
              <w:rPr>
                <w:rFonts w:ascii="Arial" w:hAnsi="Arial" w:cs="Arial"/>
                <w:color w:val="FFFFFF" w:themeColor="background1"/>
                <w:sz w:val="18"/>
                <w:szCs w:val="20"/>
              </w:rPr>
            </w:pPr>
            <w:r w:rsidRPr="00741769">
              <w:rPr>
                <w:rFonts w:ascii="Arial" w:hAnsi="Arial" w:cs="Arial"/>
                <w:color w:val="FFFFFF" w:themeColor="background1"/>
                <w:sz w:val="18"/>
                <w:szCs w:val="20"/>
              </w:rPr>
              <w:t>Missing data</w:t>
            </w:r>
          </w:p>
        </w:tc>
        <w:tc>
          <w:tcPr>
            <w:tcW w:w="1749" w:type="dxa"/>
            <w:shd w:val="clear" w:color="auto" w:fill="BFBFBF" w:themeFill="background1" w:themeFillShade="BF"/>
          </w:tcPr>
          <w:p w14:paraId="09033982" w14:textId="77777777" w:rsidR="00263E4F" w:rsidRPr="00741769" w:rsidRDefault="00263E4F" w:rsidP="00BC5846">
            <w:pPr>
              <w:jc w:val="both"/>
              <w:rPr>
                <w:rFonts w:ascii="Arial" w:hAnsi="Arial" w:cs="Arial"/>
                <w:color w:val="FFFFFF" w:themeColor="background1"/>
                <w:sz w:val="18"/>
                <w:szCs w:val="20"/>
              </w:rPr>
            </w:pPr>
            <w:r w:rsidRPr="00741769">
              <w:rPr>
                <w:rFonts w:ascii="Arial" w:hAnsi="Arial" w:cs="Arial"/>
                <w:color w:val="FFFFFF" w:themeColor="background1"/>
                <w:sz w:val="18"/>
                <w:szCs w:val="20"/>
              </w:rPr>
              <w:t>1</w:t>
            </w:r>
          </w:p>
        </w:tc>
      </w:tr>
    </w:tbl>
    <w:p w14:paraId="373B0E38" w14:textId="77777777" w:rsidR="00263E4F" w:rsidRDefault="00263E4F" w:rsidP="00263E4F">
      <w:pPr>
        <w:pStyle w:val="ListParagraph"/>
        <w:spacing w:after="160" w:line="259" w:lineRule="auto"/>
        <w:rPr>
          <w:b/>
        </w:rPr>
      </w:pPr>
    </w:p>
    <w:p w14:paraId="53E12677" w14:textId="77777777" w:rsidR="000C6FF6" w:rsidRDefault="000C6FF6" w:rsidP="00263E4F">
      <w:pPr>
        <w:pStyle w:val="ListParagraph"/>
        <w:spacing w:after="160" w:line="259" w:lineRule="auto"/>
        <w:rPr>
          <w:b/>
        </w:rPr>
      </w:pPr>
    </w:p>
    <w:p w14:paraId="6CF4AFA0" w14:textId="77777777" w:rsidR="00F51111" w:rsidRDefault="00F51111" w:rsidP="00F51111">
      <w:pPr>
        <w:pStyle w:val="ListParagraph"/>
        <w:numPr>
          <w:ilvl w:val="0"/>
          <w:numId w:val="7"/>
        </w:numPr>
        <w:spacing w:after="160" w:line="259" w:lineRule="auto"/>
        <w:rPr>
          <w:b/>
        </w:rPr>
      </w:pPr>
      <w:r>
        <w:rPr>
          <w:b/>
        </w:rPr>
        <w:t>Nitrogen Use Efficiency</w:t>
      </w:r>
    </w:p>
    <w:p w14:paraId="2A222F17" w14:textId="77777777" w:rsidR="001464F5" w:rsidRDefault="001464F5" w:rsidP="001464F5">
      <w:r>
        <w:t>For the cropland nitrogen use efficiency (NUE), the desired range is between 50% to 90%, based on a scientifically determined optimal target between 65% and 80%</w:t>
      </w:r>
      <w:r>
        <w:rPr>
          <w:rStyle w:val="FootnoteReference"/>
        </w:rPr>
        <w:footnoteReference w:id="2"/>
      </w:r>
      <w:r>
        <w:t>. T</w:t>
      </w:r>
      <w:r w:rsidRPr="001E3E00">
        <w:t xml:space="preserve">he assessment of the </w:t>
      </w:r>
      <w:proofErr w:type="gramStart"/>
      <w:r w:rsidRPr="001E3E00">
        <w:t>current status</w:t>
      </w:r>
      <w:proofErr w:type="gramEnd"/>
      <w:r w:rsidRPr="001E3E00">
        <w:t xml:space="preserve"> (last available data) will be conducted by calculating the distance</w:t>
      </w:r>
      <w:r>
        <w:t xml:space="preserve"> to the </w:t>
      </w:r>
      <w:r w:rsidRPr="001E3E00">
        <w:t xml:space="preserve">target as </w:t>
      </w:r>
      <w:r>
        <w:t xml:space="preserve">shown below. The cropland NUE value </w:t>
      </w:r>
      <w:r w:rsidRPr="00A31A31">
        <w:rPr>
          <w:i/>
          <w:iCs/>
        </w:rPr>
        <w:t>x</w:t>
      </w:r>
      <w:r>
        <w:t xml:space="preserve"> for country </w:t>
      </w:r>
      <w:proofErr w:type="spellStart"/>
      <w:r w:rsidRPr="00A31A31">
        <w:rPr>
          <w:i/>
          <w:iCs/>
        </w:rPr>
        <w:t>i</w:t>
      </w:r>
      <w:proofErr w:type="spellEnd"/>
      <w:r>
        <w:t xml:space="preserve"> in year </w:t>
      </w:r>
      <w:r w:rsidRPr="00A31A31">
        <w:rPr>
          <w:i/>
          <w:iCs/>
        </w:rPr>
        <w:t>t</w:t>
      </w:r>
      <w:r>
        <w:rPr>
          <w:i/>
          <w:iCs/>
        </w:rPr>
        <w:t xml:space="preserve"> </w:t>
      </w:r>
      <w:r>
        <w:t>will be assessed as follows:</w:t>
      </w:r>
    </w:p>
    <w:tbl>
      <w:tblPr>
        <w:tblStyle w:val="TableGrid"/>
        <w:tblW w:w="9554" w:type="dxa"/>
        <w:tblInd w:w="-6" w:type="dxa"/>
        <w:tblLook w:val="04A0" w:firstRow="1" w:lastRow="0" w:firstColumn="1" w:lastColumn="0" w:noHBand="0" w:noVBand="1"/>
      </w:tblPr>
      <w:tblGrid>
        <w:gridCol w:w="2689"/>
        <w:gridCol w:w="1573"/>
        <w:gridCol w:w="3543"/>
        <w:gridCol w:w="1749"/>
      </w:tblGrid>
      <w:tr w:rsidR="001464F5" w14:paraId="2C836939" w14:textId="77777777" w:rsidTr="00BC5846">
        <w:trPr>
          <w:trHeight w:val="291"/>
        </w:trPr>
        <w:tc>
          <w:tcPr>
            <w:tcW w:w="2689" w:type="dxa"/>
            <w:tcBorders>
              <w:top w:val="single" w:sz="4" w:space="0" w:color="auto"/>
              <w:left w:val="single" w:sz="4" w:space="0" w:color="auto"/>
              <w:bottom w:val="single" w:sz="4" w:space="0" w:color="auto"/>
              <w:right w:val="single" w:sz="4" w:space="0" w:color="auto"/>
            </w:tcBorders>
            <w:shd w:val="clear" w:color="auto" w:fill="002060"/>
            <w:hideMark/>
          </w:tcPr>
          <w:p w14:paraId="7C755527" w14:textId="77777777" w:rsidR="001464F5" w:rsidRDefault="001464F5" w:rsidP="00BC5846">
            <w:pPr>
              <w:jc w:val="both"/>
              <w:rPr>
                <w:rFonts w:ascii="Arial" w:hAnsi="Arial" w:cs="Arial"/>
                <w:b/>
                <w:color w:val="FFFFFF" w:themeColor="background1"/>
                <w:sz w:val="18"/>
                <w:szCs w:val="20"/>
              </w:rPr>
            </w:pPr>
            <w:r>
              <w:rPr>
                <w:rFonts w:ascii="Arial" w:hAnsi="Arial" w:cs="Arial"/>
                <w:b/>
                <w:bCs/>
                <w:sz w:val="18"/>
                <w:szCs w:val="18"/>
              </w:rPr>
              <w:t>Bounds</w:t>
            </w:r>
          </w:p>
        </w:tc>
        <w:tc>
          <w:tcPr>
            <w:tcW w:w="1573" w:type="dxa"/>
            <w:tcBorders>
              <w:top w:val="single" w:sz="4" w:space="0" w:color="auto"/>
              <w:left w:val="single" w:sz="4" w:space="0" w:color="auto"/>
              <w:bottom w:val="single" w:sz="4" w:space="0" w:color="auto"/>
              <w:right w:val="single" w:sz="4" w:space="0" w:color="auto"/>
            </w:tcBorders>
            <w:shd w:val="clear" w:color="auto" w:fill="002060"/>
            <w:vAlign w:val="center"/>
            <w:hideMark/>
          </w:tcPr>
          <w:p w14:paraId="3C50A42B" w14:textId="77777777" w:rsidR="001464F5" w:rsidRDefault="001464F5" w:rsidP="00BC5846">
            <w:pPr>
              <w:jc w:val="both"/>
              <w:rPr>
                <w:rFonts w:ascii="Arial" w:hAnsi="Arial" w:cs="Arial"/>
                <w:b/>
                <w:sz w:val="18"/>
                <w:szCs w:val="20"/>
              </w:rPr>
            </w:pPr>
            <w:proofErr w:type="spellStart"/>
            <w:r>
              <w:rPr>
                <w:rFonts w:ascii="Arial" w:hAnsi="Arial" w:cs="Arial"/>
                <w:b/>
                <w:bCs/>
                <w:color w:val="FFFFFF"/>
                <w:sz w:val="18"/>
                <w:szCs w:val="18"/>
                <w:lang w:eastAsia="it-IT"/>
              </w:rPr>
              <w:t>Color</w:t>
            </w:r>
            <w:proofErr w:type="spellEnd"/>
          </w:p>
        </w:tc>
        <w:tc>
          <w:tcPr>
            <w:tcW w:w="3543" w:type="dxa"/>
            <w:tcBorders>
              <w:top w:val="single" w:sz="4" w:space="0" w:color="auto"/>
              <w:left w:val="single" w:sz="4" w:space="0" w:color="auto"/>
              <w:bottom w:val="single" w:sz="4" w:space="0" w:color="auto"/>
              <w:right w:val="single" w:sz="4" w:space="0" w:color="auto"/>
            </w:tcBorders>
            <w:shd w:val="clear" w:color="auto" w:fill="002060"/>
            <w:hideMark/>
          </w:tcPr>
          <w:p w14:paraId="7CB6C7C8" w14:textId="77777777" w:rsidR="001464F5" w:rsidRDefault="001464F5" w:rsidP="00BC5846">
            <w:pPr>
              <w:jc w:val="both"/>
              <w:rPr>
                <w:rFonts w:ascii="Arial" w:hAnsi="Arial" w:cs="Arial"/>
                <w:b/>
                <w:color w:val="FFFFFF" w:themeColor="background1"/>
                <w:sz w:val="18"/>
                <w:szCs w:val="20"/>
              </w:rPr>
            </w:pPr>
            <w:r>
              <w:rPr>
                <w:rFonts w:ascii="Arial" w:hAnsi="Arial" w:cs="Arial"/>
                <w:b/>
                <w:bCs/>
                <w:sz w:val="18"/>
                <w:szCs w:val="18"/>
              </w:rPr>
              <w:t>Meaning</w:t>
            </w:r>
          </w:p>
        </w:tc>
        <w:tc>
          <w:tcPr>
            <w:tcW w:w="1749" w:type="dxa"/>
            <w:tcBorders>
              <w:top w:val="single" w:sz="4" w:space="0" w:color="auto"/>
              <w:left w:val="single" w:sz="4" w:space="0" w:color="auto"/>
              <w:bottom w:val="single" w:sz="4" w:space="0" w:color="auto"/>
              <w:right w:val="single" w:sz="4" w:space="0" w:color="auto"/>
            </w:tcBorders>
            <w:shd w:val="clear" w:color="auto" w:fill="002060"/>
            <w:hideMark/>
          </w:tcPr>
          <w:p w14:paraId="0B1B2C69" w14:textId="77777777" w:rsidR="001464F5" w:rsidRDefault="001464F5" w:rsidP="00BC5846">
            <w:pPr>
              <w:jc w:val="both"/>
              <w:rPr>
                <w:rFonts w:ascii="Arial" w:hAnsi="Arial" w:cs="Arial"/>
                <w:b/>
                <w:color w:val="FFFFFF" w:themeColor="background1"/>
                <w:sz w:val="18"/>
                <w:szCs w:val="20"/>
              </w:rPr>
            </w:pPr>
            <w:r>
              <w:rPr>
                <w:rFonts w:ascii="Arial" w:hAnsi="Arial" w:cs="Arial"/>
                <w:b/>
                <w:bCs/>
                <w:color w:val="FFFFFF"/>
                <w:sz w:val="18"/>
                <w:szCs w:val="18"/>
              </w:rPr>
              <w:t>Score</w:t>
            </w:r>
          </w:p>
        </w:tc>
      </w:tr>
      <w:tr w:rsidR="001464F5" w14:paraId="0E58FE33" w14:textId="77777777" w:rsidTr="00915E7A">
        <w:trPr>
          <w:trHeight w:val="312"/>
        </w:trPr>
        <w:tc>
          <w:tcPr>
            <w:tcW w:w="2689" w:type="dxa"/>
            <w:tcBorders>
              <w:top w:val="single" w:sz="4" w:space="0" w:color="auto"/>
              <w:left w:val="single" w:sz="4" w:space="0" w:color="auto"/>
              <w:bottom w:val="single" w:sz="4" w:space="0" w:color="auto"/>
              <w:right w:val="single" w:sz="4" w:space="0" w:color="auto"/>
            </w:tcBorders>
            <w:shd w:val="clear" w:color="auto" w:fill="4F6228" w:themeFill="accent3" w:themeFillShade="80"/>
            <w:vAlign w:val="center"/>
            <w:hideMark/>
          </w:tcPr>
          <w:p w14:paraId="48688892" w14:textId="2AE282CC" w:rsidR="001464F5" w:rsidRDefault="001464F5" w:rsidP="00BC5846">
            <w:pPr>
              <w:jc w:val="center"/>
              <w:rPr>
                <w:rFonts w:ascii="Arial" w:hAnsi="Arial" w:cs="Arial"/>
                <w:b/>
                <w:color w:val="FFFFFF" w:themeColor="background1"/>
                <w:sz w:val="18"/>
                <w:szCs w:val="20"/>
              </w:rPr>
            </w:pPr>
            <m:oMathPara>
              <m:oMath>
                <m:r>
                  <w:rPr>
                    <w:rFonts w:ascii="Cambria Math" w:hAnsi="Cambria Math"/>
                    <w:color w:val="FFFFFF"/>
                    <w:sz w:val="20"/>
                    <w:szCs w:val="20"/>
                  </w:rPr>
                  <m:t>50%</m:t>
                </m:r>
                <m:r>
                  <w:rPr>
                    <w:rFonts w:ascii="Cambria Math" w:hAnsi="Cambria Math" w:hint="eastAsia"/>
                    <w:color w:val="FFFFFF"/>
                    <w:sz w:val="20"/>
                    <w:szCs w:val="20"/>
                  </w:rPr>
                  <m:t>≤</m:t>
                </m:r>
                <m:sSub>
                  <m:sSubPr>
                    <m:ctrlPr>
                      <w:rPr>
                        <w:rFonts w:ascii="Cambria Math" w:hAnsi="Cambria Math" w:cs="Calibri"/>
                        <w:i/>
                        <w:iCs/>
                        <w:color w:val="FFFFFF"/>
                        <w:sz w:val="20"/>
                        <w:szCs w:val="20"/>
                      </w:rPr>
                    </m:ctrlPr>
                  </m:sSubPr>
                  <m:e>
                    <m:r>
                      <w:rPr>
                        <w:rFonts w:ascii="Cambria Math" w:hAnsi="Cambria Math"/>
                        <w:color w:val="FFFFFF"/>
                        <w:sz w:val="20"/>
                        <w:szCs w:val="20"/>
                      </w:rPr>
                      <m:t>x</m:t>
                    </m:r>
                  </m:e>
                  <m:sub>
                    <m:r>
                      <w:rPr>
                        <w:rFonts w:ascii="Cambria Math" w:hAnsi="Cambria Math"/>
                        <w:color w:val="FFFFFF"/>
                        <w:sz w:val="20"/>
                        <w:szCs w:val="20"/>
                      </w:rPr>
                      <m:t>i,t</m:t>
                    </m:r>
                  </m:sub>
                </m:sSub>
                <m:r>
                  <w:rPr>
                    <w:rFonts w:ascii="Cambria Math" w:hAnsi="Cambria Math"/>
                    <w:color w:val="FFFFFF"/>
                    <w:sz w:val="20"/>
                    <w:szCs w:val="20"/>
                  </w:rPr>
                  <m:t>≤90%</m:t>
                </m:r>
              </m:oMath>
            </m:oMathPara>
          </w:p>
        </w:tc>
        <w:tc>
          <w:tcPr>
            <w:tcW w:w="1573" w:type="dxa"/>
            <w:tcBorders>
              <w:top w:val="single" w:sz="4" w:space="0" w:color="auto"/>
              <w:left w:val="single" w:sz="4" w:space="0" w:color="auto"/>
              <w:bottom w:val="single" w:sz="4" w:space="0" w:color="auto"/>
              <w:right w:val="single" w:sz="4" w:space="0" w:color="auto"/>
            </w:tcBorders>
            <w:shd w:val="clear" w:color="auto" w:fill="4F6228" w:themeFill="accent3" w:themeFillShade="80"/>
            <w:vAlign w:val="center"/>
            <w:hideMark/>
          </w:tcPr>
          <w:p w14:paraId="6D4C3336" w14:textId="77777777" w:rsidR="001464F5" w:rsidRDefault="001464F5" w:rsidP="00BC5846">
            <w:pPr>
              <w:jc w:val="both"/>
              <w:rPr>
                <w:rFonts w:ascii="Arial" w:hAnsi="Arial" w:cs="Arial"/>
                <w:color w:val="FFFFFF" w:themeColor="background1"/>
                <w:sz w:val="18"/>
                <w:szCs w:val="20"/>
              </w:rPr>
            </w:pPr>
            <w:r>
              <w:rPr>
                <w:rFonts w:ascii="Arial" w:hAnsi="Arial" w:cs="Arial"/>
                <w:color w:val="FFFFFF"/>
                <w:sz w:val="18"/>
                <w:szCs w:val="18"/>
                <w:lang w:eastAsia="it-IT"/>
              </w:rPr>
              <w:t>Dark green</w:t>
            </w:r>
          </w:p>
        </w:tc>
        <w:tc>
          <w:tcPr>
            <w:tcW w:w="3543" w:type="dxa"/>
            <w:tcBorders>
              <w:top w:val="single" w:sz="4" w:space="0" w:color="auto"/>
              <w:left w:val="single" w:sz="4" w:space="0" w:color="auto"/>
              <w:bottom w:val="single" w:sz="4" w:space="0" w:color="auto"/>
              <w:right w:val="single" w:sz="4" w:space="0" w:color="auto"/>
            </w:tcBorders>
            <w:shd w:val="clear" w:color="auto" w:fill="4F6228" w:themeFill="accent3" w:themeFillShade="80"/>
            <w:vAlign w:val="center"/>
            <w:hideMark/>
          </w:tcPr>
          <w:p w14:paraId="1F558738" w14:textId="77777777" w:rsidR="001464F5" w:rsidRDefault="001464F5" w:rsidP="00BC5846">
            <w:pPr>
              <w:jc w:val="both"/>
              <w:rPr>
                <w:rFonts w:ascii="Arial" w:hAnsi="Arial" w:cs="Arial"/>
                <w:b/>
                <w:color w:val="FFFFFF" w:themeColor="background1"/>
                <w:sz w:val="18"/>
                <w:szCs w:val="20"/>
              </w:rPr>
            </w:pPr>
            <w:r>
              <w:rPr>
                <w:rFonts w:ascii="Arial" w:hAnsi="Arial" w:cs="Arial"/>
                <w:color w:val="FFFFFF"/>
                <w:sz w:val="18"/>
                <w:szCs w:val="18"/>
              </w:rPr>
              <w:t>Target already met</w:t>
            </w:r>
          </w:p>
        </w:tc>
        <w:tc>
          <w:tcPr>
            <w:tcW w:w="1749" w:type="dxa"/>
            <w:tcBorders>
              <w:top w:val="single" w:sz="4" w:space="0" w:color="auto"/>
              <w:left w:val="single" w:sz="4" w:space="0" w:color="auto"/>
              <w:bottom w:val="single" w:sz="4" w:space="0" w:color="auto"/>
              <w:right w:val="single" w:sz="4" w:space="0" w:color="auto"/>
            </w:tcBorders>
            <w:shd w:val="clear" w:color="auto" w:fill="4F6228" w:themeFill="accent3" w:themeFillShade="80"/>
            <w:hideMark/>
          </w:tcPr>
          <w:p w14:paraId="2F3138B3" w14:textId="77777777" w:rsidR="001464F5" w:rsidRDefault="001464F5" w:rsidP="00BC5846">
            <w:pPr>
              <w:jc w:val="both"/>
              <w:rPr>
                <w:rFonts w:ascii="Arial" w:hAnsi="Arial" w:cs="Arial"/>
                <w:color w:val="FFFFFF" w:themeColor="background1"/>
                <w:sz w:val="18"/>
                <w:szCs w:val="20"/>
              </w:rPr>
            </w:pPr>
            <w:r>
              <w:rPr>
                <w:rFonts w:ascii="Arial" w:hAnsi="Arial" w:cs="Arial"/>
                <w:color w:val="FFFFFF"/>
                <w:sz w:val="18"/>
                <w:szCs w:val="18"/>
              </w:rPr>
              <w:t>5</w:t>
            </w:r>
          </w:p>
        </w:tc>
      </w:tr>
      <w:tr w:rsidR="00380568" w14:paraId="79E15DF0" w14:textId="77777777" w:rsidTr="00915E7A">
        <w:trPr>
          <w:trHeight w:val="291"/>
        </w:trPr>
        <w:tc>
          <w:tcPr>
            <w:tcW w:w="268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071CB5D6" w14:textId="4C35D4C8" w:rsidR="001464F5" w:rsidRDefault="001464F5" w:rsidP="00BC5846">
            <w:pPr>
              <w:jc w:val="both"/>
              <w:rPr>
                <w:rFonts w:ascii="Arial" w:hAnsi="Arial" w:cs="Arial"/>
                <w:sz w:val="20"/>
                <w:szCs w:val="20"/>
              </w:rPr>
            </w:pPr>
            <m:oMathPara>
              <m:oMath>
                <m:r>
                  <w:rPr>
                    <w:rFonts w:ascii="Cambria Math" w:hAnsi="Cambria Math"/>
                    <w:sz w:val="20"/>
                    <w:szCs w:val="20"/>
                  </w:rPr>
                  <m:t>45%≤</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i,t</m:t>
                    </m:r>
                  </m:sub>
                </m:sSub>
                <m:r>
                  <w:rPr>
                    <w:rFonts w:ascii="Cambria Math" w:hAnsi="Cambria Math"/>
                    <w:sz w:val="20"/>
                    <w:szCs w:val="20"/>
                  </w:rPr>
                  <m:t>&lt;50%</m:t>
                </m:r>
              </m:oMath>
            </m:oMathPara>
          </w:p>
          <w:p w14:paraId="737874E8" w14:textId="4830D958" w:rsidR="001464F5" w:rsidRDefault="001464F5" w:rsidP="00BC5846">
            <w:pPr>
              <w:jc w:val="both"/>
              <w:rPr>
                <w:rFonts w:ascii="Arial" w:hAnsi="Arial" w:cs="Arial"/>
                <w:b/>
                <w:sz w:val="18"/>
                <w:szCs w:val="20"/>
              </w:rPr>
            </w:pPr>
            <m:oMathPara>
              <m:oMath>
                <m:r>
                  <w:rPr>
                    <w:rFonts w:ascii="Cambria Math" w:hAnsi="Cambria Math"/>
                    <w:sz w:val="20"/>
                    <w:szCs w:val="20"/>
                  </w:rPr>
                  <m:t>90%&lt;</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i,t</m:t>
                    </m:r>
                  </m:sub>
                </m:sSub>
                <m:r>
                  <w:rPr>
                    <w:rFonts w:ascii="Cambria Math" w:hAnsi="Cambria Math"/>
                    <w:sz w:val="20"/>
                    <w:szCs w:val="20"/>
                  </w:rPr>
                  <m:t>≤95%</m:t>
                </m:r>
              </m:oMath>
            </m:oMathPara>
          </w:p>
        </w:tc>
        <w:tc>
          <w:tcPr>
            <w:tcW w:w="1573"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6F29E1E3" w14:textId="77777777" w:rsidR="001464F5" w:rsidRDefault="001464F5" w:rsidP="00BC5846">
            <w:pPr>
              <w:jc w:val="both"/>
              <w:rPr>
                <w:rFonts w:ascii="Arial" w:hAnsi="Arial" w:cs="Arial"/>
                <w:sz w:val="18"/>
                <w:szCs w:val="20"/>
              </w:rPr>
            </w:pPr>
            <w:r>
              <w:rPr>
                <w:rFonts w:ascii="Arial" w:hAnsi="Arial" w:cs="Arial"/>
                <w:color w:val="000000"/>
                <w:sz w:val="18"/>
                <w:szCs w:val="18"/>
                <w:lang w:eastAsia="it-IT"/>
              </w:rPr>
              <w:t>Light green</w:t>
            </w:r>
          </w:p>
        </w:tc>
        <w:tc>
          <w:tcPr>
            <w:tcW w:w="3543"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34CBBA2D" w14:textId="77777777" w:rsidR="001464F5" w:rsidRDefault="001464F5" w:rsidP="00BC5846">
            <w:pPr>
              <w:jc w:val="both"/>
              <w:rPr>
                <w:rFonts w:ascii="Arial" w:hAnsi="Arial" w:cs="Arial"/>
                <w:b/>
                <w:color w:val="E36C0A" w:themeColor="accent6" w:themeShade="BF"/>
                <w:sz w:val="18"/>
                <w:szCs w:val="20"/>
              </w:rPr>
            </w:pPr>
            <w:r>
              <w:rPr>
                <w:rFonts w:ascii="Arial" w:hAnsi="Arial" w:cs="Arial"/>
                <w:sz w:val="18"/>
                <w:szCs w:val="18"/>
              </w:rPr>
              <w:t>Close to the target</w:t>
            </w:r>
          </w:p>
        </w:tc>
        <w:tc>
          <w:tcPr>
            <w:tcW w:w="1749"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6B21BCE" w14:textId="77777777" w:rsidR="001464F5" w:rsidRDefault="001464F5" w:rsidP="00BC5846">
            <w:pPr>
              <w:jc w:val="both"/>
              <w:rPr>
                <w:rFonts w:ascii="Arial" w:hAnsi="Arial" w:cs="Arial"/>
                <w:sz w:val="18"/>
                <w:szCs w:val="20"/>
              </w:rPr>
            </w:pPr>
            <w:r>
              <w:rPr>
                <w:rFonts w:ascii="Arial" w:hAnsi="Arial" w:cs="Arial"/>
                <w:sz w:val="18"/>
                <w:szCs w:val="18"/>
              </w:rPr>
              <w:t>4</w:t>
            </w:r>
          </w:p>
        </w:tc>
      </w:tr>
      <w:tr w:rsidR="00DF774F" w14:paraId="64719979" w14:textId="77777777" w:rsidTr="00DF774F">
        <w:trPr>
          <w:trHeight w:val="291"/>
        </w:trPr>
        <w:tc>
          <w:tcPr>
            <w:tcW w:w="2689" w:type="dxa"/>
            <w:tcBorders>
              <w:top w:val="single" w:sz="4" w:space="0" w:color="auto"/>
              <w:left w:val="single" w:sz="4" w:space="0" w:color="auto"/>
              <w:bottom w:val="single" w:sz="4" w:space="0" w:color="auto"/>
              <w:right w:val="single" w:sz="4" w:space="0" w:color="auto"/>
            </w:tcBorders>
            <w:shd w:val="clear" w:color="auto" w:fill="F2EEA8"/>
            <w:vAlign w:val="center"/>
            <w:hideMark/>
          </w:tcPr>
          <w:p w14:paraId="55DDB18E" w14:textId="74BD716E" w:rsidR="001464F5" w:rsidRDefault="001464F5" w:rsidP="00BC5846">
            <w:pPr>
              <w:jc w:val="both"/>
              <w:rPr>
                <w:sz w:val="20"/>
                <w:szCs w:val="20"/>
              </w:rPr>
            </w:pPr>
            <m:oMathPara>
              <m:oMath>
                <m:r>
                  <w:rPr>
                    <w:rFonts w:ascii="Cambria Math" w:hAnsi="Cambria Math"/>
                    <w:sz w:val="20"/>
                    <w:szCs w:val="20"/>
                  </w:rPr>
                  <m:t>40%≤</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i,t</m:t>
                    </m:r>
                  </m:sub>
                </m:sSub>
                <m:r>
                  <w:rPr>
                    <w:rFonts w:ascii="Cambria Math" w:hAnsi="Cambria Math"/>
                    <w:sz w:val="20"/>
                    <w:szCs w:val="20"/>
                  </w:rPr>
                  <m:t>&lt;45%</m:t>
                </m:r>
              </m:oMath>
            </m:oMathPara>
          </w:p>
          <w:p w14:paraId="34F167AF" w14:textId="22B58BCA" w:rsidR="001464F5" w:rsidRDefault="001464F5" w:rsidP="00BC5846">
            <w:pPr>
              <w:jc w:val="both"/>
              <w:rPr>
                <w:rFonts w:ascii="Arial" w:hAnsi="Arial" w:cs="Arial"/>
                <w:b/>
                <w:sz w:val="18"/>
                <w:szCs w:val="20"/>
              </w:rPr>
            </w:pPr>
            <m:oMathPara>
              <m:oMath>
                <m:r>
                  <w:rPr>
                    <w:rFonts w:ascii="Cambria Math" w:hAnsi="Cambria Math"/>
                    <w:sz w:val="20"/>
                    <w:szCs w:val="20"/>
                  </w:rPr>
                  <m:t>95%&lt;</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i,t</m:t>
                    </m:r>
                  </m:sub>
                </m:sSub>
                <m:r>
                  <w:rPr>
                    <w:rFonts w:ascii="Cambria Math" w:hAnsi="Cambria Math"/>
                    <w:sz w:val="20"/>
                    <w:szCs w:val="20"/>
                  </w:rPr>
                  <m:t>≤100%</m:t>
                </m:r>
              </m:oMath>
            </m:oMathPara>
          </w:p>
        </w:tc>
        <w:tc>
          <w:tcPr>
            <w:tcW w:w="1573" w:type="dxa"/>
            <w:tcBorders>
              <w:top w:val="single" w:sz="4" w:space="0" w:color="auto"/>
              <w:left w:val="single" w:sz="4" w:space="0" w:color="auto"/>
              <w:bottom w:val="single" w:sz="4" w:space="0" w:color="auto"/>
              <w:right w:val="single" w:sz="4" w:space="0" w:color="auto"/>
            </w:tcBorders>
            <w:shd w:val="clear" w:color="auto" w:fill="F2EEA8"/>
            <w:vAlign w:val="center"/>
            <w:hideMark/>
          </w:tcPr>
          <w:p w14:paraId="2C2368E9" w14:textId="77777777" w:rsidR="001464F5" w:rsidRDefault="001464F5" w:rsidP="00BC5846">
            <w:pPr>
              <w:jc w:val="both"/>
              <w:rPr>
                <w:rFonts w:ascii="Arial" w:hAnsi="Arial" w:cs="Arial"/>
                <w:sz w:val="18"/>
                <w:szCs w:val="20"/>
              </w:rPr>
            </w:pPr>
            <w:r>
              <w:rPr>
                <w:rFonts w:ascii="Arial" w:hAnsi="Arial" w:cs="Arial"/>
                <w:color w:val="000000"/>
                <w:sz w:val="18"/>
                <w:szCs w:val="18"/>
                <w:lang w:eastAsia="it-IT"/>
              </w:rPr>
              <w:t>Yellow</w:t>
            </w:r>
          </w:p>
        </w:tc>
        <w:tc>
          <w:tcPr>
            <w:tcW w:w="3543" w:type="dxa"/>
            <w:tcBorders>
              <w:top w:val="single" w:sz="4" w:space="0" w:color="auto"/>
              <w:left w:val="single" w:sz="4" w:space="0" w:color="auto"/>
              <w:bottom w:val="single" w:sz="4" w:space="0" w:color="auto"/>
              <w:right w:val="single" w:sz="4" w:space="0" w:color="auto"/>
            </w:tcBorders>
            <w:shd w:val="clear" w:color="auto" w:fill="F2EEA8"/>
            <w:vAlign w:val="center"/>
            <w:hideMark/>
          </w:tcPr>
          <w:p w14:paraId="657C7F4B" w14:textId="77777777" w:rsidR="001464F5" w:rsidRDefault="001464F5" w:rsidP="00BC5846">
            <w:pPr>
              <w:jc w:val="both"/>
              <w:rPr>
                <w:rFonts w:ascii="Arial" w:hAnsi="Arial" w:cs="Arial"/>
                <w:b/>
                <w:color w:val="FABF8F" w:themeColor="accent6" w:themeTint="99"/>
                <w:sz w:val="18"/>
                <w:szCs w:val="20"/>
              </w:rPr>
            </w:pPr>
            <w:r>
              <w:rPr>
                <w:rFonts w:ascii="Arial" w:hAnsi="Arial" w:cs="Arial"/>
                <w:sz w:val="18"/>
                <w:szCs w:val="18"/>
              </w:rPr>
              <w:t>Moderate distance to the target</w:t>
            </w:r>
          </w:p>
        </w:tc>
        <w:tc>
          <w:tcPr>
            <w:tcW w:w="1749" w:type="dxa"/>
            <w:tcBorders>
              <w:top w:val="single" w:sz="4" w:space="0" w:color="auto"/>
              <w:left w:val="single" w:sz="4" w:space="0" w:color="auto"/>
              <w:bottom w:val="single" w:sz="4" w:space="0" w:color="auto"/>
              <w:right w:val="single" w:sz="4" w:space="0" w:color="auto"/>
            </w:tcBorders>
            <w:shd w:val="clear" w:color="auto" w:fill="F2EEA8"/>
            <w:hideMark/>
          </w:tcPr>
          <w:p w14:paraId="742C597A" w14:textId="77777777" w:rsidR="001464F5" w:rsidRDefault="001464F5" w:rsidP="00BC5846">
            <w:pPr>
              <w:jc w:val="both"/>
              <w:rPr>
                <w:rFonts w:ascii="Arial" w:hAnsi="Arial" w:cs="Arial"/>
                <w:sz w:val="18"/>
                <w:szCs w:val="20"/>
              </w:rPr>
            </w:pPr>
            <w:r>
              <w:rPr>
                <w:rFonts w:ascii="Arial" w:hAnsi="Arial" w:cs="Arial"/>
                <w:sz w:val="18"/>
                <w:szCs w:val="18"/>
              </w:rPr>
              <w:t>3</w:t>
            </w:r>
          </w:p>
        </w:tc>
      </w:tr>
      <w:tr w:rsidR="001464F5" w14:paraId="29D26EF1" w14:textId="77777777" w:rsidTr="00BC5846">
        <w:trPr>
          <w:trHeight w:val="312"/>
        </w:trPr>
        <w:tc>
          <w:tcPr>
            <w:tcW w:w="2689"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519B668" w14:textId="589D7AC4" w:rsidR="001464F5" w:rsidRDefault="001464F5" w:rsidP="00BC5846">
            <w:pPr>
              <w:jc w:val="both"/>
              <w:rPr>
                <w:sz w:val="20"/>
                <w:szCs w:val="20"/>
              </w:rPr>
            </w:pPr>
            <m:oMathPara>
              <m:oMath>
                <m:r>
                  <w:rPr>
                    <w:rFonts w:ascii="Cambria Math" w:hAnsi="Cambria Math"/>
                    <w:sz w:val="20"/>
                    <w:szCs w:val="20"/>
                  </w:rPr>
                  <m:t>35%≤</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i,t</m:t>
                    </m:r>
                  </m:sub>
                </m:sSub>
                <m:r>
                  <w:rPr>
                    <w:rFonts w:ascii="Cambria Math" w:hAnsi="Cambria Math"/>
                    <w:sz w:val="20"/>
                    <w:szCs w:val="20"/>
                  </w:rPr>
                  <m:t>&lt;40%</m:t>
                </m:r>
              </m:oMath>
            </m:oMathPara>
          </w:p>
          <w:p w14:paraId="7677B2DB" w14:textId="2C7B844D" w:rsidR="001464F5" w:rsidRDefault="001464F5" w:rsidP="00BC5846">
            <w:pPr>
              <w:jc w:val="both"/>
              <w:rPr>
                <w:rFonts w:ascii="Arial" w:hAnsi="Arial" w:cs="Arial"/>
                <w:sz w:val="20"/>
                <w:szCs w:val="20"/>
              </w:rPr>
            </w:pPr>
            <m:oMathPara>
              <m:oMath>
                <m:r>
                  <w:rPr>
                    <w:rFonts w:ascii="Cambria Math" w:hAnsi="Cambria Math"/>
                    <w:sz w:val="20"/>
                    <w:szCs w:val="20"/>
                  </w:rPr>
                  <m:t>100%&lt;</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i,t</m:t>
                    </m:r>
                  </m:sub>
                </m:sSub>
                <m:r>
                  <w:rPr>
                    <w:rFonts w:ascii="Cambria Math" w:hAnsi="Cambria Math"/>
                    <w:sz w:val="20"/>
                    <w:szCs w:val="20"/>
                  </w:rPr>
                  <m:t>≤105%</m:t>
                </m:r>
              </m:oMath>
            </m:oMathPara>
          </w:p>
        </w:tc>
        <w:tc>
          <w:tcPr>
            <w:tcW w:w="1573"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9157E28" w14:textId="77777777" w:rsidR="001464F5" w:rsidRDefault="001464F5" w:rsidP="00BC5846">
            <w:pPr>
              <w:jc w:val="both"/>
              <w:rPr>
                <w:rFonts w:ascii="Arial" w:hAnsi="Arial" w:cs="Arial"/>
                <w:sz w:val="18"/>
                <w:szCs w:val="20"/>
              </w:rPr>
            </w:pPr>
            <w:r>
              <w:rPr>
                <w:rFonts w:ascii="Arial" w:hAnsi="Arial" w:cs="Arial"/>
                <w:color w:val="000000"/>
                <w:sz w:val="18"/>
                <w:szCs w:val="18"/>
                <w:lang w:eastAsia="it-IT"/>
              </w:rPr>
              <w:t>Orange</w:t>
            </w:r>
          </w:p>
        </w:tc>
        <w:tc>
          <w:tcPr>
            <w:tcW w:w="3543"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895B572" w14:textId="77777777" w:rsidR="001464F5" w:rsidRDefault="001464F5" w:rsidP="00BC5846">
            <w:pPr>
              <w:jc w:val="both"/>
              <w:rPr>
                <w:rFonts w:ascii="Arial" w:hAnsi="Arial" w:cs="Arial"/>
                <w:bCs/>
                <w:color w:val="FFC000"/>
                <w:sz w:val="18"/>
                <w:szCs w:val="20"/>
              </w:rPr>
            </w:pPr>
            <w:r>
              <w:rPr>
                <w:rFonts w:ascii="Arial" w:hAnsi="Arial" w:cs="Arial"/>
                <w:bCs/>
                <w:color w:val="000000" w:themeColor="text1"/>
                <w:sz w:val="18"/>
                <w:szCs w:val="20"/>
              </w:rPr>
              <w:t>Far from target</w:t>
            </w:r>
          </w:p>
        </w:tc>
        <w:tc>
          <w:tcPr>
            <w:tcW w:w="1749" w:type="dxa"/>
            <w:tcBorders>
              <w:top w:val="single" w:sz="4" w:space="0" w:color="auto"/>
              <w:left w:val="single" w:sz="4" w:space="0" w:color="auto"/>
              <w:bottom w:val="single" w:sz="4" w:space="0" w:color="auto"/>
              <w:right w:val="single" w:sz="4" w:space="0" w:color="auto"/>
            </w:tcBorders>
            <w:shd w:val="clear" w:color="auto" w:fill="FFC000"/>
            <w:hideMark/>
          </w:tcPr>
          <w:p w14:paraId="225ECC5A" w14:textId="77777777" w:rsidR="001464F5" w:rsidRDefault="001464F5" w:rsidP="00BC5846">
            <w:pPr>
              <w:jc w:val="both"/>
              <w:rPr>
                <w:rFonts w:ascii="Arial" w:hAnsi="Arial" w:cs="Arial"/>
                <w:sz w:val="18"/>
                <w:szCs w:val="20"/>
              </w:rPr>
            </w:pPr>
            <w:r>
              <w:rPr>
                <w:rFonts w:ascii="Arial" w:hAnsi="Arial" w:cs="Arial"/>
                <w:sz w:val="18"/>
                <w:szCs w:val="18"/>
              </w:rPr>
              <w:t>2</w:t>
            </w:r>
          </w:p>
        </w:tc>
      </w:tr>
      <w:tr w:rsidR="001464F5" w14:paraId="5C1B6D55" w14:textId="77777777" w:rsidTr="00BC5846">
        <w:trPr>
          <w:trHeight w:val="291"/>
        </w:trPr>
        <w:tc>
          <w:tcPr>
            <w:tcW w:w="2689"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08F6C9A7" w14:textId="198F424F" w:rsidR="001464F5" w:rsidRPr="00144A7D" w:rsidRDefault="002A733C" w:rsidP="00BC5846">
            <w:pPr>
              <w:jc w:val="both"/>
              <w:rPr>
                <w:rFonts w:ascii="Arial" w:hAnsi="Arial" w:cs="Arial"/>
                <w:color w:val="FFFFFF"/>
                <w:sz w:val="20"/>
                <w:szCs w:val="20"/>
              </w:rPr>
            </w:pPr>
            <m:oMathPara>
              <m:oMath>
                <m:sSub>
                  <m:sSubPr>
                    <m:ctrlPr>
                      <w:rPr>
                        <w:rFonts w:ascii="Cambria Math" w:hAnsi="Cambria Math"/>
                        <w:i/>
                        <w:color w:val="FFFFFF" w:themeColor="background1"/>
                        <w:sz w:val="20"/>
                        <w:szCs w:val="20"/>
                      </w:rPr>
                    </m:ctrlPr>
                  </m:sSubPr>
                  <m:e>
                    <m:r>
                      <w:rPr>
                        <w:rFonts w:ascii="Cambria Math" w:hAnsi="Cambria Math"/>
                        <w:color w:val="FFFFFF" w:themeColor="background1"/>
                        <w:sz w:val="20"/>
                        <w:szCs w:val="20"/>
                      </w:rPr>
                      <m:t>x</m:t>
                    </m:r>
                  </m:e>
                  <m:sub>
                    <m:r>
                      <w:rPr>
                        <w:rFonts w:ascii="Cambria Math" w:hAnsi="Cambria Math"/>
                        <w:color w:val="FFFFFF" w:themeColor="background1"/>
                        <w:sz w:val="20"/>
                        <w:szCs w:val="20"/>
                      </w:rPr>
                      <m:t>i,t</m:t>
                    </m:r>
                  </m:sub>
                </m:sSub>
                <m:r>
                  <w:rPr>
                    <w:rFonts w:ascii="Cambria Math" w:hAnsi="Cambria Math"/>
                    <w:color w:val="EEECE1" w:themeColor="background2"/>
                    <w:sz w:val="20"/>
                    <w:szCs w:val="20"/>
                  </w:rPr>
                  <m:t>&lt;</m:t>
                </m:r>
                <m:r>
                  <w:rPr>
                    <w:rFonts w:ascii="Cambria Math" w:hAnsi="Cambria Math"/>
                    <w:color w:val="FFFFFF"/>
                    <w:sz w:val="20"/>
                    <w:szCs w:val="20"/>
                  </w:rPr>
                  <m:t>35%</m:t>
                </m:r>
              </m:oMath>
            </m:oMathPara>
          </w:p>
          <w:p w14:paraId="7EA2C4AF" w14:textId="77777777" w:rsidR="001464F5" w:rsidRPr="00144A7D" w:rsidRDefault="002A733C" w:rsidP="00BC5846">
            <w:pPr>
              <w:jc w:val="both"/>
              <w:rPr>
                <w:rFonts w:ascii="Arial" w:hAnsi="Arial" w:cs="Arial"/>
                <w:color w:val="FFFFFF"/>
                <w:sz w:val="20"/>
                <w:szCs w:val="20"/>
              </w:rPr>
            </w:pPr>
            <m:oMathPara>
              <m:oMath>
                <m:sSub>
                  <m:sSubPr>
                    <m:ctrlPr>
                      <w:rPr>
                        <w:rFonts w:ascii="Cambria Math" w:hAnsi="Cambria Math"/>
                        <w:i/>
                        <w:color w:val="FFFFFF" w:themeColor="background1"/>
                        <w:sz w:val="20"/>
                        <w:szCs w:val="20"/>
                      </w:rPr>
                    </m:ctrlPr>
                  </m:sSubPr>
                  <m:e>
                    <m:r>
                      <w:rPr>
                        <w:rFonts w:ascii="Cambria Math" w:hAnsi="Cambria Math"/>
                        <w:color w:val="FFFFFF" w:themeColor="background1"/>
                        <w:sz w:val="20"/>
                        <w:szCs w:val="20"/>
                      </w:rPr>
                      <m:t>x</m:t>
                    </m:r>
                  </m:e>
                  <m:sub>
                    <m:r>
                      <w:rPr>
                        <w:rFonts w:ascii="Cambria Math" w:hAnsi="Cambria Math"/>
                        <w:color w:val="FFFFFF" w:themeColor="background1"/>
                        <w:sz w:val="20"/>
                        <w:szCs w:val="20"/>
                      </w:rPr>
                      <m:t>i,t</m:t>
                    </m:r>
                  </m:sub>
                </m:sSub>
                <m:r>
                  <w:rPr>
                    <w:rFonts w:ascii="Cambria Math" w:hAnsi="Cambria Math" w:cs="Arial"/>
                    <w:color w:val="FFFFFF" w:themeColor="background1"/>
                    <w:sz w:val="20"/>
                    <w:szCs w:val="20"/>
                  </w:rPr>
                  <m:t>&gt;</m:t>
                </m:r>
                <m:r>
                  <w:rPr>
                    <w:rFonts w:ascii="Cambria Math" w:hAnsi="Cambria Math"/>
                    <w:color w:val="FFFFFF" w:themeColor="background1"/>
                    <w:sz w:val="20"/>
                    <w:szCs w:val="20"/>
                  </w:rPr>
                  <m:t>105</m:t>
                </m:r>
                <m:r>
                  <w:rPr>
                    <w:rFonts w:ascii="Cambria Math" w:hAnsi="Cambria Math"/>
                    <w:color w:val="FFFFFF"/>
                    <w:sz w:val="20"/>
                    <w:szCs w:val="20"/>
                  </w:rPr>
                  <m:t>%</m:t>
                </m:r>
              </m:oMath>
            </m:oMathPara>
          </w:p>
          <w:p w14:paraId="4560768B" w14:textId="77777777" w:rsidR="001464F5" w:rsidRDefault="001464F5" w:rsidP="00BC5846">
            <w:pPr>
              <w:jc w:val="both"/>
              <w:rPr>
                <w:rFonts w:ascii="Arial" w:hAnsi="Arial" w:cs="Arial"/>
                <w:b/>
                <w:color w:val="FFFFFF" w:themeColor="background1"/>
                <w:sz w:val="18"/>
                <w:szCs w:val="20"/>
              </w:rPr>
            </w:pPr>
          </w:p>
        </w:tc>
        <w:tc>
          <w:tcPr>
            <w:tcW w:w="157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0B08DD6" w14:textId="77777777" w:rsidR="001464F5" w:rsidRDefault="001464F5" w:rsidP="00BC5846">
            <w:pPr>
              <w:jc w:val="both"/>
              <w:rPr>
                <w:rFonts w:ascii="Arial" w:hAnsi="Arial" w:cs="Arial"/>
                <w:color w:val="FFFFFF" w:themeColor="background1"/>
                <w:sz w:val="18"/>
                <w:szCs w:val="20"/>
              </w:rPr>
            </w:pPr>
            <w:r>
              <w:rPr>
                <w:rFonts w:ascii="Arial" w:hAnsi="Arial" w:cs="Arial"/>
                <w:color w:val="FFFFFF"/>
                <w:sz w:val="18"/>
                <w:szCs w:val="18"/>
                <w:lang w:eastAsia="it-IT"/>
              </w:rPr>
              <w:t>Red</w:t>
            </w:r>
          </w:p>
        </w:tc>
        <w:tc>
          <w:tcPr>
            <w:tcW w:w="354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303E0E54" w14:textId="77777777" w:rsidR="001464F5" w:rsidRDefault="001464F5" w:rsidP="00BC5846">
            <w:pPr>
              <w:jc w:val="both"/>
              <w:rPr>
                <w:rFonts w:ascii="Arial" w:hAnsi="Arial" w:cs="Arial"/>
                <w:b/>
                <w:color w:val="FFFFFF" w:themeColor="background1"/>
                <w:sz w:val="18"/>
                <w:szCs w:val="20"/>
              </w:rPr>
            </w:pPr>
            <w:r>
              <w:rPr>
                <w:rFonts w:ascii="Arial" w:hAnsi="Arial" w:cs="Arial"/>
                <w:color w:val="FFFFFF"/>
                <w:sz w:val="18"/>
                <w:szCs w:val="18"/>
              </w:rPr>
              <w:t>Very far from target</w:t>
            </w:r>
          </w:p>
        </w:tc>
        <w:tc>
          <w:tcPr>
            <w:tcW w:w="1749" w:type="dxa"/>
            <w:tcBorders>
              <w:top w:val="single" w:sz="4" w:space="0" w:color="auto"/>
              <w:left w:val="single" w:sz="4" w:space="0" w:color="auto"/>
              <w:bottom w:val="single" w:sz="4" w:space="0" w:color="auto"/>
              <w:right w:val="single" w:sz="4" w:space="0" w:color="auto"/>
            </w:tcBorders>
            <w:shd w:val="clear" w:color="auto" w:fill="FF0000"/>
            <w:hideMark/>
          </w:tcPr>
          <w:p w14:paraId="57B88036" w14:textId="77777777" w:rsidR="001464F5" w:rsidRDefault="001464F5" w:rsidP="00BC5846">
            <w:pPr>
              <w:jc w:val="both"/>
              <w:rPr>
                <w:rFonts w:ascii="Arial" w:hAnsi="Arial" w:cs="Arial"/>
                <w:color w:val="FFFFFF" w:themeColor="background1"/>
                <w:sz w:val="18"/>
                <w:szCs w:val="20"/>
              </w:rPr>
            </w:pPr>
            <w:r>
              <w:rPr>
                <w:rFonts w:ascii="Arial" w:hAnsi="Arial" w:cs="Arial"/>
                <w:color w:val="FFFFFF"/>
                <w:sz w:val="18"/>
                <w:szCs w:val="18"/>
              </w:rPr>
              <w:t>1</w:t>
            </w:r>
          </w:p>
        </w:tc>
      </w:tr>
      <w:tr w:rsidR="001464F5" w14:paraId="0EA38A78" w14:textId="77777777" w:rsidTr="00BC5846">
        <w:trPr>
          <w:trHeight w:val="291"/>
        </w:trPr>
        <w:tc>
          <w:tcPr>
            <w:tcW w:w="268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33E4E4A" w14:textId="77777777" w:rsidR="001464F5" w:rsidRDefault="001464F5" w:rsidP="00BC5846">
            <w:pPr>
              <w:jc w:val="both"/>
              <w:rPr>
                <w:rFonts w:ascii="Arial" w:eastAsia="Calibri" w:hAnsi="Arial" w:cs="Arial"/>
                <w:color w:val="FFFFFF" w:themeColor="background1"/>
                <w:sz w:val="18"/>
                <w:szCs w:val="20"/>
              </w:rPr>
            </w:pPr>
            <w:r>
              <w:rPr>
                <w:rFonts w:ascii="Arial" w:hAnsi="Arial" w:cs="Arial"/>
                <w:color w:val="FFFFFF"/>
                <w:sz w:val="18"/>
                <w:szCs w:val="18"/>
              </w:rPr>
              <w:t>None</w:t>
            </w:r>
          </w:p>
        </w:tc>
        <w:tc>
          <w:tcPr>
            <w:tcW w:w="157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84E42C1" w14:textId="77777777" w:rsidR="001464F5" w:rsidRDefault="001464F5" w:rsidP="00BC5846">
            <w:pPr>
              <w:jc w:val="both"/>
              <w:rPr>
                <w:rFonts w:ascii="Arial" w:hAnsi="Arial" w:cs="Arial"/>
                <w:color w:val="FFFFFF" w:themeColor="background1"/>
                <w:sz w:val="18"/>
                <w:szCs w:val="20"/>
              </w:rPr>
            </w:pPr>
            <w:r>
              <w:rPr>
                <w:rFonts w:ascii="Arial" w:hAnsi="Arial" w:cs="Arial"/>
                <w:color w:val="FFFFFF"/>
                <w:sz w:val="18"/>
                <w:szCs w:val="18"/>
                <w:lang w:eastAsia="it-IT"/>
              </w:rPr>
              <w:t>Grey</w:t>
            </w:r>
          </w:p>
        </w:tc>
        <w:tc>
          <w:tcPr>
            <w:tcW w:w="354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D639FBB" w14:textId="77777777" w:rsidR="001464F5" w:rsidRDefault="001464F5" w:rsidP="00BC5846">
            <w:pPr>
              <w:jc w:val="both"/>
              <w:rPr>
                <w:rFonts w:ascii="Arial" w:hAnsi="Arial" w:cs="Arial"/>
                <w:color w:val="FFFFFF" w:themeColor="background1"/>
                <w:sz w:val="18"/>
                <w:szCs w:val="20"/>
              </w:rPr>
            </w:pPr>
            <w:r>
              <w:rPr>
                <w:rFonts w:ascii="Arial" w:hAnsi="Arial" w:cs="Arial"/>
                <w:color w:val="FFFFFF"/>
                <w:sz w:val="18"/>
                <w:szCs w:val="18"/>
              </w:rPr>
              <w:t>Missing data</w:t>
            </w:r>
          </w:p>
        </w:tc>
        <w:tc>
          <w:tcPr>
            <w:tcW w:w="174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1F3BCEC" w14:textId="77777777" w:rsidR="001464F5" w:rsidRDefault="001464F5" w:rsidP="00BC5846">
            <w:pPr>
              <w:jc w:val="both"/>
              <w:rPr>
                <w:rFonts w:ascii="Arial" w:hAnsi="Arial" w:cs="Arial"/>
                <w:color w:val="FFFFFF" w:themeColor="background1"/>
                <w:sz w:val="18"/>
                <w:szCs w:val="20"/>
              </w:rPr>
            </w:pPr>
            <w:r>
              <w:rPr>
                <w:rFonts w:ascii="Arial" w:hAnsi="Arial" w:cs="Arial"/>
                <w:color w:val="FFFFFF"/>
                <w:sz w:val="18"/>
                <w:szCs w:val="18"/>
              </w:rPr>
              <w:t>1</w:t>
            </w:r>
          </w:p>
        </w:tc>
      </w:tr>
    </w:tbl>
    <w:p w14:paraId="7EA0B90A" w14:textId="75A2E487" w:rsidR="00071711" w:rsidRDefault="00071711" w:rsidP="008B27F5"/>
    <w:p w14:paraId="665C02C2" w14:textId="08C66F0E" w:rsidR="008B27F5" w:rsidRDefault="008B27F5" w:rsidP="00BB7C98">
      <w:pPr>
        <w:rPr>
          <w:b/>
        </w:rPr>
      </w:pPr>
      <w:r>
        <w:rPr>
          <w:b/>
        </w:rPr>
        <w:t>1</w:t>
      </w:r>
      <w:r w:rsidRPr="00D2555A">
        <w:rPr>
          <w:b/>
        </w:rPr>
        <w:t>.</w:t>
      </w:r>
      <w:r>
        <w:rPr>
          <w:b/>
        </w:rPr>
        <w:t>2</w:t>
      </w:r>
      <w:r w:rsidRPr="00D2555A">
        <w:rPr>
          <w:b/>
        </w:rPr>
        <w:t xml:space="preserve"> Indicators with</w:t>
      </w:r>
      <w:r>
        <w:rPr>
          <w:b/>
        </w:rPr>
        <w:t>out</w:t>
      </w:r>
      <w:r w:rsidRPr="00D2555A">
        <w:rPr>
          <w:b/>
        </w:rPr>
        <w:t xml:space="preserve"> a numerical target</w:t>
      </w:r>
    </w:p>
    <w:p w14:paraId="3D1CAA21" w14:textId="77777777" w:rsidR="000642EB" w:rsidRDefault="000642EB" w:rsidP="000642EB">
      <w:r>
        <w:lastRenderedPageBreak/>
        <w:t xml:space="preserve">All the other six proxy measures will be treated as </w:t>
      </w:r>
      <w:r w:rsidRPr="00736623">
        <w:t xml:space="preserve">indicators without a numerical target, </w:t>
      </w:r>
      <w:r>
        <w:t>for which the distance to the target</w:t>
      </w:r>
      <w:r w:rsidRPr="00736623">
        <w:t xml:space="preserve"> </w:t>
      </w:r>
      <w:r>
        <w:t>can</w:t>
      </w:r>
      <w:r w:rsidRPr="00736623">
        <w:t>not</w:t>
      </w:r>
      <w:r>
        <w:t xml:space="preserve"> be calculated. For analytical purposes, it is useful however to provide a summary picture that describes the current worldwide distribution of the indicator. For this reason, each country will be associated to the corresponding quintile. </w:t>
      </w:r>
      <w:r w:rsidRPr="00B95AA9">
        <w:t xml:space="preserve">The quintiles </w:t>
      </w:r>
      <w:r>
        <w:t xml:space="preserve">divide the entire distribution of countries </w:t>
      </w:r>
      <w:r w:rsidRPr="00B95AA9">
        <w:t xml:space="preserve">into five equal </w:t>
      </w:r>
      <w:r>
        <w:t>group</w:t>
      </w:r>
      <w:r w:rsidRPr="00B95AA9">
        <w:t>s</w:t>
      </w:r>
      <w:r>
        <w:t>,</w:t>
      </w:r>
      <w:r w:rsidRPr="00B95AA9">
        <w:t xml:space="preserve"> </w:t>
      </w:r>
      <w:r>
        <w:t>accor</w:t>
      </w:r>
      <w:r w:rsidRPr="00B95AA9">
        <w:t xml:space="preserve">ding </w:t>
      </w:r>
      <w:r>
        <w:t>t</w:t>
      </w:r>
      <w:r w:rsidRPr="00B95AA9">
        <w:t xml:space="preserve">o their </w:t>
      </w:r>
      <w:r>
        <w:t>indicator value</w:t>
      </w:r>
      <w:r w:rsidRPr="00B95AA9">
        <w:t xml:space="preserve">: the first quintile contains the bottom fifth of the </w:t>
      </w:r>
      <w:r>
        <w:t>countries</w:t>
      </w:r>
      <w:r w:rsidRPr="00B95AA9">
        <w:t xml:space="preserve"> on the </w:t>
      </w:r>
      <w:r>
        <w:t>indicators</w:t>
      </w:r>
      <w:r w:rsidRPr="00B95AA9">
        <w:t xml:space="preserve"> scale (i.e. the 20 % of the </w:t>
      </w:r>
      <w:r>
        <w:t>countries</w:t>
      </w:r>
      <w:r w:rsidRPr="00B95AA9">
        <w:t xml:space="preserve"> with the lowest </w:t>
      </w:r>
      <w:r>
        <w:t>value</w:t>
      </w:r>
      <w:r w:rsidRPr="00B95AA9">
        <w:t>), the second quintile represents the second fifth (from 20 % to 40 %)</w:t>
      </w:r>
      <w:r>
        <w:t xml:space="preserve"> and so on</w:t>
      </w:r>
      <w:r w:rsidRPr="00B95AA9">
        <w:t xml:space="preserve">; </w:t>
      </w:r>
      <w:r>
        <w:t>finally</w:t>
      </w:r>
      <w:r w:rsidRPr="00B95AA9">
        <w:t xml:space="preserve"> the fifth quintile represents the </w:t>
      </w:r>
      <w:r>
        <w:t xml:space="preserve">top </w:t>
      </w:r>
      <w:r w:rsidRPr="00B95AA9">
        <w:t xml:space="preserve">20 % </w:t>
      </w:r>
      <w:r>
        <w:t xml:space="preserve">countries, i.e. those </w:t>
      </w:r>
      <w:r w:rsidRPr="00B95AA9">
        <w:t xml:space="preserve">with the highest </w:t>
      </w:r>
      <w:r>
        <w:t xml:space="preserve">values for the indicator. A country’s quintile categorization will earn it a corresponding score for the purposes of calculating its overall progress towards productive and sustainable agriculture, depending on the normative direction: </w:t>
      </w:r>
    </w:p>
    <w:p w14:paraId="0FB7819E" w14:textId="77777777" w:rsidR="000642EB" w:rsidRPr="00144A7D" w:rsidRDefault="000642EB" w:rsidP="000642EB">
      <w:pPr>
        <w:rPr>
          <w:b/>
          <w:bCs/>
          <w:sz w:val="12"/>
          <w:szCs w:val="12"/>
        </w:rPr>
      </w:pPr>
    </w:p>
    <w:p w14:paraId="0DF444C5" w14:textId="77777777" w:rsidR="000642EB" w:rsidRPr="005E6573" w:rsidRDefault="000642EB" w:rsidP="000642EB">
      <w:pPr>
        <w:rPr>
          <w:b/>
          <w:bCs/>
        </w:rPr>
      </w:pPr>
      <w:r w:rsidRPr="005E6573">
        <w:rPr>
          <w:b/>
          <w:bCs/>
        </w:rPr>
        <w:t xml:space="preserve">With an increasing normative direction </w:t>
      </w:r>
    </w:p>
    <w:tbl>
      <w:tblPr>
        <w:tblStyle w:val="TableGrid"/>
        <w:tblW w:w="9351" w:type="dxa"/>
        <w:jc w:val="center"/>
        <w:tblLook w:val="04A0" w:firstRow="1" w:lastRow="0" w:firstColumn="1" w:lastColumn="0" w:noHBand="0" w:noVBand="1"/>
      </w:tblPr>
      <w:tblGrid>
        <w:gridCol w:w="2263"/>
        <w:gridCol w:w="1843"/>
        <w:gridCol w:w="3498"/>
        <w:gridCol w:w="1747"/>
      </w:tblGrid>
      <w:tr w:rsidR="000642EB" w:rsidRPr="009007A9" w14:paraId="073032AB" w14:textId="77777777" w:rsidTr="00BC5846">
        <w:trPr>
          <w:trHeight w:val="262"/>
          <w:jc w:val="center"/>
        </w:trPr>
        <w:tc>
          <w:tcPr>
            <w:tcW w:w="2263" w:type="dxa"/>
            <w:shd w:val="clear" w:color="auto" w:fill="002060"/>
          </w:tcPr>
          <w:p w14:paraId="6EFF0025" w14:textId="77777777" w:rsidR="000642EB" w:rsidRPr="00741769" w:rsidRDefault="000642EB" w:rsidP="00BC5846">
            <w:pPr>
              <w:jc w:val="both"/>
              <w:rPr>
                <w:rFonts w:ascii="Arial" w:hAnsi="Arial" w:cs="Arial"/>
                <w:b/>
                <w:color w:val="FFFFFF" w:themeColor="background1"/>
                <w:sz w:val="18"/>
                <w:szCs w:val="20"/>
              </w:rPr>
            </w:pPr>
            <w:r w:rsidRPr="00741769">
              <w:rPr>
                <w:rFonts w:ascii="Arial" w:hAnsi="Arial" w:cs="Arial"/>
                <w:b/>
                <w:sz w:val="18"/>
                <w:szCs w:val="20"/>
              </w:rPr>
              <w:t>Quintile</w:t>
            </w:r>
          </w:p>
        </w:tc>
        <w:tc>
          <w:tcPr>
            <w:tcW w:w="1843" w:type="dxa"/>
            <w:shd w:val="clear" w:color="auto" w:fill="002060"/>
            <w:vAlign w:val="center"/>
          </w:tcPr>
          <w:p w14:paraId="47B58FB1" w14:textId="77777777" w:rsidR="000642EB" w:rsidRPr="00741769" w:rsidRDefault="000642EB" w:rsidP="00BC5846">
            <w:pPr>
              <w:jc w:val="both"/>
              <w:rPr>
                <w:rFonts w:ascii="Arial" w:hAnsi="Arial" w:cs="Arial"/>
                <w:sz w:val="18"/>
                <w:szCs w:val="20"/>
              </w:rPr>
            </w:pPr>
            <w:proofErr w:type="spellStart"/>
            <w:r w:rsidRPr="00741769">
              <w:rPr>
                <w:rFonts w:ascii="Arial" w:eastAsia="Times New Roman" w:hAnsi="Arial" w:cs="Arial"/>
                <w:b/>
                <w:bCs/>
                <w:color w:val="FFFFFF"/>
                <w:sz w:val="18"/>
                <w:szCs w:val="20"/>
                <w:lang w:eastAsia="it-IT"/>
              </w:rPr>
              <w:t>Color</w:t>
            </w:r>
            <w:proofErr w:type="spellEnd"/>
          </w:p>
        </w:tc>
        <w:tc>
          <w:tcPr>
            <w:tcW w:w="3498" w:type="dxa"/>
            <w:shd w:val="clear" w:color="auto" w:fill="002060"/>
          </w:tcPr>
          <w:p w14:paraId="1B5643B5" w14:textId="77777777" w:rsidR="000642EB" w:rsidRPr="00F77FBD" w:rsidRDefault="000642EB" w:rsidP="00BC5846">
            <w:pPr>
              <w:jc w:val="both"/>
              <w:rPr>
                <w:rFonts w:ascii="Arial" w:hAnsi="Arial" w:cs="Arial"/>
                <w:b/>
                <w:color w:val="FFFFFF" w:themeColor="background1"/>
                <w:sz w:val="18"/>
                <w:szCs w:val="20"/>
              </w:rPr>
            </w:pPr>
            <w:r w:rsidRPr="00F77FBD">
              <w:rPr>
                <w:rFonts w:ascii="Arial" w:hAnsi="Arial" w:cs="Arial"/>
                <w:color w:val="FFFFFF" w:themeColor="background1"/>
                <w:sz w:val="18"/>
                <w:szCs w:val="20"/>
              </w:rPr>
              <w:t>Meaning</w:t>
            </w:r>
          </w:p>
        </w:tc>
        <w:tc>
          <w:tcPr>
            <w:tcW w:w="1747" w:type="dxa"/>
            <w:shd w:val="clear" w:color="auto" w:fill="002060"/>
          </w:tcPr>
          <w:p w14:paraId="57703864" w14:textId="77777777" w:rsidR="000642EB" w:rsidRPr="00741769" w:rsidRDefault="000642EB" w:rsidP="00BC5846">
            <w:pPr>
              <w:jc w:val="both"/>
              <w:rPr>
                <w:rFonts w:ascii="Arial" w:hAnsi="Arial" w:cs="Arial"/>
                <w:b/>
                <w:color w:val="FFFFFF" w:themeColor="background1"/>
                <w:sz w:val="18"/>
                <w:szCs w:val="20"/>
              </w:rPr>
            </w:pPr>
            <w:r w:rsidRPr="00741769">
              <w:rPr>
                <w:rFonts w:ascii="Arial" w:hAnsi="Arial" w:cs="Arial"/>
                <w:b/>
                <w:color w:val="FFFFFF" w:themeColor="background1"/>
                <w:sz w:val="18"/>
                <w:szCs w:val="20"/>
              </w:rPr>
              <w:t>Score</w:t>
            </w:r>
          </w:p>
        </w:tc>
      </w:tr>
      <w:tr w:rsidR="000642EB" w:rsidRPr="009007A9" w14:paraId="2B0FF547" w14:textId="77777777" w:rsidTr="00915E7A">
        <w:trPr>
          <w:trHeight w:val="280"/>
          <w:jc w:val="center"/>
        </w:trPr>
        <w:tc>
          <w:tcPr>
            <w:tcW w:w="2263" w:type="dxa"/>
            <w:shd w:val="clear" w:color="auto" w:fill="4F6228" w:themeFill="accent3" w:themeFillShade="80"/>
            <w:vAlign w:val="center"/>
          </w:tcPr>
          <w:p w14:paraId="5F147188" w14:textId="77777777" w:rsidR="000642EB" w:rsidRPr="00741769" w:rsidRDefault="002A733C" w:rsidP="00BC5846">
            <w:pPr>
              <w:jc w:val="center"/>
              <w:rPr>
                <w:rFonts w:ascii="Arial" w:hAnsi="Arial" w:cs="Arial"/>
                <w:b/>
                <w:color w:val="FFFFFF" w:themeColor="background1"/>
                <w:sz w:val="18"/>
                <w:szCs w:val="20"/>
              </w:rPr>
            </w:pPr>
            <m:oMathPara>
              <m:oMath>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q</m:t>
                    </m:r>
                  </m:e>
                  <m:sub>
                    <m:r>
                      <w:rPr>
                        <w:rFonts w:ascii="Cambria Math" w:hAnsi="Cambria Math" w:cstheme="minorHAnsi"/>
                        <w:color w:val="FFFFFF" w:themeColor="background1"/>
                      </w:rPr>
                      <m:t>80%</m:t>
                    </m:r>
                  </m:sub>
                </m:sSub>
                <m:r>
                  <w:rPr>
                    <w:rFonts w:ascii="Cambria Math" w:hAnsi="Cambria Math" w:cstheme="minorHAnsi"/>
                    <w:color w:val="FFFFFF" w:themeColor="background1"/>
                  </w:rPr>
                  <m:t>&lt;</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x</m:t>
                    </m:r>
                  </m:e>
                  <m:sub>
                    <m:r>
                      <w:rPr>
                        <w:rFonts w:ascii="Cambria Math" w:hAnsi="Cambria Math" w:cstheme="minorHAnsi"/>
                        <w:color w:val="FFFFFF" w:themeColor="background1"/>
                      </w:rPr>
                      <m:t>it</m:t>
                    </m:r>
                  </m:sub>
                </m:sSub>
                <m:r>
                  <w:rPr>
                    <w:rFonts w:ascii="Cambria Math" w:hAnsi="Cambria Math" w:cstheme="minorHAnsi"/>
                    <w:color w:val="FFFFFF" w:themeColor="background1"/>
                  </w:rPr>
                  <m:t>≤</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q</m:t>
                    </m:r>
                  </m:e>
                  <m:sub>
                    <m:r>
                      <w:rPr>
                        <w:rFonts w:ascii="Cambria Math" w:hAnsi="Cambria Math" w:cstheme="minorHAnsi"/>
                        <w:color w:val="FFFFFF" w:themeColor="background1"/>
                      </w:rPr>
                      <m:t>100%</m:t>
                    </m:r>
                  </m:sub>
                </m:sSub>
              </m:oMath>
            </m:oMathPara>
          </w:p>
        </w:tc>
        <w:tc>
          <w:tcPr>
            <w:tcW w:w="1843" w:type="dxa"/>
            <w:shd w:val="clear" w:color="auto" w:fill="4F6228" w:themeFill="accent3" w:themeFillShade="80"/>
            <w:vAlign w:val="center"/>
          </w:tcPr>
          <w:p w14:paraId="2E545D14" w14:textId="77777777" w:rsidR="000642EB" w:rsidRPr="00741769" w:rsidRDefault="000642EB" w:rsidP="00BC5846">
            <w:pPr>
              <w:jc w:val="both"/>
              <w:rPr>
                <w:rFonts w:ascii="Arial" w:hAnsi="Arial" w:cs="Arial"/>
                <w:color w:val="FFFFFF" w:themeColor="background1"/>
                <w:sz w:val="18"/>
                <w:szCs w:val="20"/>
              </w:rPr>
            </w:pPr>
            <w:r w:rsidRPr="00741769">
              <w:rPr>
                <w:rFonts w:ascii="Arial" w:eastAsia="Times New Roman" w:hAnsi="Arial" w:cs="Arial"/>
                <w:color w:val="FFFFFF"/>
                <w:sz w:val="18"/>
                <w:szCs w:val="18"/>
                <w:lang w:eastAsia="it-IT"/>
              </w:rPr>
              <w:t>Dark green</w:t>
            </w:r>
          </w:p>
        </w:tc>
        <w:tc>
          <w:tcPr>
            <w:tcW w:w="3498" w:type="dxa"/>
            <w:shd w:val="clear" w:color="auto" w:fill="4F6228" w:themeFill="accent3" w:themeFillShade="80"/>
          </w:tcPr>
          <w:p w14:paraId="7583869A" w14:textId="77777777" w:rsidR="000642EB" w:rsidRPr="00F77FBD" w:rsidRDefault="000642EB" w:rsidP="00BC5846">
            <w:pPr>
              <w:jc w:val="both"/>
              <w:rPr>
                <w:rFonts w:ascii="Arial" w:hAnsi="Arial" w:cs="Arial"/>
                <w:b/>
                <w:color w:val="FFFFFF" w:themeColor="background1"/>
                <w:sz w:val="18"/>
                <w:szCs w:val="20"/>
              </w:rPr>
            </w:pPr>
            <w:r>
              <w:rPr>
                <w:rFonts w:ascii="Arial" w:hAnsi="Arial" w:cs="Arial"/>
                <w:color w:val="FFFFFF" w:themeColor="background1"/>
                <w:sz w:val="18"/>
                <w:szCs w:val="18"/>
              </w:rPr>
              <w:t>Best performers</w:t>
            </w:r>
          </w:p>
        </w:tc>
        <w:tc>
          <w:tcPr>
            <w:tcW w:w="1747" w:type="dxa"/>
            <w:shd w:val="clear" w:color="auto" w:fill="4F6228" w:themeFill="accent3" w:themeFillShade="80"/>
          </w:tcPr>
          <w:p w14:paraId="51CFC6F1" w14:textId="77777777" w:rsidR="000642EB" w:rsidRPr="00741769" w:rsidRDefault="000642EB" w:rsidP="00BC5846">
            <w:pPr>
              <w:jc w:val="center"/>
              <w:rPr>
                <w:rFonts w:ascii="Arial" w:hAnsi="Arial" w:cs="Arial"/>
                <w:color w:val="FFFFFF" w:themeColor="background1"/>
                <w:sz w:val="18"/>
                <w:szCs w:val="20"/>
              </w:rPr>
            </w:pPr>
            <w:r w:rsidRPr="00741769">
              <w:rPr>
                <w:rFonts w:ascii="Arial" w:hAnsi="Arial" w:cs="Arial"/>
                <w:color w:val="FFFFFF" w:themeColor="background1"/>
                <w:sz w:val="18"/>
                <w:szCs w:val="20"/>
              </w:rPr>
              <w:t>5</w:t>
            </w:r>
          </w:p>
        </w:tc>
      </w:tr>
      <w:tr w:rsidR="000642EB" w:rsidRPr="009007A9" w14:paraId="2A302AC0" w14:textId="77777777" w:rsidTr="00915E7A">
        <w:trPr>
          <w:trHeight w:val="262"/>
          <w:jc w:val="center"/>
        </w:trPr>
        <w:tc>
          <w:tcPr>
            <w:tcW w:w="2263" w:type="dxa"/>
            <w:shd w:val="clear" w:color="auto" w:fill="92D050"/>
            <w:vAlign w:val="center"/>
          </w:tcPr>
          <w:p w14:paraId="1E416396" w14:textId="77777777" w:rsidR="000642EB" w:rsidRPr="00741769" w:rsidRDefault="002A733C" w:rsidP="00BC5846">
            <w:pPr>
              <w:jc w:val="center"/>
              <w:rPr>
                <w:rFonts w:ascii="Arial" w:hAnsi="Arial" w:cs="Arial"/>
                <w:b/>
                <w:sz w:val="18"/>
                <w:szCs w:val="20"/>
              </w:rPr>
            </w:pPr>
            <m:oMathPara>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60%</m:t>
                    </m:r>
                  </m:sub>
                </m:sSub>
                <m:r>
                  <w:rPr>
                    <w:rFonts w:ascii="Cambria Math" w:hAnsi="Cambria Math" w:cstheme="minorHAnsi"/>
                  </w:rPr>
                  <m:t>&lt;</m:t>
                </m:r>
                <m:sSub>
                  <m:sSubPr>
                    <m:ctrlPr>
                      <w:rPr>
                        <w:rFonts w:ascii="Cambria Math" w:hAnsi="Cambria Math" w:cstheme="minorHAnsi"/>
                        <w:i/>
                        <w:color w:val="000000" w:themeColor="text1"/>
                      </w:rPr>
                    </m:ctrlPr>
                  </m:sSubPr>
                  <m:e>
                    <m:r>
                      <w:rPr>
                        <w:rFonts w:ascii="Cambria Math" w:hAnsi="Cambria Math" w:cstheme="minorHAnsi"/>
                        <w:color w:val="000000" w:themeColor="text1"/>
                      </w:rPr>
                      <m:t>x</m:t>
                    </m:r>
                  </m:e>
                  <m:sub>
                    <m:r>
                      <w:rPr>
                        <w:rFonts w:ascii="Cambria Math" w:hAnsi="Cambria Math" w:cstheme="minorHAnsi"/>
                        <w:color w:val="000000" w:themeColor="text1"/>
                      </w:rPr>
                      <m:t>it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80%</m:t>
                    </m:r>
                  </m:sub>
                </m:sSub>
              </m:oMath>
            </m:oMathPara>
          </w:p>
        </w:tc>
        <w:tc>
          <w:tcPr>
            <w:tcW w:w="1843" w:type="dxa"/>
            <w:shd w:val="clear" w:color="auto" w:fill="92D050"/>
            <w:vAlign w:val="center"/>
          </w:tcPr>
          <w:p w14:paraId="4D962D36" w14:textId="77777777" w:rsidR="000642EB" w:rsidRPr="00741769" w:rsidRDefault="000642EB" w:rsidP="00BC5846">
            <w:pPr>
              <w:jc w:val="both"/>
              <w:rPr>
                <w:rFonts w:ascii="Arial" w:hAnsi="Arial" w:cs="Arial"/>
                <w:sz w:val="18"/>
                <w:szCs w:val="20"/>
              </w:rPr>
            </w:pPr>
            <w:r w:rsidRPr="00741769">
              <w:rPr>
                <w:rFonts w:ascii="Arial" w:eastAsia="Times New Roman" w:hAnsi="Arial" w:cs="Arial"/>
                <w:color w:val="000000"/>
                <w:sz w:val="18"/>
                <w:szCs w:val="18"/>
                <w:lang w:eastAsia="it-IT"/>
              </w:rPr>
              <w:t>Light green</w:t>
            </w:r>
          </w:p>
        </w:tc>
        <w:tc>
          <w:tcPr>
            <w:tcW w:w="3498" w:type="dxa"/>
            <w:shd w:val="clear" w:color="auto" w:fill="92D050"/>
          </w:tcPr>
          <w:p w14:paraId="1551418B" w14:textId="77777777" w:rsidR="000642EB" w:rsidRPr="00741769" w:rsidRDefault="000642EB" w:rsidP="00BC5846">
            <w:pPr>
              <w:jc w:val="both"/>
              <w:rPr>
                <w:rFonts w:ascii="Arial" w:hAnsi="Arial" w:cs="Arial"/>
                <w:b/>
                <w:color w:val="E36C0A" w:themeColor="accent6" w:themeShade="BF"/>
                <w:sz w:val="18"/>
                <w:szCs w:val="20"/>
              </w:rPr>
            </w:pPr>
            <w:r w:rsidRPr="00915E7A">
              <w:rPr>
                <w:rFonts w:ascii="Arial" w:hAnsi="Arial" w:cs="Arial"/>
                <w:sz w:val="18"/>
                <w:szCs w:val="18"/>
              </w:rPr>
              <w:t>Above median performers</w:t>
            </w:r>
          </w:p>
        </w:tc>
        <w:tc>
          <w:tcPr>
            <w:tcW w:w="1747" w:type="dxa"/>
            <w:shd w:val="clear" w:color="auto" w:fill="92D050"/>
          </w:tcPr>
          <w:p w14:paraId="694C2B90" w14:textId="77777777" w:rsidR="000642EB" w:rsidRPr="00741769" w:rsidRDefault="000642EB" w:rsidP="00BC5846">
            <w:pPr>
              <w:jc w:val="center"/>
              <w:rPr>
                <w:rFonts w:ascii="Arial" w:hAnsi="Arial" w:cs="Arial"/>
                <w:sz w:val="18"/>
                <w:szCs w:val="20"/>
              </w:rPr>
            </w:pPr>
            <w:r w:rsidRPr="00741769">
              <w:rPr>
                <w:rFonts w:ascii="Arial" w:hAnsi="Arial" w:cs="Arial"/>
                <w:sz w:val="18"/>
                <w:szCs w:val="20"/>
              </w:rPr>
              <w:t>4</w:t>
            </w:r>
          </w:p>
        </w:tc>
      </w:tr>
      <w:tr w:rsidR="000642EB" w:rsidRPr="009007A9" w14:paraId="42CC024E" w14:textId="77777777" w:rsidTr="00915E7A">
        <w:trPr>
          <w:trHeight w:val="262"/>
          <w:jc w:val="center"/>
        </w:trPr>
        <w:tc>
          <w:tcPr>
            <w:tcW w:w="2263" w:type="dxa"/>
            <w:shd w:val="clear" w:color="auto" w:fill="F2EEA8"/>
            <w:vAlign w:val="center"/>
          </w:tcPr>
          <w:p w14:paraId="14E4CFC2" w14:textId="77777777" w:rsidR="000642EB" w:rsidRPr="00741769" w:rsidRDefault="002A733C" w:rsidP="00BC5846">
            <w:pPr>
              <w:jc w:val="center"/>
              <w:rPr>
                <w:rFonts w:ascii="Arial" w:hAnsi="Arial" w:cs="Arial"/>
                <w:b/>
                <w:sz w:val="18"/>
                <w:szCs w:val="20"/>
              </w:rPr>
            </w:pPr>
            <m:oMathPara>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40%</m:t>
                    </m:r>
                  </m:sub>
                </m:sSub>
                <m:r>
                  <w:rPr>
                    <w:rFonts w:ascii="Cambria Math" w:hAnsi="Cambria Math" w:cstheme="minorHAnsi"/>
                  </w:rPr>
                  <m:t>&lt;</m:t>
                </m:r>
                <m:sSub>
                  <m:sSubPr>
                    <m:ctrlPr>
                      <w:rPr>
                        <w:rFonts w:ascii="Cambria Math" w:hAnsi="Cambria Math" w:cstheme="minorHAnsi"/>
                        <w:i/>
                        <w:color w:val="000000" w:themeColor="text1"/>
                      </w:rPr>
                    </m:ctrlPr>
                  </m:sSubPr>
                  <m:e>
                    <m:r>
                      <w:rPr>
                        <w:rFonts w:ascii="Cambria Math" w:hAnsi="Cambria Math" w:cstheme="minorHAnsi"/>
                        <w:color w:val="000000" w:themeColor="text1"/>
                      </w:rPr>
                      <m:t>x</m:t>
                    </m:r>
                  </m:e>
                  <m:sub>
                    <m:r>
                      <w:rPr>
                        <w:rFonts w:ascii="Cambria Math" w:hAnsi="Cambria Math" w:cstheme="minorHAnsi"/>
                        <w:color w:val="000000" w:themeColor="text1"/>
                      </w:rPr>
                      <m:t>it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60%</m:t>
                    </m:r>
                  </m:sub>
                </m:sSub>
              </m:oMath>
            </m:oMathPara>
          </w:p>
        </w:tc>
        <w:tc>
          <w:tcPr>
            <w:tcW w:w="1843" w:type="dxa"/>
            <w:shd w:val="clear" w:color="auto" w:fill="F2EEA8"/>
            <w:vAlign w:val="center"/>
          </w:tcPr>
          <w:p w14:paraId="29030E4F" w14:textId="77777777" w:rsidR="000642EB" w:rsidRPr="00741769" w:rsidRDefault="000642EB" w:rsidP="00BC5846">
            <w:pPr>
              <w:jc w:val="both"/>
              <w:rPr>
                <w:rFonts w:ascii="Arial" w:hAnsi="Arial" w:cs="Arial"/>
                <w:sz w:val="18"/>
                <w:szCs w:val="20"/>
              </w:rPr>
            </w:pPr>
            <w:r w:rsidRPr="00741769">
              <w:rPr>
                <w:rFonts w:ascii="Arial" w:eastAsia="Times New Roman" w:hAnsi="Arial" w:cs="Arial"/>
                <w:color w:val="000000"/>
                <w:sz w:val="18"/>
                <w:szCs w:val="18"/>
                <w:lang w:eastAsia="it-IT"/>
              </w:rPr>
              <w:t>Yellow</w:t>
            </w:r>
          </w:p>
        </w:tc>
        <w:tc>
          <w:tcPr>
            <w:tcW w:w="3498" w:type="dxa"/>
            <w:shd w:val="clear" w:color="auto" w:fill="F2EEA8"/>
          </w:tcPr>
          <w:p w14:paraId="7548B574" w14:textId="77777777" w:rsidR="000642EB" w:rsidRPr="00741769" w:rsidRDefault="000642EB" w:rsidP="00BC5846">
            <w:pPr>
              <w:jc w:val="both"/>
              <w:rPr>
                <w:rFonts w:ascii="Arial" w:hAnsi="Arial" w:cs="Arial"/>
                <w:b/>
                <w:color w:val="FABF8F" w:themeColor="accent6" w:themeTint="99"/>
                <w:sz w:val="18"/>
                <w:szCs w:val="20"/>
              </w:rPr>
            </w:pPr>
            <w:r w:rsidRPr="00C8172C">
              <w:rPr>
                <w:rFonts w:ascii="Arial" w:hAnsi="Arial" w:cs="Arial"/>
                <w:sz w:val="18"/>
                <w:szCs w:val="18"/>
              </w:rPr>
              <w:t>Median performers</w:t>
            </w:r>
          </w:p>
        </w:tc>
        <w:tc>
          <w:tcPr>
            <w:tcW w:w="1747" w:type="dxa"/>
            <w:shd w:val="clear" w:color="auto" w:fill="F2EEA8"/>
          </w:tcPr>
          <w:p w14:paraId="01660B4C" w14:textId="77777777" w:rsidR="000642EB" w:rsidRPr="00741769" w:rsidRDefault="000642EB" w:rsidP="00BC5846">
            <w:pPr>
              <w:jc w:val="center"/>
              <w:rPr>
                <w:rFonts w:ascii="Arial" w:hAnsi="Arial" w:cs="Arial"/>
                <w:sz w:val="18"/>
                <w:szCs w:val="20"/>
              </w:rPr>
            </w:pPr>
            <w:r w:rsidRPr="00741769">
              <w:rPr>
                <w:rFonts w:ascii="Arial" w:hAnsi="Arial" w:cs="Arial"/>
                <w:sz w:val="18"/>
                <w:szCs w:val="20"/>
              </w:rPr>
              <w:t>3</w:t>
            </w:r>
          </w:p>
        </w:tc>
      </w:tr>
      <w:tr w:rsidR="000642EB" w:rsidRPr="009007A9" w14:paraId="7C9F7F17" w14:textId="77777777" w:rsidTr="00BC5846">
        <w:trPr>
          <w:trHeight w:val="280"/>
          <w:jc w:val="center"/>
        </w:trPr>
        <w:tc>
          <w:tcPr>
            <w:tcW w:w="2263" w:type="dxa"/>
            <w:shd w:val="clear" w:color="auto" w:fill="FFC000"/>
            <w:vAlign w:val="center"/>
          </w:tcPr>
          <w:p w14:paraId="27813DCF" w14:textId="77777777" w:rsidR="000642EB" w:rsidRPr="00741769" w:rsidRDefault="002A733C" w:rsidP="00BC5846">
            <w:pPr>
              <w:jc w:val="center"/>
              <w:rPr>
                <w:rFonts w:ascii="Arial" w:hAnsi="Arial" w:cs="Arial"/>
                <w:b/>
                <w:sz w:val="18"/>
                <w:szCs w:val="20"/>
              </w:rPr>
            </w:pPr>
            <m:oMathPara>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20%</m:t>
                    </m:r>
                  </m:sub>
                </m:sSub>
                <m:r>
                  <w:rPr>
                    <w:rFonts w:ascii="Cambria Math" w:hAnsi="Cambria Math" w:cstheme="minorHAnsi"/>
                  </w:rPr>
                  <m:t>&lt;</m:t>
                </m:r>
                <m:sSub>
                  <m:sSubPr>
                    <m:ctrlPr>
                      <w:rPr>
                        <w:rFonts w:ascii="Cambria Math" w:hAnsi="Cambria Math" w:cstheme="minorHAnsi"/>
                        <w:i/>
                        <w:color w:val="000000" w:themeColor="text1"/>
                      </w:rPr>
                    </m:ctrlPr>
                  </m:sSubPr>
                  <m:e>
                    <m:r>
                      <w:rPr>
                        <w:rFonts w:ascii="Cambria Math" w:hAnsi="Cambria Math" w:cstheme="minorHAnsi"/>
                        <w:color w:val="000000" w:themeColor="text1"/>
                      </w:rPr>
                      <m:t>x</m:t>
                    </m:r>
                  </m:e>
                  <m:sub>
                    <m:r>
                      <w:rPr>
                        <w:rFonts w:ascii="Cambria Math" w:hAnsi="Cambria Math" w:cstheme="minorHAnsi"/>
                        <w:color w:val="000000" w:themeColor="text1"/>
                      </w:rPr>
                      <m:t>it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40%</m:t>
                    </m:r>
                  </m:sub>
                </m:sSub>
              </m:oMath>
            </m:oMathPara>
          </w:p>
        </w:tc>
        <w:tc>
          <w:tcPr>
            <w:tcW w:w="1843" w:type="dxa"/>
            <w:shd w:val="clear" w:color="auto" w:fill="FFC000"/>
            <w:vAlign w:val="center"/>
          </w:tcPr>
          <w:p w14:paraId="242CFA7A" w14:textId="77777777" w:rsidR="000642EB" w:rsidRPr="00741769" w:rsidRDefault="000642EB" w:rsidP="00BC5846">
            <w:pPr>
              <w:jc w:val="both"/>
              <w:rPr>
                <w:rFonts w:ascii="Arial" w:hAnsi="Arial" w:cs="Arial"/>
                <w:sz w:val="18"/>
                <w:szCs w:val="20"/>
              </w:rPr>
            </w:pPr>
            <w:r w:rsidRPr="00741769">
              <w:rPr>
                <w:rFonts w:ascii="Arial" w:eastAsia="Times New Roman" w:hAnsi="Arial" w:cs="Arial"/>
                <w:color w:val="000000"/>
                <w:sz w:val="18"/>
                <w:szCs w:val="18"/>
                <w:lang w:eastAsia="it-IT"/>
              </w:rPr>
              <w:t>Orange</w:t>
            </w:r>
          </w:p>
        </w:tc>
        <w:tc>
          <w:tcPr>
            <w:tcW w:w="3498" w:type="dxa"/>
            <w:shd w:val="clear" w:color="auto" w:fill="FFC000"/>
          </w:tcPr>
          <w:p w14:paraId="6C91F0B6" w14:textId="77777777" w:rsidR="000642EB" w:rsidRPr="00741769" w:rsidRDefault="000642EB" w:rsidP="00BC5846">
            <w:pPr>
              <w:jc w:val="both"/>
              <w:rPr>
                <w:rFonts w:ascii="Arial" w:hAnsi="Arial" w:cs="Arial"/>
                <w:b/>
                <w:color w:val="FFC000"/>
                <w:sz w:val="18"/>
                <w:szCs w:val="20"/>
              </w:rPr>
            </w:pPr>
            <w:r w:rsidRPr="00C8172C">
              <w:rPr>
                <w:rFonts w:ascii="Arial" w:hAnsi="Arial" w:cs="Arial"/>
                <w:sz w:val="18"/>
                <w:szCs w:val="18"/>
              </w:rPr>
              <w:t>Below median performers</w:t>
            </w:r>
          </w:p>
        </w:tc>
        <w:tc>
          <w:tcPr>
            <w:tcW w:w="1747" w:type="dxa"/>
            <w:shd w:val="clear" w:color="auto" w:fill="FFC000"/>
          </w:tcPr>
          <w:p w14:paraId="35CC6084" w14:textId="77777777" w:rsidR="000642EB" w:rsidRPr="00741769" w:rsidRDefault="000642EB" w:rsidP="00BC5846">
            <w:pPr>
              <w:jc w:val="center"/>
              <w:rPr>
                <w:rFonts w:ascii="Arial" w:hAnsi="Arial" w:cs="Arial"/>
                <w:sz w:val="18"/>
                <w:szCs w:val="20"/>
              </w:rPr>
            </w:pPr>
            <w:r w:rsidRPr="00741769">
              <w:rPr>
                <w:rFonts w:ascii="Arial" w:hAnsi="Arial" w:cs="Arial"/>
                <w:sz w:val="18"/>
                <w:szCs w:val="20"/>
              </w:rPr>
              <w:t>2</w:t>
            </w:r>
          </w:p>
        </w:tc>
      </w:tr>
      <w:tr w:rsidR="000642EB" w:rsidRPr="009007A9" w14:paraId="7B8969B5" w14:textId="77777777" w:rsidTr="00BC5846">
        <w:trPr>
          <w:trHeight w:val="262"/>
          <w:jc w:val="center"/>
        </w:trPr>
        <w:tc>
          <w:tcPr>
            <w:tcW w:w="2263" w:type="dxa"/>
            <w:shd w:val="clear" w:color="auto" w:fill="FF0000"/>
            <w:vAlign w:val="center"/>
          </w:tcPr>
          <w:p w14:paraId="0DDB9F14" w14:textId="77777777" w:rsidR="000642EB" w:rsidRPr="00741769" w:rsidRDefault="002A733C" w:rsidP="00BC5846">
            <w:pPr>
              <w:jc w:val="center"/>
              <w:rPr>
                <w:rFonts w:ascii="Arial" w:hAnsi="Arial" w:cs="Arial"/>
                <w:b/>
                <w:color w:val="FFFFFF" w:themeColor="background1"/>
                <w:sz w:val="18"/>
                <w:szCs w:val="20"/>
              </w:rPr>
            </w:pPr>
            <m:oMathPara>
              <m:oMath>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q</m:t>
                    </m:r>
                  </m:e>
                  <m:sub>
                    <m:r>
                      <w:rPr>
                        <w:rFonts w:ascii="Cambria Math" w:hAnsi="Cambria Math" w:cstheme="minorHAnsi"/>
                        <w:color w:val="FFFFFF" w:themeColor="background1"/>
                      </w:rPr>
                      <m:t>0%</m:t>
                    </m:r>
                  </m:sub>
                </m:sSub>
                <m:r>
                  <w:rPr>
                    <w:rFonts w:ascii="Cambria Math" w:hAnsi="Cambria Math" w:cstheme="minorHAnsi"/>
                    <w:color w:val="FFFFFF" w:themeColor="background1"/>
                  </w:rPr>
                  <m:t>≤</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x</m:t>
                    </m:r>
                  </m:e>
                  <m:sub>
                    <m:r>
                      <w:rPr>
                        <w:rFonts w:ascii="Cambria Math" w:hAnsi="Cambria Math" w:cstheme="minorHAnsi"/>
                        <w:color w:val="FFFFFF" w:themeColor="background1"/>
                      </w:rPr>
                      <m:t>it</m:t>
                    </m:r>
                  </m:sub>
                </m:sSub>
                <m:r>
                  <w:rPr>
                    <w:rFonts w:ascii="Cambria Math" w:hAnsi="Cambria Math" w:cstheme="minorHAnsi"/>
                    <w:color w:val="FFFFFF" w:themeColor="background1"/>
                  </w:rPr>
                  <m:t>≤</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q</m:t>
                    </m:r>
                  </m:e>
                  <m:sub>
                    <m:r>
                      <w:rPr>
                        <w:rFonts w:ascii="Cambria Math" w:hAnsi="Cambria Math" w:cstheme="minorHAnsi"/>
                        <w:color w:val="FFFFFF" w:themeColor="background1"/>
                      </w:rPr>
                      <m:t>20%</m:t>
                    </m:r>
                  </m:sub>
                </m:sSub>
              </m:oMath>
            </m:oMathPara>
          </w:p>
        </w:tc>
        <w:tc>
          <w:tcPr>
            <w:tcW w:w="1843" w:type="dxa"/>
            <w:shd w:val="clear" w:color="auto" w:fill="FF0000"/>
            <w:vAlign w:val="center"/>
          </w:tcPr>
          <w:p w14:paraId="3D727059" w14:textId="77777777" w:rsidR="000642EB" w:rsidRPr="00741769" w:rsidRDefault="000642EB" w:rsidP="00BC5846">
            <w:pPr>
              <w:jc w:val="both"/>
              <w:rPr>
                <w:rFonts w:ascii="Arial" w:hAnsi="Arial" w:cs="Arial"/>
                <w:color w:val="FFFFFF" w:themeColor="background1"/>
                <w:sz w:val="18"/>
                <w:szCs w:val="20"/>
              </w:rPr>
            </w:pPr>
            <w:r w:rsidRPr="00741769">
              <w:rPr>
                <w:rFonts w:ascii="Arial" w:eastAsia="Times New Roman" w:hAnsi="Arial" w:cs="Arial"/>
                <w:color w:val="FFFFFF"/>
                <w:sz w:val="18"/>
                <w:szCs w:val="18"/>
                <w:lang w:eastAsia="it-IT"/>
              </w:rPr>
              <w:t>Red</w:t>
            </w:r>
          </w:p>
        </w:tc>
        <w:tc>
          <w:tcPr>
            <w:tcW w:w="3498" w:type="dxa"/>
            <w:shd w:val="clear" w:color="auto" w:fill="FF0000"/>
          </w:tcPr>
          <w:p w14:paraId="6A4CD501" w14:textId="77777777" w:rsidR="000642EB" w:rsidRPr="00741769" w:rsidRDefault="000642EB" w:rsidP="00BC5846">
            <w:pPr>
              <w:jc w:val="both"/>
              <w:rPr>
                <w:rFonts w:ascii="Arial" w:hAnsi="Arial" w:cs="Arial"/>
                <w:b/>
                <w:color w:val="FFFFFF" w:themeColor="background1"/>
                <w:sz w:val="18"/>
                <w:szCs w:val="20"/>
              </w:rPr>
            </w:pPr>
            <w:r w:rsidRPr="00C8172C">
              <w:rPr>
                <w:rFonts w:ascii="Arial" w:hAnsi="Arial" w:cs="Arial"/>
                <w:sz w:val="18"/>
                <w:szCs w:val="18"/>
              </w:rPr>
              <w:t>Worst performers</w:t>
            </w:r>
          </w:p>
        </w:tc>
        <w:tc>
          <w:tcPr>
            <w:tcW w:w="1747" w:type="dxa"/>
            <w:shd w:val="clear" w:color="auto" w:fill="FF0000"/>
          </w:tcPr>
          <w:p w14:paraId="20947CEE" w14:textId="77777777" w:rsidR="000642EB" w:rsidRPr="00741769" w:rsidRDefault="000642EB" w:rsidP="00BC5846">
            <w:pPr>
              <w:jc w:val="center"/>
              <w:rPr>
                <w:rFonts w:ascii="Arial" w:hAnsi="Arial" w:cs="Arial"/>
                <w:color w:val="FFFFFF" w:themeColor="background1"/>
                <w:sz w:val="18"/>
                <w:szCs w:val="20"/>
              </w:rPr>
            </w:pPr>
            <w:r w:rsidRPr="00741769">
              <w:rPr>
                <w:rFonts w:ascii="Arial" w:hAnsi="Arial" w:cs="Arial"/>
                <w:color w:val="FFFFFF" w:themeColor="background1"/>
                <w:sz w:val="18"/>
                <w:szCs w:val="20"/>
              </w:rPr>
              <w:t>1</w:t>
            </w:r>
          </w:p>
        </w:tc>
      </w:tr>
      <w:tr w:rsidR="000642EB" w:rsidRPr="009007A9" w14:paraId="4098CFAD" w14:textId="77777777" w:rsidTr="00BC5846">
        <w:trPr>
          <w:trHeight w:val="262"/>
          <w:jc w:val="center"/>
        </w:trPr>
        <w:tc>
          <w:tcPr>
            <w:tcW w:w="2263" w:type="dxa"/>
            <w:shd w:val="clear" w:color="auto" w:fill="BFBFBF" w:themeFill="background1" w:themeFillShade="BF"/>
            <w:vAlign w:val="center"/>
          </w:tcPr>
          <w:p w14:paraId="61A94E3F" w14:textId="77777777" w:rsidR="000642EB" w:rsidRPr="00741769" w:rsidRDefault="000642EB" w:rsidP="00BC5846">
            <w:pPr>
              <w:jc w:val="center"/>
              <w:rPr>
                <w:rFonts w:ascii="Arial" w:hAnsi="Arial" w:cs="Arial"/>
                <w:b/>
                <w:color w:val="FFFFFF" w:themeColor="background1"/>
                <w:sz w:val="18"/>
                <w:szCs w:val="20"/>
              </w:rPr>
            </w:pPr>
            <w:r>
              <w:rPr>
                <w:rFonts w:ascii="Arial" w:hAnsi="Arial" w:cs="Arial"/>
                <w:b/>
                <w:color w:val="FFFFFF" w:themeColor="background1"/>
                <w:sz w:val="18"/>
                <w:szCs w:val="20"/>
              </w:rPr>
              <w:t>None</w:t>
            </w:r>
          </w:p>
        </w:tc>
        <w:tc>
          <w:tcPr>
            <w:tcW w:w="1843" w:type="dxa"/>
            <w:shd w:val="clear" w:color="auto" w:fill="BFBFBF" w:themeFill="background1" w:themeFillShade="BF"/>
            <w:vAlign w:val="center"/>
          </w:tcPr>
          <w:p w14:paraId="372BACB7" w14:textId="77777777" w:rsidR="000642EB" w:rsidRPr="00741769" w:rsidRDefault="000642EB" w:rsidP="00BC5846">
            <w:pPr>
              <w:jc w:val="both"/>
              <w:rPr>
                <w:rFonts w:ascii="Arial" w:eastAsia="Times New Roman" w:hAnsi="Arial" w:cs="Arial"/>
                <w:color w:val="FFFFFF"/>
                <w:sz w:val="18"/>
                <w:szCs w:val="18"/>
                <w:lang w:eastAsia="it-IT"/>
              </w:rPr>
            </w:pPr>
            <w:r w:rsidRPr="00741769">
              <w:rPr>
                <w:rFonts w:ascii="Arial" w:eastAsia="Times New Roman" w:hAnsi="Arial" w:cs="Arial"/>
                <w:color w:val="FFFFFF"/>
                <w:sz w:val="18"/>
                <w:szCs w:val="18"/>
                <w:lang w:eastAsia="it-IT"/>
              </w:rPr>
              <w:t>Grey</w:t>
            </w:r>
          </w:p>
        </w:tc>
        <w:tc>
          <w:tcPr>
            <w:tcW w:w="3498" w:type="dxa"/>
            <w:shd w:val="clear" w:color="auto" w:fill="BFBFBF" w:themeFill="background1" w:themeFillShade="BF"/>
            <w:vAlign w:val="center"/>
          </w:tcPr>
          <w:p w14:paraId="218DBC8D" w14:textId="77777777" w:rsidR="000642EB" w:rsidRPr="00741769" w:rsidRDefault="000642EB" w:rsidP="00BC5846">
            <w:pPr>
              <w:jc w:val="both"/>
              <w:rPr>
                <w:rFonts w:ascii="Arial" w:hAnsi="Arial" w:cs="Arial"/>
                <w:color w:val="FFFFFF" w:themeColor="background1"/>
                <w:sz w:val="18"/>
                <w:szCs w:val="20"/>
              </w:rPr>
            </w:pPr>
            <w:r>
              <w:rPr>
                <w:rFonts w:ascii="Arial" w:hAnsi="Arial" w:cs="Arial"/>
                <w:color w:val="FFFFFF" w:themeColor="background1"/>
                <w:sz w:val="18"/>
                <w:szCs w:val="20"/>
              </w:rPr>
              <w:t>Missing data</w:t>
            </w:r>
          </w:p>
        </w:tc>
        <w:tc>
          <w:tcPr>
            <w:tcW w:w="1747" w:type="dxa"/>
            <w:shd w:val="clear" w:color="auto" w:fill="BFBFBF" w:themeFill="background1" w:themeFillShade="BF"/>
          </w:tcPr>
          <w:p w14:paraId="55873F6B" w14:textId="77777777" w:rsidR="000642EB" w:rsidRPr="00741769" w:rsidRDefault="000642EB" w:rsidP="00BC5846">
            <w:pPr>
              <w:jc w:val="center"/>
              <w:rPr>
                <w:rFonts w:ascii="Arial" w:hAnsi="Arial" w:cs="Arial"/>
                <w:color w:val="FFFFFF" w:themeColor="background1"/>
                <w:sz w:val="18"/>
                <w:szCs w:val="20"/>
              </w:rPr>
            </w:pPr>
            <w:r>
              <w:rPr>
                <w:rFonts w:ascii="Arial" w:hAnsi="Arial" w:cs="Arial"/>
                <w:color w:val="FFFFFF" w:themeColor="background1"/>
                <w:sz w:val="18"/>
                <w:szCs w:val="20"/>
              </w:rPr>
              <w:t>1</w:t>
            </w:r>
          </w:p>
        </w:tc>
      </w:tr>
    </w:tbl>
    <w:p w14:paraId="580462A7" w14:textId="77777777" w:rsidR="008F7303" w:rsidRDefault="008F7303" w:rsidP="000642EB">
      <w:pPr>
        <w:spacing w:after="120"/>
        <w:rPr>
          <w:b/>
          <w:bCs/>
        </w:rPr>
      </w:pPr>
    </w:p>
    <w:p w14:paraId="610FEFC8" w14:textId="77777777" w:rsidR="008F7303" w:rsidRDefault="008F7303" w:rsidP="000642EB">
      <w:pPr>
        <w:spacing w:after="120"/>
        <w:rPr>
          <w:b/>
          <w:bCs/>
        </w:rPr>
      </w:pPr>
    </w:p>
    <w:p w14:paraId="4163F797" w14:textId="7049FA30" w:rsidR="000642EB" w:rsidRDefault="000642EB" w:rsidP="000642EB">
      <w:pPr>
        <w:spacing w:after="120"/>
        <w:rPr>
          <w:b/>
          <w:bCs/>
        </w:rPr>
      </w:pPr>
      <w:r w:rsidRPr="005E6573">
        <w:rPr>
          <w:b/>
          <w:bCs/>
        </w:rPr>
        <w:t>With</w:t>
      </w:r>
      <w:r>
        <w:rPr>
          <w:b/>
          <w:bCs/>
        </w:rPr>
        <w:t xml:space="preserve"> a decreasing</w:t>
      </w:r>
      <w:r w:rsidRPr="005E6573">
        <w:rPr>
          <w:b/>
          <w:bCs/>
        </w:rPr>
        <w:t xml:space="preserve"> normative direction</w:t>
      </w:r>
    </w:p>
    <w:tbl>
      <w:tblPr>
        <w:tblStyle w:val="TableGrid"/>
        <w:tblW w:w="9351" w:type="dxa"/>
        <w:jc w:val="center"/>
        <w:tblLook w:val="04A0" w:firstRow="1" w:lastRow="0" w:firstColumn="1" w:lastColumn="0" w:noHBand="0" w:noVBand="1"/>
      </w:tblPr>
      <w:tblGrid>
        <w:gridCol w:w="2263"/>
        <w:gridCol w:w="1843"/>
        <w:gridCol w:w="3498"/>
        <w:gridCol w:w="1747"/>
      </w:tblGrid>
      <w:tr w:rsidR="000642EB" w:rsidRPr="00741769" w14:paraId="4CB80B90" w14:textId="77777777" w:rsidTr="00BC5846">
        <w:trPr>
          <w:trHeight w:val="262"/>
          <w:jc w:val="center"/>
        </w:trPr>
        <w:tc>
          <w:tcPr>
            <w:tcW w:w="2263" w:type="dxa"/>
            <w:shd w:val="clear" w:color="auto" w:fill="002060"/>
          </w:tcPr>
          <w:p w14:paraId="331E2A3B" w14:textId="77777777" w:rsidR="000642EB" w:rsidRPr="00741769" w:rsidRDefault="000642EB" w:rsidP="00BC5846">
            <w:pPr>
              <w:jc w:val="both"/>
              <w:rPr>
                <w:rFonts w:ascii="Arial" w:hAnsi="Arial" w:cs="Arial"/>
                <w:b/>
                <w:color w:val="FFFFFF" w:themeColor="background1"/>
                <w:sz w:val="18"/>
                <w:szCs w:val="20"/>
              </w:rPr>
            </w:pPr>
            <w:r w:rsidRPr="00741769">
              <w:rPr>
                <w:rFonts w:ascii="Arial" w:hAnsi="Arial" w:cs="Arial"/>
                <w:b/>
                <w:sz w:val="18"/>
                <w:szCs w:val="20"/>
              </w:rPr>
              <w:t>Quintile</w:t>
            </w:r>
          </w:p>
        </w:tc>
        <w:tc>
          <w:tcPr>
            <w:tcW w:w="1843" w:type="dxa"/>
            <w:shd w:val="clear" w:color="auto" w:fill="002060"/>
            <w:vAlign w:val="center"/>
          </w:tcPr>
          <w:p w14:paraId="2746F320" w14:textId="77777777" w:rsidR="000642EB" w:rsidRPr="00741769" w:rsidRDefault="000642EB" w:rsidP="00BC5846">
            <w:pPr>
              <w:jc w:val="both"/>
              <w:rPr>
                <w:rFonts w:ascii="Arial" w:hAnsi="Arial" w:cs="Arial"/>
                <w:sz w:val="18"/>
                <w:szCs w:val="20"/>
              </w:rPr>
            </w:pPr>
            <w:proofErr w:type="spellStart"/>
            <w:r w:rsidRPr="00741769">
              <w:rPr>
                <w:rFonts w:ascii="Arial" w:eastAsia="Times New Roman" w:hAnsi="Arial" w:cs="Arial"/>
                <w:b/>
                <w:bCs/>
                <w:color w:val="FFFFFF"/>
                <w:sz w:val="18"/>
                <w:szCs w:val="20"/>
                <w:lang w:eastAsia="it-IT"/>
              </w:rPr>
              <w:t>Color</w:t>
            </w:r>
            <w:proofErr w:type="spellEnd"/>
          </w:p>
        </w:tc>
        <w:tc>
          <w:tcPr>
            <w:tcW w:w="3498" w:type="dxa"/>
            <w:shd w:val="clear" w:color="auto" w:fill="002060"/>
          </w:tcPr>
          <w:p w14:paraId="67E9D65C" w14:textId="77777777" w:rsidR="000642EB" w:rsidRPr="00F77FBD" w:rsidRDefault="000642EB" w:rsidP="00BC5846">
            <w:pPr>
              <w:jc w:val="both"/>
              <w:rPr>
                <w:rFonts w:ascii="Arial" w:hAnsi="Arial" w:cs="Arial"/>
                <w:b/>
                <w:color w:val="FFFFFF" w:themeColor="background1"/>
                <w:sz w:val="18"/>
                <w:szCs w:val="20"/>
              </w:rPr>
            </w:pPr>
            <w:r w:rsidRPr="00F77FBD">
              <w:rPr>
                <w:rFonts w:ascii="Arial" w:hAnsi="Arial" w:cs="Arial"/>
                <w:color w:val="FFFFFF" w:themeColor="background1"/>
                <w:sz w:val="18"/>
                <w:szCs w:val="20"/>
              </w:rPr>
              <w:t>Meaning</w:t>
            </w:r>
          </w:p>
        </w:tc>
        <w:tc>
          <w:tcPr>
            <w:tcW w:w="1747" w:type="dxa"/>
            <w:shd w:val="clear" w:color="auto" w:fill="002060"/>
          </w:tcPr>
          <w:p w14:paraId="10D1690F" w14:textId="77777777" w:rsidR="000642EB" w:rsidRPr="00741769" w:rsidRDefault="000642EB" w:rsidP="00BC5846">
            <w:pPr>
              <w:jc w:val="both"/>
              <w:rPr>
                <w:rFonts w:ascii="Arial" w:hAnsi="Arial" w:cs="Arial"/>
                <w:b/>
                <w:color w:val="FFFFFF" w:themeColor="background1"/>
                <w:sz w:val="18"/>
                <w:szCs w:val="20"/>
              </w:rPr>
            </w:pPr>
            <w:r w:rsidRPr="00741769">
              <w:rPr>
                <w:rFonts w:ascii="Arial" w:hAnsi="Arial" w:cs="Arial"/>
                <w:b/>
                <w:color w:val="FFFFFF" w:themeColor="background1"/>
                <w:sz w:val="18"/>
                <w:szCs w:val="20"/>
              </w:rPr>
              <w:t>Score</w:t>
            </w:r>
          </w:p>
        </w:tc>
      </w:tr>
      <w:tr w:rsidR="000642EB" w:rsidRPr="00741769" w14:paraId="5B8907DA" w14:textId="77777777" w:rsidTr="00915E7A">
        <w:trPr>
          <w:trHeight w:val="280"/>
          <w:jc w:val="center"/>
        </w:trPr>
        <w:tc>
          <w:tcPr>
            <w:tcW w:w="2263" w:type="dxa"/>
            <w:shd w:val="clear" w:color="auto" w:fill="4F6228" w:themeFill="accent3" w:themeFillShade="80"/>
            <w:vAlign w:val="center"/>
          </w:tcPr>
          <w:p w14:paraId="4BA0661C" w14:textId="77777777" w:rsidR="000642EB" w:rsidRPr="00741769" w:rsidRDefault="002A733C" w:rsidP="00BC5846">
            <w:pPr>
              <w:jc w:val="center"/>
              <w:rPr>
                <w:rFonts w:ascii="Arial" w:hAnsi="Arial" w:cs="Arial"/>
                <w:b/>
                <w:color w:val="FFFFFF" w:themeColor="background1"/>
                <w:sz w:val="18"/>
                <w:szCs w:val="20"/>
              </w:rPr>
            </w:pPr>
            <m:oMathPara>
              <m:oMath>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q</m:t>
                    </m:r>
                  </m:e>
                  <m:sub>
                    <m:r>
                      <w:rPr>
                        <w:rFonts w:ascii="Cambria Math" w:hAnsi="Cambria Math" w:cstheme="minorHAnsi"/>
                        <w:color w:val="FFFFFF" w:themeColor="background1"/>
                      </w:rPr>
                      <m:t>0%</m:t>
                    </m:r>
                  </m:sub>
                </m:sSub>
                <m:r>
                  <w:rPr>
                    <w:rFonts w:ascii="Cambria Math" w:hAnsi="Cambria Math" w:cstheme="minorHAnsi"/>
                    <w:color w:val="FFFFFF" w:themeColor="background1"/>
                  </w:rPr>
                  <m:t>≤</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x</m:t>
                    </m:r>
                  </m:e>
                  <m:sub>
                    <m:r>
                      <w:rPr>
                        <w:rFonts w:ascii="Cambria Math" w:hAnsi="Cambria Math" w:cstheme="minorHAnsi"/>
                        <w:color w:val="FFFFFF" w:themeColor="background1"/>
                      </w:rPr>
                      <m:t>it</m:t>
                    </m:r>
                  </m:sub>
                </m:sSub>
                <m:r>
                  <w:rPr>
                    <w:rFonts w:ascii="Cambria Math" w:hAnsi="Cambria Math" w:cstheme="minorHAnsi"/>
                    <w:color w:val="FFFFFF" w:themeColor="background1"/>
                  </w:rPr>
                  <m:t>≤</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q</m:t>
                    </m:r>
                  </m:e>
                  <m:sub>
                    <m:r>
                      <w:rPr>
                        <w:rFonts w:ascii="Cambria Math" w:hAnsi="Cambria Math" w:cstheme="minorHAnsi"/>
                        <w:color w:val="FFFFFF" w:themeColor="background1"/>
                      </w:rPr>
                      <m:t>20%</m:t>
                    </m:r>
                  </m:sub>
                </m:sSub>
              </m:oMath>
            </m:oMathPara>
          </w:p>
        </w:tc>
        <w:tc>
          <w:tcPr>
            <w:tcW w:w="1843" w:type="dxa"/>
            <w:shd w:val="clear" w:color="auto" w:fill="4F6228" w:themeFill="accent3" w:themeFillShade="80"/>
            <w:vAlign w:val="center"/>
          </w:tcPr>
          <w:p w14:paraId="637A0EFF" w14:textId="77777777" w:rsidR="000642EB" w:rsidRPr="00741769" w:rsidRDefault="000642EB" w:rsidP="00BC5846">
            <w:pPr>
              <w:jc w:val="both"/>
              <w:rPr>
                <w:rFonts w:ascii="Arial" w:hAnsi="Arial" w:cs="Arial"/>
                <w:color w:val="FFFFFF" w:themeColor="background1"/>
                <w:sz w:val="18"/>
                <w:szCs w:val="20"/>
              </w:rPr>
            </w:pPr>
            <w:r w:rsidRPr="00741769">
              <w:rPr>
                <w:rFonts w:ascii="Arial" w:eastAsia="Times New Roman" w:hAnsi="Arial" w:cs="Arial"/>
                <w:color w:val="FFFFFF"/>
                <w:sz w:val="18"/>
                <w:szCs w:val="18"/>
                <w:lang w:eastAsia="it-IT"/>
              </w:rPr>
              <w:t>Dark green</w:t>
            </w:r>
          </w:p>
        </w:tc>
        <w:tc>
          <w:tcPr>
            <w:tcW w:w="3498" w:type="dxa"/>
            <w:shd w:val="clear" w:color="auto" w:fill="4F6228" w:themeFill="accent3" w:themeFillShade="80"/>
          </w:tcPr>
          <w:p w14:paraId="5C9E29C5" w14:textId="77777777" w:rsidR="000642EB" w:rsidRPr="00F77FBD" w:rsidRDefault="000642EB" w:rsidP="00BC5846">
            <w:pPr>
              <w:jc w:val="both"/>
              <w:rPr>
                <w:rFonts w:ascii="Arial" w:hAnsi="Arial" w:cs="Arial"/>
                <w:b/>
                <w:color w:val="FFFFFF" w:themeColor="background1"/>
                <w:sz w:val="18"/>
                <w:szCs w:val="20"/>
              </w:rPr>
            </w:pPr>
            <w:r>
              <w:rPr>
                <w:rFonts w:ascii="Arial" w:hAnsi="Arial" w:cs="Arial"/>
                <w:color w:val="FFFFFF" w:themeColor="background1"/>
                <w:sz w:val="18"/>
                <w:szCs w:val="18"/>
              </w:rPr>
              <w:t>Best performers</w:t>
            </w:r>
          </w:p>
        </w:tc>
        <w:tc>
          <w:tcPr>
            <w:tcW w:w="1747" w:type="dxa"/>
            <w:shd w:val="clear" w:color="auto" w:fill="4F6228" w:themeFill="accent3" w:themeFillShade="80"/>
          </w:tcPr>
          <w:p w14:paraId="3AB5624D" w14:textId="77777777" w:rsidR="000642EB" w:rsidRPr="00741769" w:rsidRDefault="000642EB" w:rsidP="00BC5846">
            <w:pPr>
              <w:jc w:val="center"/>
              <w:rPr>
                <w:rFonts w:ascii="Arial" w:hAnsi="Arial" w:cs="Arial"/>
                <w:color w:val="FFFFFF" w:themeColor="background1"/>
                <w:sz w:val="18"/>
                <w:szCs w:val="20"/>
              </w:rPr>
            </w:pPr>
            <w:r w:rsidRPr="00741769">
              <w:rPr>
                <w:rFonts w:ascii="Arial" w:hAnsi="Arial" w:cs="Arial"/>
                <w:color w:val="FFFFFF" w:themeColor="background1"/>
                <w:sz w:val="18"/>
                <w:szCs w:val="20"/>
              </w:rPr>
              <w:t>5</w:t>
            </w:r>
          </w:p>
        </w:tc>
      </w:tr>
      <w:tr w:rsidR="008F7303" w:rsidRPr="00741769" w14:paraId="6E8073C5" w14:textId="77777777" w:rsidTr="008F7303">
        <w:trPr>
          <w:trHeight w:val="262"/>
          <w:jc w:val="center"/>
        </w:trPr>
        <w:tc>
          <w:tcPr>
            <w:tcW w:w="2263" w:type="dxa"/>
            <w:shd w:val="clear" w:color="auto" w:fill="92D050"/>
            <w:vAlign w:val="center"/>
          </w:tcPr>
          <w:p w14:paraId="32FF14E8" w14:textId="77777777" w:rsidR="000642EB" w:rsidRPr="00741769" w:rsidRDefault="002A733C" w:rsidP="00BC5846">
            <w:pPr>
              <w:jc w:val="center"/>
              <w:rPr>
                <w:rFonts w:ascii="Arial" w:hAnsi="Arial" w:cs="Arial"/>
                <w:b/>
                <w:sz w:val="18"/>
                <w:szCs w:val="20"/>
              </w:rPr>
            </w:pPr>
            <m:oMathPara>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20%</m:t>
                    </m:r>
                  </m:sub>
                </m:sSub>
                <m:r>
                  <w:rPr>
                    <w:rFonts w:ascii="Cambria Math" w:hAnsi="Cambria Math" w:cstheme="minorHAnsi"/>
                  </w:rPr>
                  <m:t>&lt;</m:t>
                </m:r>
                <m:sSub>
                  <m:sSubPr>
                    <m:ctrlPr>
                      <w:rPr>
                        <w:rFonts w:ascii="Cambria Math" w:hAnsi="Cambria Math" w:cstheme="minorHAnsi"/>
                        <w:i/>
                        <w:color w:val="000000" w:themeColor="text1"/>
                      </w:rPr>
                    </m:ctrlPr>
                  </m:sSubPr>
                  <m:e>
                    <m:r>
                      <w:rPr>
                        <w:rFonts w:ascii="Cambria Math" w:hAnsi="Cambria Math" w:cstheme="minorHAnsi"/>
                        <w:color w:val="000000" w:themeColor="text1"/>
                      </w:rPr>
                      <m:t>x</m:t>
                    </m:r>
                  </m:e>
                  <m:sub>
                    <m:r>
                      <w:rPr>
                        <w:rFonts w:ascii="Cambria Math" w:hAnsi="Cambria Math" w:cstheme="minorHAnsi"/>
                        <w:color w:val="000000" w:themeColor="text1"/>
                      </w:rPr>
                      <m:t>it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40%</m:t>
                    </m:r>
                  </m:sub>
                </m:sSub>
              </m:oMath>
            </m:oMathPara>
          </w:p>
        </w:tc>
        <w:tc>
          <w:tcPr>
            <w:tcW w:w="1843" w:type="dxa"/>
            <w:shd w:val="clear" w:color="auto" w:fill="92D050"/>
            <w:vAlign w:val="center"/>
          </w:tcPr>
          <w:p w14:paraId="7ED1D288" w14:textId="77777777" w:rsidR="000642EB" w:rsidRPr="00741769" w:rsidRDefault="000642EB" w:rsidP="00BC5846">
            <w:pPr>
              <w:jc w:val="both"/>
              <w:rPr>
                <w:rFonts w:ascii="Arial" w:hAnsi="Arial" w:cs="Arial"/>
                <w:sz w:val="18"/>
                <w:szCs w:val="20"/>
              </w:rPr>
            </w:pPr>
            <w:r w:rsidRPr="00741769">
              <w:rPr>
                <w:rFonts w:ascii="Arial" w:eastAsia="Times New Roman" w:hAnsi="Arial" w:cs="Arial"/>
                <w:color w:val="000000"/>
                <w:sz w:val="18"/>
                <w:szCs w:val="18"/>
                <w:lang w:eastAsia="it-IT"/>
              </w:rPr>
              <w:t>Light green</w:t>
            </w:r>
          </w:p>
        </w:tc>
        <w:tc>
          <w:tcPr>
            <w:tcW w:w="3498" w:type="dxa"/>
            <w:shd w:val="clear" w:color="auto" w:fill="92D050"/>
          </w:tcPr>
          <w:p w14:paraId="5286ABD5" w14:textId="77777777" w:rsidR="000642EB" w:rsidRPr="00741769" w:rsidRDefault="000642EB" w:rsidP="00BC5846">
            <w:pPr>
              <w:jc w:val="both"/>
              <w:rPr>
                <w:rFonts w:ascii="Arial" w:hAnsi="Arial" w:cs="Arial"/>
                <w:b/>
                <w:color w:val="E36C0A" w:themeColor="accent6" w:themeShade="BF"/>
                <w:sz w:val="18"/>
                <w:szCs w:val="20"/>
              </w:rPr>
            </w:pPr>
            <w:r w:rsidRPr="00F77FBD">
              <w:rPr>
                <w:rFonts w:ascii="Arial" w:hAnsi="Arial" w:cs="Arial"/>
                <w:color w:val="FFFFFF" w:themeColor="background1"/>
                <w:sz w:val="18"/>
                <w:szCs w:val="18"/>
              </w:rPr>
              <w:t>Above median performers</w:t>
            </w:r>
          </w:p>
        </w:tc>
        <w:tc>
          <w:tcPr>
            <w:tcW w:w="1747" w:type="dxa"/>
            <w:shd w:val="clear" w:color="auto" w:fill="92D050"/>
          </w:tcPr>
          <w:p w14:paraId="137AF11C" w14:textId="77777777" w:rsidR="000642EB" w:rsidRPr="00741769" w:rsidRDefault="000642EB" w:rsidP="00BC5846">
            <w:pPr>
              <w:jc w:val="center"/>
              <w:rPr>
                <w:rFonts w:ascii="Arial" w:hAnsi="Arial" w:cs="Arial"/>
                <w:sz w:val="18"/>
                <w:szCs w:val="20"/>
              </w:rPr>
            </w:pPr>
            <w:r w:rsidRPr="00741769">
              <w:rPr>
                <w:rFonts w:ascii="Arial" w:hAnsi="Arial" w:cs="Arial"/>
                <w:sz w:val="18"/>
                <w:szCs w:val="20"/>
              </w:rPr>
              <w:t>4</w:t>
            </w:r>
          </w:p>
        </w:tc>
      </w:tr>
      <w:tr w:rsidR="000642EB" w:rsidRPr="00741769" w14:paraId="52963C7C" w14:textId="77777777" w:rsidTr="00915E7A">
        <w:trPr>
          <w:trHeight w:val="262"/>
          <w:jc w:val="center"/>
        </w:trPr>
        <w:tc>
          <w:tcPr>
            <w:tcW w:w="2263" w:type="dxa"/>
            <w:shd w:val="clear" w:color="auto" w:fill="F2EEA8"/>
            <w:vAlign w:val="center"/>
          </w:tcPr>
          <w:p w14:paraId="50E63A09" w14:textId="77777777" w:rsidR="000642EB" w:rsidRPr="00741769" w:rsidRDefault="002A733C" w:rsidP="00BC5846">
            <w:pPr>
              <w:jc w:val="center"/>
              <w:rPr>
                <w:rFonts w:ascii="Arial" w:hAnsi="Arial" w:cs="Arial"/>
                <w:b/>
                <w:sz w:val="18"/>
                <w:szCs w:val="20"/>
              </w:rPr>
            </w:pPr>
            <m:oMathPara>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40%</m:t>
                    </m:r>
                  </m:sub>
                </m:sSub>
                <m:r>
                  <w:rPr>
                    <w:rFonts w:ascii="Cambria Math" w:hAnsi="Cambria Math" w:cstheme="minorHAnsi"/>
                  </w:rPr>
                  <m:t>&lt;</m:t>
                </m:r>
                <m:sSub>
                  <m:sSubPr>
                    <m:ctrlPr>
                      <w:rPr>
                        <w:rFonts w:ascii="Cambria Math" w:hAnsi="Cambria Math" w:cstheme="minorHAnsi"/>
                        <w:i/>
                        <w:color w:val="000000" w:themeColor="text1"/>
                      </w:rPr>
                    </m:ctrlPr>
                  </m:sSubPr>
                  <m:e>
                    <m:r>
                      <w:rPr>
                        <w:rFonts w:ascii="Cambria Math" w:hAnsi="Cambria Math" w:cstheme="minorHAnsi"/>
                        <w:color w:val="000000" w:themeColor="text1"/>
                      </w:rPr>
                      <m:t>x</m:t>
                    </m:r>
                  </m:e>
                  <m:sub>
                    <m:r>
                      <w:rPr>
                        <w:rFonts w:ascii="Cambria Math" w:hAnsi="Cambria Math" w:cstheme="minorHAnsi"/>
                        <w:color w:val="000000" w:themeColor="text1"/>
                      </w:rPr>
                      <m:t>it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60%</m:t>
                    </m:r>
                  </m:sub>
                </m:sSub>
              </m:oMath>
            </m:oMathPara>
          </w:p>
        </w:tc>
        <w:tc>
          <w:tcPr>
            <w:tcW w:w="1843" w:type="dxa"/>
            <w:shd w:val="clear" w:color="auto" w:fill="F2EEA8"/>
            <w:vAlign w:val="center"/>
          </w:tcPr>
          <w:p w14:paraId="2B4D53A5" w14:textId="77777777" w:rsidR="000642EB" w:rsidRPr="00741769" w:rsidRDefault="000642EB" w:rsidP="00BC5846">
            <w:pPr>
              <w:jc w:val="both"/>
              <w:rPr>
                <w:rFonts w:ascii="Arial" w:hAnsi="Arial" w:cs="Arial"/>
                <w:sz w:val="18"/>
                <w:szCs w:val="20"/>
              </w:rPr>
            </w:pPr>
            <w:r w:rsidRPr="00741769">
              <w:rPr>
                <w:rFonts w:ascii="Arial" w:eastAsia="Times New Roman" w:hAnsi="Arial" w:cs="Arial"/>
                <w:color w:val="000000"/>
                <w:sz w:val="18"/>
                <w:szCs w:val="18"/>
                <w:lang w:eastAsia="it-IT"/>
              </w:rPr>
              <w:t>Yellow</w:t>
            </w:r>
          </w:p>
        </w:tc>
        <w:tc>
          <w:tcPr>
            <w:tcW w:w="3498" w:type="dxa"/>
            <w:shd w:val="clear" w:color="auto" w:fill="F2EEA8"/>
          </w:tcPr>
          <w:p w14:paraId="508EBBC1" w14:textId="77777777" w:rsidR="000642EB" w:rsidRPr="00741769" w:rsidRDefault="000642EB" w:rsidP="00BC5846">
            <w:pPr>
              <w:jc w:val="both"/>
              <w:rPr>
                <w:rFonts w:ascii="Arial" w:hAnsi="Arial" w:cs="Arial"/>
                <w:b/>
                <w:color w:val="FABF8F" w:themeColor="accent6" w:themeTint="99"/>
                <w:sz w:val="18"/>
                <w:szCs w:val="20"/>
              </w:rPr>
            </w:pPr>
            <w:r w:rsidRPr="00C8172C">
              <w:rPr>
                <w:rFonts w:ascii="Arial" w:hAnsi="Arial" w:cs="Arial"/>
                <w:sz w:val="18"/>
                <w:szCs w:val="18"/>
              </w:rPr>
              <w:t>Median performers</w:t>
            </w:r>
          </w:p>
        </w:tc>
        <w:tc>
          <w:tcPr>
            <w:tcW w:w="1747" w:type="dxa"/>
            <w:shd w:val="clear" w:color="auto" w:fill="F2EEA8"/>
          </w:tcPr>
          <w:p w14:paraId="0EC5BAA6" w14:textId="77777777" w:rsidR="000642EB" w:rsidRPr="00741769" w:rsidRDefault="000642EB" w:rsidP="00BC5846">
            <w:pPr>
              <w:jc w:val="center"/>
              <w:rPr>
                <w:rFonts w:ascii="Arial" w:hAnsi="Arial" w:cs="Arial"/>
                <w:sz w:val="18"/>
                <w:szCs w:val="20"/>
              </w:rPr>
            </w:pPr>
            <w:r w:rsidRPr="00741769">
              <w:rPr>
                <w:rFonts w:ascii="Arial" w:hAnsi="Arial" w:cs="Arial"/>
                <w:sz w:val="18"/>
                <w:szCs w:val="20"/>
              </w:rPr>
              <w:t>3</w:t>
            </w:r>
          </w:p>
        </w:tc>
      </w:tr>
      <w:tr w:rsidR="000642EB" w:rsidRPr="00741769" w14:paraId="3D14FFD0" w14:textId="77777777" w:rsidTr="00BC5846">
        <w:trPr>
          <w:trHeight w:val="280"/>
          <w:jc w:val="center"/>
        </w:trPr>
        <w:tc>
          <w:tcPr>
            <w:tcW w:w="2263" w:type="dxa"/>
            <w:shd w:val="clear" w:color="auto" w:fill="FFC000"/>
            <w:vAlign w:val="center"/>
          </w:tcPr>
          <w:p w14:paraId="689B3424" w14:textId="77777777" w:rsidR="000642EB" w:rsidRPr="00741769" w:rsidRDefault="002A733C" w:rsidP="00BC5846">
            <w:pPr>
              <w:jc w:val="center"/>
              <w:rPr>
                <w:rFonts w:ascii="Arial" w:hAnsi="Arial" w:cs="Arial"/>
                <w:b/>
                <w:sz w:val="18"/>
                <w:szCs w:val="20"/>
              </w:rPr>
            </w:pPr>
            <m:oMathPara>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60%</m:t>
                    </m:r>
                  </m:sub>
                </m:sSub>
                <m:r>
                  <w:rPr>
                    <w:rFonts w:ascii="Cambria Math" w:hAnsi="Cambria Math" w:cstheme="minorHAnsi"/>
                  </w:rPr>
                  <m:t>&lt;</m:t>
                </m:r>
                <m:sSub>
                  <m:sSubPr>
                    <m:ctrlPr>
                      <w:rPr>
                        <w:rFonts w:ascii="Cambria Math" w:hAnsi="Cambria Math" w:cstheme="minorHAnsi"/>
                        <w:i/>
                        <w:color w:val="000000" w:themeColor="text1"/>
                      </w:rPr>
                    </m:ctrlPr>
                  </m:sSubPr>
                  <m:e>
                    <m:r>
                      <w:rPr>
                        <w:rFonts w:ascii="Cambria Math" w:hAnsi="Cambria Math" w:cstheme="minorHAnsi"/>
                        <w:color w:val="000000" w:themeColor="text1"/>
                      </w:rPr>
                      <m:t>x</m:t>
                    </m:r>
                  </m:e>
                  <m:sub>
                    <m:r>
                      <w:rPr>
                        <w:rFonts w:ascii="Cambria Math" w:hAnsi="Cambria Math" w:cstheme="minorHAnsi"/>
                        <w:color w:val="000000" w:themeColor="text1"/>
                      </w:rPr>
                      <m:t>it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80%</m:t>
                    </m:r>
                  </m:sub>
                </m:sSub>
              </m:oMath>
            </m:oMathPara>
          </w:p>
        </w:tc>
        <w:tc>
          <w:tcPr>
            <w:tcW w:w="1843" w:type="dxa"/>
            <w:shd w:val="clear" w:color="auto" w:fill="FFC000"/>
            <w:vAlign w:val="center"/>
          </w:tcPr>
          <w:p w14:paraId="252C33C7" w14:textId="77777777" w:rsidR="000642EB" w:rsidRPr="00741769" w:rsidRDefault="000642EB" w:rsidP="00BC5846">
            <w:pPr>
              <w:jc w:val="both"/>
              <w:rPr>
                <w:rFonts w:ascii="Arial" w:hAnsi="Arial" w:cs="Arial"/>
                <w:sz w:val="18"/>
                <w:szCs w:val="20"/>
              </w:rPr>
            </w:pPr>
            <w:r w:rsidRPr="00741769">
              <w:rPr>
                <w:rFonts w:ascii="Arial" w:eastAsia="Times New Roman" w:hAnsi="Arial" w:cs="Arial"/>
                <w:color w:val="000000"/>
                <w:sz w:val="18"/>
                <w:szCs w:val="18"/>
                <w:lang w:eastAsia="it-IT"/>
              </w:rPr>
              <w:t>Orange</w:t>
            </w:r>
          </w:p>
        </w:tc>
        <w:tc>
          <w:tcPr>
            <w:tcW w:w="3498" w:type="dxa"/>
            <w:shd w:val="clear" w:color="auto" w:fill="FFC000"/>
          </w:tcPr>
          <w:p w14:paraId="2BCB25F2" w14:textId="77777777" w:rsidR="000642EB" w:rsidRPr="00741769" w:rsidRDefault="000642EB" w:rsidP="00BC5846">
            <w:pPr>
              <w:jc w:val="both"/>
              <w:rPr>
                <w:rFonts w:ascii="Arial" w:hAnsi="Arial" w:cs="Arial"/>
                <w:b/>
                <w:color w:val="FFC000"/>
                <w:sz w:val="18"/>
                <w:szCs w:val="20"/>
              </w:rPr>
            </w:pPr>
            <w:r w:rsidRPr="00C8172C">
              <w:rPr>
                <w:rFonts w:ascii="Arial" w:hAnsi="Arial" w:cs="Arial"/>
                <w:sz w:val="18"/>
                <w:szCs w:val="18"/>
              </w:rPr>
              <w:t>Below median performers</w:t>
            </w:r>
          </w:p>
        </w:tc>
        <w:tc>
          <w:tcPr>
            <w:tcW w:w="1747" w:type="dxa"/>
            <w:shd w:val="clear" w:color="auto" w:fill="FFC000"/>
          </w:tcPr>
          <w:p w14:paraId="2B7B87C9" w14:textId="77777777" w:rsidR="000642EB" w:rsidRPr="00741769" w:rsidRDefault="000642EB" w:rsidP="00BC5846">
            <w:pPr>
              <w:jc w:val="center"/>
              <w:rPr>
                <w:rFonts w:ascii="Arial" w:hAnsi="Arial" w:cs="Arial"/>
                <w:sz w:val="18"/>
                <w:szCs w:val="20"/>
              </w:rPr>
            </w:pPr>
            <w:r w:rsidRPr="00741769">
              <w:rPr>
                <w:rFonts w:ascii="Arial" w:hAnsi="Arial" w:cs="Arial"/>
                <w:sz w:val="18"/>
                <w:szCs w:val="20"/>
              </w:rPr>
              <w:t>2</w:t>
            </w:r>
          </w:p>
        </w:tc>
      </w:tr>
      <w:tr w:rsidR="000642EB" w:rsidRPr="00741769" w14:paraId="0E9BFABB" w14:textId="77777777" w:rsidTr="00BC5846">
        <w:trPr>
          <w:trHeight w:val="262"/>
          <w:jc w:val="center"/>
        </w:trPr>
        <w:tc>
          <w:tcPr>
            <w:tcW w:w="2263" w:type="dxa"/>
            <w:shd w:val="clear" w:color="auto" w:fill="FF0000"/>
            <w:vAlign w:val="center"/>
          </w:tcPr>
          <w:p w14:paraId="69A6A793" w14:textId="77777777" w:rsidR="000642EB" w:rsidRPr="00741769" w:rsidRDefault="002A733C" w:rsidP="00BC5846">
            <w:pPr>
              <w:jc w:val="center"/>
              <w:rPr>
                <w:rFonts w:ascii="Arial" w:hAnsi="Arial" w:cs="Arial"/>
                <w:b/>
                <w:color w:val="FFFFFF" w:themeColor="background1"/>
                <w:sz w:val="18"/>
                <w:szCs w:val="20"/>
              </w:rPr>
            </w:pPr>
            <m:oMathPara>
              <m:oMath>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q</m:t>
                    </m:r>
                  </m:e>
                  <m:sub>
                    <m:r>
                      <w:rPr>
                        <w:rFonts w:ascii="Cambria Math" w:hAnsi="Cambria Math" w:cstheme="minorHAnsi"/>
                        <w:color w:val="FFFFFF" w:themeColor="background1"/>
                      </w:rPr>
                      <m:t>80%</m:t>
                    </m:r>
                  </m:sub>
                </m:sSub>
                <m:r>
                  <w:rPr>
                    <w:rFonts w:ascii="Cambria Math" w:hAnsi="Cambria Math" w:cstheme="minorHAnsi"/>
                    <w:color w:val="FFFFFF" w:themeColor="background1"/>
                  </w:rPr>
                  <m:t>&lt;</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x</m:t>
                    </m:r>
                  </m:e>
                  <m:sub>
                    <m:r>
                      <w:rPr>
                        <w:rFonts w:ascii="Cambria Math" w:hAnsi="Cambria Math" w:cstheme="minorHAnsi"/>
                        <w:color w:val="FFFFFF" w:themeColor="background1"/>
                      </w:rPr>
                      <m:t>it</m:t>
                    </m:r>
                  </m:sub>
                </m:sSub>
                <m:r>
                  <w:rPr>
                    <w:rFonts w:ascii="Cambria Math" w:hAnsi="Cambria Math" w:cstheme="minorHAnsi"/>
                    <w:color w:val="FFFFFF" w:themeColor="background1"/>
                  </w:rPr>
                  <m:t>≤</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q</m:t>
                    </m:r>
                  </m:e>
                  <m:sub>
                    <m:r>
                      <w:rPr>
                        <w:rFonts w:ascii="Cambria Math" w:hAnsi="Cambria Math" w:cstheme="minorHAnsi"/>
                        <w:color w:val="FFFFFF" w:themeColor="background1"/>
                      </w:rPr>
                      <m:t>100%</m:t>
                    </m:r>
                  </m:sub>
                </m:sSub>
              </m:oMath>
            </m:oMathPara>
          </w:p>
        </w:tc>
        <w:tc>
          <w:tcPr>
            <w:tcW w:w="1843" w:type="dxa"/>
            <w:shd w:val="clear" w:color="auto" w:fill="FF0000"/>
            <w:vAlign w:val="center"/>
          </w:tcPr>
          <w:p w14:paraId="3977AA83" w14:textId="77777777" w:rsidR="000642EB" w:rsidRPr="00741769" w:rsidRDefault="000642EB" w:rsidP="00BC5846">
            <w:pPr>
              <w:jc w:val="both"/>
              <w:rPr>
                <w:rFonts w:ascii="Arial" w:hAnsi="Arial" w:cs="Arial"/>
                <w:color w:val="FFFFFF" w:themeColor="background1"/>
                <w:sz w:val="18"/>
                <w:szCs w:val="20"/>
              </w:rPr>
            </w:pPr>
            <w:r w:rsidRPr="00741769">
              <w:rPr>
                <w:rFonts w:ascii="Arial" w:eastAsia="Times New Roman" w:hAnsi="Arial" w:cs="Arial"/>
                <w:color w:val="FFFFFF"/>
                <w:sz w:val="18"/>
                <w:szCs w:val="18"/>
                <w:lang w:eastAsia="it-IT"/>
              </w:rPr>
              <w:t>Red</w:t>
            </w:r>
          </w:p>
        </w:tc>
        <w:tc>
          <w:tcPr>
            <w:tcW w:w="3498" w:type="dxa"/>
            <w:shd w:val="clear" w:color="auto" w:fill="FF0000"/>
          </w:tcPr>
          <w:p w14:paraId="3ED543F3" w14:textId="77777777" w:rsidR="000642EB" w:rsidRPr="00741769" w:rsidRDefault="000642EB" w:rsidP="00BC5846">
            <w:pPr>
              <w:jc w:val="both"/>
              <w:rPr>
                <w:rFonts w:ascii="Arial" w:hAnsi="Arial" w:cs="Arial"/>
                <w:b/>
                <w:color w:val="FFFFFF" w:themeColor="background1"/>
                <w:sz w:val="18"/>
                <w:szCs w:val="20"/>
              </w:rPr>
            </w:pPr>
            <w:r w:rsidRPr="00C8172C">
              <w:rPr>
                <w:rFonts w:ascii="Arial" w:hAnsi="Arial" w:cs="Arial"/>
                <w:sz w:val="18"/>
                <w:szCs w:val="18"/>
              </w:rPr>
              <w:t>Worst performers</w:t>
            </w:r>
          </w:p>
        </w:tc>
        <w:tc>
          <w:tcPr>
            <w:tcW w:w="1747" w:type="dxa"/>
            <w:shd w:val="clear" w:color="auto" w:fill="FF0000"/>
          </w:tcPr>
          <w:p w14:paraId="169C8B62" w14:textId="77777777" w:rsidR="000642EB" w:rsidRPr="00741769" w:rsidRDefault="000642EB" w:rsidP="00BC5846">
            <w:pPr>
              <w:jc w:val="center"/>
              <w:rPr>
                <w:rFonts w:ascii="Arial" w:hAnsi="Arial" w:cs="Arial"/>
                <w:color w:val="FFFFFF" w:themeColor="background1"/>
                <w:sz w:val="18"/>
                <w:szCs w:val="20"/>
              </w:rPr>
            </w:pPr>
            <w:r w:rsidRPr="00741769">
              <w:rPr>
                <w:rFonts w:ascii="Arial" w:hAnsi="Arial" w:cs="Arial"/>
                <w:color w:val="FFFFFF" w:themeColor="background1"/>
                <w:sz w:val="18"/>
                <w:szCs w:val="20"/>
              </w:rPr>
              <w:t>1</w:t>
            </w:r>
          </w:p>
        </w:tc>
      </w:tr>
      <w:tr w:rsidR="000642EB" w:rsidRPr="00741769" w14:paraId="26B6EDBE" w14:textId="77777777" w:rsidTr="00BC5846">
        <w:trPr>
          <w:trHeight w:val="262"/>
          <w:jc w:val="center"/>
        </w:trPr>
        <w:tc>
          <w:tcPr>
            <w:tcW w:w="2263" w:type="dxa"/>
            <w:shd w:val="clear" w:color="auto" w:fill="BFBFBF" w:themeFill="background1" w:themeFillShade="BF"/>
            <w:vAlign w:val="center"/>
          </w:tcPr>
          <w:p w14:paraId="10EEA064" w14:textId="77777777" w:rsidR="000642EB" w:rsidRPr="00741769" w:rsidRDefault="000642EB" w:rsidP="00BC5846">
            <w:pPr>
              <w:jc w:val="center"/>
              <w:rPr>
                <w:rFonts w:ascii="Arial" w:hAnsi="Arial" w:cs="Arial"/>
                <w:b/>
                <w:color w:val="FFFFFF" w:themeColor="background1"/>
                <w:sz w:val="18"/>
                <w:szCs w:val="20"/>
              </w:rPr>
            </w:pPr>
            <w:r>
              <w:rPr>
                <w:rFonts w:ascii="Arial" w:hAnsi="Arial" w:cs="Arial"/>
                <w:b/>
                <w:color w:val="FFFFFF" w:themeColor="background1"/>
                <w:sz w:val="18"/>
                <w:szCs w:val="20"/>
              </w:rPr>
              <w:t>None</w:t>
            </w:r>
          </w:p>
        </w:tc>
        <w:tc>
          <w:tcPr>
            <w:tcW w:w="1843" w:type="dxa"/>
            <w:shd w:val="clear" w:color="auto" w:fill="BFBFBF" w:themeFill="background1" w:themeFillShade="BF"/>
            <w:vAlign w:val="center"/>
          </w:tcPr>
          <w:p w14:paraId="2D8BE89B" w14:textId="77777777" w:rsidR="000642EB" w:rsidRPr="00741769" w:rsidRDefault="000642EB" w:rsidP="00BC5846">
            <w:pPr>
              <w:jc w:val="both"/>
              <w:rPr>
                <w:rFonts w:ascii="Arial" w:eastAsia="Times New Roman" w:hAnsi="Arial" w:cs="Arial"/>
                <w:color w:val="FFFFFF"/>
                <w:sz w:val="18"/>
                <w:szCs w:val="18"/>
                <w:lang w:eastAsia="it-IT"/>
              </w:rPr>
            </w:pPr>
            <w:r w:rsidRPr="00741769">
              <w:rPr>
                <w:rFonts w:ascii="Arial" w:eastAsia="Times New Roman" w:hAnsi="Arial" w:cs="Arial"/>
                <w:color w:val="FFFFFF"/>
                <w:sz w:val="18"/>
                <w:szCs w:val="18"/>
                <w:lang w:eastAsia="it-IT"/>
              </w:rPr>
              <w:t>Grey</w:t>
            </w:r>
          </w:p>
        </w:tc>
        <w:tc>
          <w:tcPr>
            <w:tcW w:w="3498" w:type="dxa"/>
            <w:shd w:val="clear" w:color="auto" w:fill="BFBFBF" w:themeFill="background1" w:themeFillShade="BF"/>
            <w:vAlign w:val="center"/>
          </w:tcPr>
          <w:p w14:paraId="6B6758B3" w14:textId="77777777" w:rsidR="000642EB" w:rsidRPr="00741769" w:rsidRDefault="000642EB" w:rsidP="00BC5846">
            <w:pPr>
              <w:jc w:val="both"/>
              <w:rPr>
                <w:rFonts w:ascii="Arial" w:hAnsi="Arial" w:cs="Arial"/>
                <w:color w:val="FFFFFF" w:themeColor="background1"/>
                <w:sz w:val="18"/>
                <w:szCs w:val="20"/>
              </w:rPr>
            </w:pPr>
            <w:r>
              <w:rPr>
                <w:rFonts w:ascii="Arial" w:hAnsi="Arial" w:cs="Arial"/>
                <w:color w:val="FFFFFF" w:themeColor="background1"/>
                <w:sz w:val="18"/>
                <w:szCs w:val="20"/>
              </w:rPr>
              <w:t>Missing data</w:t>
            </w:r>
          </w:p>
        </w:tc>
        <w:tc>
          <w:tcPr>
            <w:tcW w:w="1747" w:type="dxa"/>
            <w:shd w:val="clear" w:color="auto" w:fill="BFBFBF" w:themeFill="background1" w:themeFillShade="BF"/>
          </w:tcPr>
          <w:p w14:paraId="76C2B56C" w14:textId="77777777" w:rsidR="000642EB" w:rsidRPr="00741769" w:rsidRDefault="000642EB" w:rsidP="00BC5846">
            <w:pPr>
              <w:jc w:val="center"/>
              <w:rPr>
                <w:rFonts w:ascii="Arial" w:hAnsi="Arial" w:cs="Arial"/>
                <w:color w:val="FFFFFF" w:themeColor="background1"/>
                <w:sz w:val="18"/>
                <w:szCs w:val="20"/>
              </w:rPr>
            </w:pPr>
            <w:r>
              <w:rPr>
                <w:rFonts w:ascii="Arial" w:hAnsi="Arial" w:cs="Arial"/>
                <w:color w:val="FFFFFF" w:themeColor="background1"/>
                <w:sz w:val="18"/>
                <w:szCs w:val="20"/>
              </w:rPr>
              <w:t>1</w:t>
            </w:r>
          </w:p>
        </w:tc>
      </w:tr>
    </w:tbl>
    <w:p w14:paraId="7206DC92" w14:textId="3E7E30C8" w:rsidR="008B27F5" w:rsidRPr="009007A9" w:rsidRDefault="008B27F5" w:rsidP="008B27F5">
      <w:pPr>
        <w:pStyle w:val="MHeader"/>
      </w:pPr>
      <w:r>
        <w:t>Annex 3</w:t>
      </w:r>
      <w:r w:rsidRPr="009007A9">
        <w:t>: Method for assessing trend</w:t>
      </w:r>
    </w:p>
    <w:p w14:paraId="0C48B99D" w14:textId="77777777" w:rsidR="008B27F5" w:rsidRDefault="008B27F5" w:rsidP="008B27F5">
      <w:pPr>
        <w:spacing w:after="120"/>
        <w:rPr>
          <w:color w:val="000000" w:themeColor="text1"/>
        </w:rPr>
      </w:pPr>
      <w:r w:rsidRPr="00091CE2">
        <w:rPr>
          <w:color w:val="000000" w:themeColor="text1"/>
        </w:rPr>
        <w:t xml:space="preserve">The method to assess the trend distinguishes between indicators underpinning targets with and without a numerical yardstick. </w:t>
      </w:r>
    </w:p>
    <w:p w14:paraId="5D057727" w14:textId="77777777" w:rsidR="008B27F5" w:rsidRPr="00D2555A" w:rsidRDefault="008B27F5" w:rsidP="008B27F5">
      <w:pPr>
        <w:jc w:val="both"/>
        <w:rPr>
          <w:b/>
        </w:rPr>
      </w:pPr>
      <w:r>
        <w:rPr>
          <w:b/>
        </w:rPr>
        <w:t>2</w:t>
      </w:r>
      <w:r w:rsidRPr="00D2555A">
        <w:rPr>
          <w:b/>
        </w:rPr>
        <w:t xml:space="preserve">.1 Indicators with a numerical target </w:t>
      </w:r>
    </w:p>
    <w:p w14:paraId="35B8F912" w14:textId="77777777" w:rsidR="008B27F5" w:rsidRPr="00091CE2" w:rsidRDefault="008B27F5" w:rsidP="008B27F5">
      <w:pPr>
        <w:spacing w:after="120"/>
        <w:rPr>
          <w:color w:val="000000" w:themeColor="text1"/>
        </w:rPr>
      </w:pPr>
      <w:r w:rsidRPr="00091CE2">
        <w:rPr>
          <w:color w:val="000000" w:themeColor="text1"/>
        </w:rPr>
        <w:t>For indicators with a fixed numerical target, the trend is assessed by comparing the actual growth since the baseline year, with the growth required to achieve the target. Assuming a geometrical growth over time, the trend is assessed with the following mathematical expression</w:t>
      </w:r>
      <w:r w:rsidRPr="00091CE2">
        <w:rPr>
          <w:color w:val="000000" w:themeColor="text1"/>
          <w:vertAlign w:val="superscript"/>
        </w:rPr>
        <w:footnoteReference w:id="3"/>
      </w:r>
    </w:p>
    <w:p w14:paraId="14380294" w14:textId="77777777" w:rsidR="008B27F5" w:rsidRPr="00091CE2" w:rsidRDefault="008B27F5" w:rsidP="008B27F5">
      <w:pPr>
        <w:spacing w:after="120"/>
        <w:jc w:val="center"/>
        <w:rPr>
          <w:color w:val="000000" w:themeColor="text1"/>
        </w:rPr>
      </w:pPr>
      <m:oMath>
        <m:r>
          <w:rPr>
            <w:rFonts w:ascii="Cambria Math" w:hAnsi="Cambria Math"/>
            <w:color w:val="000000" w:themeColor="text1"/>
          </w:rPr>
          <w:lastRenderedPageBreak/>
          <m:t>CR</m:t>
        </m:r>
        <m:r>
          <m:rPr>
            <m:sty m:val="p"/>
          </m:rP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CAG</m:t>
            </m:r>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a</m:t>
                </m:r>
              </m:sub>
            </m:sSub>
          </m:num>
          <m:den>
            <m:r>
              <w:rPr>
                <w:rFonts w:ascii="Cambria Math" w:hAnsi="Cambria Math"/>
                <w:color w:val="000000" w:themeColor="text1"/>
              </w:rPr>
              <m:t>CAG</m:t>
            </m:r>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r</m:t>
                </m:r>
              </m:sub>
            </m:sSub>
          </m:den>
        </m:f>
        <m:r>
          <m:rPr>
            <m:sty m:val="p"/>
          </m:rPr>
          <w:rPr>
            <w:rFonts w:ascii="Cambria Math" w:hAnsi="Cambria Math"/>
            <w:color w:val="000000" w:themeColor="text1"/>
          </w:rPr>
          <m:t xml:space="preserve">= </m:t>
        </m:r>
        <m:f>
          <m:fPr>
            <m:ctrlPr>
              <w:rPr>
                <w:rFonts w:ascii="Cambria Math" w:hAnsi="Cambria Math"/>
                <w:color w:val="000000" w:themeColor="text1"/>
              </w:rPr>
            </m:ctrlPr>
          </m:fPr>
          <m:num>
            <m:sSup>
              <m:sSupPr>
                <m:ctrlPr>
                  <w:rPr>
                    <w:rFonts w:ascii="Cambria Math" w:hAnsi="Cambria Math"/>
                    <w:color w:val="000000" w:themeColor="text1"/>
                  </w:rPr>
                </m:ctrlPr>
              </m:sSupPr>
              <m:e>
                <m:d>
                  <m:dPr>
                    <m:ctrlPr>
                      <w:rPr>
                        <w:rFonts w:ascii="Cambria Math" w:hAnsi="Cambria Math"/>
                        <w:color w:val="000000" w:themeColor="text1"/>
                      </w:rPr>
                    </m:ctrlPr>
                  </m:dPr>
                  <m:e>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num>
                      <m:den>
                        <m:sSub>
                          <m:sSubPr>
                            <m:ctrlPr>
                              <w:rPr>
                                <w:rFonts w:ascii="Cambria Math" w:hAnsi="Cambria Math"/>
                                <w:color w:val="000000" w:themeColor="text1"/>
                              </w:rPr>
                            </m:ctrlPr>
                          </m:sSubPr>
                          <m:e>
                            <m:r>
                              <w:rPr>
                                <w:rFonts w:ascii="Cambria Math" w:hAnsi="Cambria Math"/>
                                <w:color w:val="000000" w:themeColor="text1"/>
                              </w:rPr>
                              <m:t>x</m:t>
                            </m:r>
                          </m:e>
                          <m:sub>
                            <m:sSub>
                              <m:sSubPr>
                                <m:ctrlPr>
                                  <w:rPr>
                                    <w:rFonts w:ascii="Cambria Math" w:hAnsi="Cambria Math"/>
                                    <w:color w:val="000000" w:themeColor="text1"/>
                                  </w:rPr>
                                </m:ctrlPr>
                              </m:sSubPr>
                              <m:e>
                                <m:r>
                                  <w:rPr>
                                    <w:rFonts w:ascii="Cambria Math" w:hAnsi="Cambria Math"/>
                                    <w:color w:val="000000" w:themeColor="text1"/>
                                  </w:rPr>
                                  <m:t>t</m:t>
                                </m:r>
                              </m:e>
                              <m:sub>
                                <m:r>
                                  <m:rPr>
                                    <m:sty m:val="p"/>
                                  </m:rPr>
                                  <w:rPr>
                                    <w:rFonts w:ascii="Cambria Math" w:hAnsi="Cambria Math"/>
                                    <w:color w:val="000000" w:themeColor="text1"/>
                                  </w:rPr>
                                  <m:t>0</m:t>
                                </m:r>
                              </m:sub>
                            </m:sSub>
                          </m:sub>
                        </m:sSub>
                      </m:den>
                    </m:f>
                  </m:e>
                </m:d>
              </m:e>
              <m:sup>
                <m:f>
                  <m:fPr>
                    <m:ctrlPr>
                      <w:rPr>
                        <w:rFonts w:ascii="Cambria Math" w:hAnsi="Cambria Math"/>
                        <w:color w:val="000000" w:themeColor="text1"/>
                      </w:rPr>
                    </m:ctrlPr>
                  </m:fPr>
                  <m:num>
                    <m:r>
                      <m:rPr>
                        <m:sty m:val="p"/>
                      </m:rPr>
                      <w:rPr>
                        <w:rFonts w:ascii="Cambria Math" w:hAnsi="Cambria Math"/>
                        <w:color w:val="000000" w:themeColor="text1"/>
                      </w:rPr>
                      <m:t>1</m:t>
                    </m:r>
                  </m:num>
                  <m:den>
                    <m:r>
                      <w:rPr>
                        <w:rFonts w:ascii="Cambria Math" w:hAnsi="Cambria Math"/>
                        <w:color w:val="000000" w:themeColor="text1"/>
                      </w:rPr>
                      <m:t>t</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t</m:t>
                        </m:r>
                      </m:e>
                      <m:sub>
                        <m:r>
                          <m:rPr>
                            <m:sty m:val="p"/>
                          </m:rPr>
                          <w:rPr>
                            <w:rFonts w:ascii="Cambria Math" w:hAnsi="Cambria Math"/>
                            <w:color w:val="000000" w:themeColor="text1"/>
                          </w:rPr>
                          <m:t>0</m:t>
                        </m:r>
                      </m:sub>
                    </m:sSub>
                  </m:den>
                </m:f>
              </m:sup>
            </m:sSup>
            <m:r>
              <m:rPr>
                <m:sty m:val="p"/>
              </m:rPr>
              <w:rPr>
                <w:rFonts w:ascii="Cambria Math" w:hAnsi="Cambria Math"/>
                <w:color w:val="000000" w:themeColor="text1"/>
              </w:rPr>
              <m:t>-1</m:t>
            </m:r>
          </m:num>
          <m:den>
            <m:sSup>
              <m:sSupPr>
                <m:ctrlPr>
                  <w:rPr>
                    <w:rFonts w:ascii="Cambria Math" w:hAnsi="Cambria Math"/>
                    <w:color w:val="000000" w:themeColor="text1"/>
                  </w:rPr>
                </m:ctrlPr>
              </m:sSupPr>
              <m:e>
                <m:d>
                  <m:dPr>
                    <m:ctrlPr>
                      <w:rPr>
                        <w:rFonts w:ascii="Cambria Math" w:hAnsi="Cambria Math"/>
                        <w:color w:val="000000" w:themeColor="text1"/>
                      </w:rPr>
                    </m:ctrlPr>
                  </m:dPr>
                  <m:e>
                    <m:f>
                      <m:fPr>
                        <m:ctrlPr>
                          <w:rPr>
                            <w:rFonts w:ascii="Cambria Math" w:hAnsi="Cambria Math"/>
                            <w:color w:val="000000" w:themeColor="text1"/>
                          </w:rPr>
                        </m:ctrlPr>
                      </m:fPr>
                      <m:num>
                        <m:sSup>
                          <m:sSupPr>
                            <m:ctrlPr>
                              <w:rPr>
                                <w:rFonts w:ascii="Cambria Math" w:hAnsi="Cambria Math"/>
                                <w:color w:val="000000" w:themeColor="text1"/>
                              </w:rPr>
                            </m:ctrlPr>
                          </m:sSupPr>
                          <m:e>
                            <m:r>
                              <w:rPr>
                                <w:rFonts w:ascii="Cambria Math" w:hAnsi="Cambria Math"/>
                                <w:color w:val="000000" w:themeColor="text1"/>
                              </w:rPr>
                              <m:t>x</m:t>
                            </m:r>
                          </m:e>
                          <m:sup>
                            <m:r>
                              <m:rPr>
                                <m:sty m:val="p"/>
                              </m:rPr>
                              <w:rPr>
                                <w:rFonts w:ascii="Cambria Math" w:hAnsi="Cambria Math"/>
                                <w:color w:val="000000" w:themeColor="text1"/>
                              </w:rPr>
                              <m:t>*</m:t>
                            </m:r>
                          </m:sup>
                        </m:sSup>
                      </m:num>
                      <m:den>
                        <m:sSub>
                          <m:sSubPr>
                            <m:ctrlPr>
                              <w:rPr>
                                <w:rFonts w:ascii="Cambria Math" w:hAnsi="Cambria Math"/>
                                <w:color w:val="000000" w:themeColor="text1"/>
                              </w:rPr>
                            </m:ctrlPr>
                          </m:sSubPr>
                          <m:e>
                            <m:r>
                              <w:rPr>
                                <w:rFonts w:ascii="Cambria Math" w:hAnsi="Cambria Math"/>
                                <w:color w:val="000000" w:themeColor="text1"/>
                              </w:rPr>
                              <m:t>x</m:t>
                            </m:r>
                          </m:e>
                          <m:sub>
                            <m:sSub>
                              <m:sSubPr>
                                <m:ctrlPr>
                                  <w:rPr>
                                    <w:rFonts w:ascii="Cambria Math" w:hAnsi="Cambria Math"/>
                                    <w:color w:val="000000" w:themeColor="text1"/>
                                  </w:rPr>
                                </m:ctrlPr>
                              </m:sSubPr>
                              <m:e>
                                <m:r>
                                  <w:rPr>
                                    <w:rFonts w:ascii="Cambria Math" w:hAnsi="Cambria Math"/>
                                    <w:color w:val="000000" w:themeColor="text1"/>
                                  </w:rPr>
                                  <m:t>t</m:t>
                                </m:r>
                              </m:e>
                              <m:sub>
                                <m:r>
                                  <m:rPr>
                                    <m:sty m:val="p"/>
                                  </m:rPr>
                                  <w:rPr>
                                    <w:rFonts w:ascii="Cambria Math" w:hAnsi="Cambria Math"/>
                                    <w:color w:val="000000" w:themeColor="text1"/>
                                  </w:rPr>
                                  <m:t>0</m:t>
                                </m:r>
                              </m:sub>
                            </m:sSub>
                          </m:sub>
                        </m:sSub>
                      </m:den>
                    </m:f>
                  </m:e>
                </m:d>
              </m:e>
              <m:sup>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2030-</m:t>
                    </m:r>
                    <m:sSub>
                      <m:sSubPr>
                        <m:ctrlPr>
                          <w:rPr>
                            <w:rFonts w:ascii="Cambria Math" w:hAnsi="Cambria Math"/>
                            <w:color w:val="000000" w:themeColor="text1"/>
                          </w:rPr>
                        </m:ctrlPr>
                      </m:sSubPr>
                      <m:e>
                        <m:r>
                          <w:rPr>
                            <w:rFonts w:ascii="Cambria Math" w:hAnsi="Cambria Math"/>
                            <w:color w:val="000000" w:themeColor="text1"/>
                          </w:rPr>
                          <m:t>t</m:t>
                        </m:r>
                      </m:e>
                      <m:sub>
                        <m:r>
                          <m:rPr>
                            <m:sty m:val="p"/>
                          </m:rPr>
                          <w:rPr>
                            <w:rFonts w:ascii="Cambria Math" w:hAnsi="Cambria Math"/>
                            <w:color w:val="000000" w:themeColor="text1"/>
                          </w:rPr>
                          <m:t>0</m:t>
                        </m:r>
                      </m:sub>
                    </m:sSub>
                  </m:den>
                </m:f>
              </m:sup>
            </m:sSup>
            <m:r>
              <m:rPr>
                <m:sty m:val="p"/>
              </m:rPr>
              <w:rPr>
                <w:rFonts w:ascii="Cambria Math" w:hAnsi="Cambria Math"/>
                <w:color w:val="000000" w:themeColor="text1"/>
              </w:rPr>
              <m:t>-1</m:t>
            </m:r>
          </m:den>
        </m:f>
      </m:oMath>
      <w:r w:rsidRPr="00091CE2">
        <w:rPr>
          <w:color w:val="000000" w:themeColor="text1"/>
        </w:rPr>
        <w:t>:</w:t>
      </w:r>
    </w:p>
    <w:p w14:paraId="43C7B5D7" w14:textId="77777777" w:rsidR="008B27F5" w:rsidRPr="00091CE2" w:rsidRDefault="008B27F5" w:rsidP="008B27F5">
      <w:pPr>
        <w:rPr>
          <w:color w:val="000000" w:themeColor="text1"/>
        </w:rPr>
      </w:pPr>
      <w:r w:rsidRPr="00091CE2">
        <w:rPr>
          <w:color w:val="000000" w:themeColor="text1"/>
        </w:rPr>
        <w:t>Against the following thresholds and categories</w:t>
      </w:r>
      <w:r>
        <w:rPr>
          <w:color w:val="000000" w:themeColor="text1"/>
        </w:rPr>
        <w:t xml:space="preserve"> as included in the technical annex of the global SDG Pro</w:t>
      </w:r>
      <w:r w:rsidR="00BB7C98">
        <w:rPr>
          <w:color w:val="000000" w:themeColor="text1"/>
        </w:rPr>
        <w:t>g</w:t>
      </w:r>
      <w:r>
        <w:rPr>
          <w:color w:val="000000" w:themeColor="text1"/>
        </w:rPr>
        <w:t>ress Chart</w:t>
      </w:r>
      <w:r w:rsidRPr="00091CE2">
        <w:rPr>
          <w:color w:val="000000" w:themeColor="text1"/>
        </w:rPr>
        <w:t>:</w:t>
      </w:r>
    </w:p>
    <w:tbl>
      <w:tblPr>
        <w:tblW w:w="9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29"/>
        <w:gridCol w:w="1254"/>
        <w:gridCol w:w="26"/>
        <w:gridCol w:w="4336"/>
        <w:gridCol w:w="1546"/>
      </w:tblGrid>
      <w:tr w:rsidR="008B27F5" w:rsidRPr="00091CE2" w14:paraId="5B1AFD30" w14:textId="77777777" w:rsidTr="008B27F5">
        <w:trPr>
          <w:trHeight w:val="283"/>
          <w:jc w:val="center"/>
        </w:trPr>
        <w:tc>
          <w:tcPr>
            <w:tcW w:w="2629" w:type="dxa"/>
            <w:shd w:val="clear" w:color="auto" w:fill="215868" w:themeFill="accent5" w:themeFillShade="80"/>
            <w:noWrap/>
            <w:vAlign w:val="center"/>
            <w:hideMark/>
          </w:tcPr>
          <w:p w14:paraId="5F97DD48" w14:textId="77777777" w:rsidR="008B27F5" w:rsidRPr="00091CE2" w:rsidRDefault="008B27F5" w:rsidP="008B27F5">
            <w:pPr>
              <w:jc w:val="center"/>
              <w:rPr>
                <w:rFonts w:eastAsia="Times New Roman" w:cstheme="minorHAnsi"/>
                <w:b/>
                <w:sz w:val="20"/>
                <w:szCs w:val="20"/>
                <w:lang w:eastAsia="it-IT"/>
              </w:rPr>
            </w:pPr>
            <w:r w:rsidRPr="00091CE2">
              <w:rPr>
                <w:rFonts w:eastAsia="Times New Roman" w:cstheme="minorHAnsi"/>
                <w:b/>
                <w:color w:val="FFFFFF" w:themeColor="background1"/>
                <w:sz w:val="20"/>
                <w:szCs w:val="20"/>
                <w:lang w:eastAsia="it-IT"/>
              </w:rPr>
              <w:t>Level or ratio CR</w:t>
            </w:r>
          </w:p>
        </w:tc>
        <w:tc>
          <w:tcPr>
            <w:tcW w:w="1254" w:type="dxa"/>
            <w:shd w:val="clear" w:color="auto" w:fill="215868" w:themeFill="accent5" w:themeFillShade="80"/>
            <w:noWrap/>
            <w:vAlign w:val="center"/>
            <w:hideMark/>
          </w:tcPr>
          <w:p w14:paraId="60110DBD" w14:textId="77777777" w:rsidR="008B27F5" w:rsidRPr="00091CE2" w:rsidRDefault="008B27F5" w:rsidP="008B27F5">
            <w:pPr>
              <w:jc w:val="center"/>
              <w:rPr>
                <w:rFonts w:eastAsia="Times New Roman" w:cstheme="minorHAnsi"/>
                <w:b/>
                <w:bCs/>
                <w:color w:val="FFFFFF"/>
                <w:sz w:val="20"/>
                <w:szCs w:val="20"/>
                <w:lang w:eastAsia="it-IT"/>
              </w:rPr>
            </w:pPr>
            <w:proofErr w:type="spellStart"/>
            <w:r w:rsidRPr="00091CE2">
              <w:rPr>
                <w:rFonts w:eastAsia="Times New Roman" w:cstheme="minorHAnsi"/>
                <w:b/>
                <w:bCs/>
                <w:color w:val="FFFFFF"/>
                <w:sz w:val="20"/>
                <w:szCs w:val="20"/>
                <w:lang w:eastAsia="it-IT"/>
              </w:rPr>
              <w:t>Color</w:t>
            </w:r>
            <w:proofErr w:type="spellEnd"/>
          </w:p>
        </w:tc>
        <w:tc>
          <w:tcPr>
            <w:tcW w:w="4362" w:type="dxa"/>
            <w:gridSpan w:val="2"/>
            <w:shd w:val="clear" w:color="auto" w:fill="215868" w:themeFill="accent5" w:themeFillShade="80"/>
            <w:vAlign w:val="center"/>
          </w:tcPr>
          <w:p w14:paraId="0948EBCC" w14:textId="77777777" w:rsidR="008B27F5" w:rsidRPr="00091CE2" w:rsidRDefault="008B27F5" w:rsidP="008B27F5">
            <w:pPr>
              <w:jc w:val="center"/>
              <w:rPr>
                <w:rFonts w:eastAsia="Times New Roman" w:cstheme="minorHAnsi"/>
                <w:b/>
                <w:bCs/>
                <w:color w:val="FFFFFF"/>
                <w:sz w:val="20"/>
                <w:szCs w:val="20"/>
                <w:lang w:eastAsia="it-IT"/>
              </w:rPr>
            </w:pPr>
            <w:r w:rsidRPr="00091CE2">
              <w:rPr>
                <w:rFonts w:eastAsia="Times New Roman" w:cstheme="minorHAnsi"/>
                <w:b/>
                <w:bCs/>
                <w:color w:val="FFFFFF"/>
                <w:sz w:val="20"/>
                <w:szCs w:val="20"/>
                <w:lang w:eastAsia="it-IT"/>
              </w:rPr>
              <w:t>Assessment category</w:t>
            </w:r>
          </w:p>
        </w:tc>
        <w:tc>
          <w:tcPr>
            <w:tcW w:w="1546" w:type="dxa"/>
            <w:shd w:val="clear" w:color="auto" w:fill="215868" w:themeFill="accent5" w:themeFillShade="80"/>
          </w:tcPr>
          <w:p w14:paraId="4D8AA64F" w14:textId="77777777" w:rsidR="008B27F5" w:rsidRPr="00091CE2" w:rsidRDefault="008B27F5" w:rsidP="008B27F5">
            <w:pPr>
              <w:jc w:val="center"/>
              <w:rPr>
                <w:rFonts w:eastAsia="Times New Roman" w:cstheme="minorHAnsi"/>
                <w:b/>
                <w:bCs/>
                <w:color w:val="FFFFFF"/>
                <w:sz w:val="20"/>
                <w:szCs w:val="20"/>
                <w:lang w:eastAsia="it-IT"/>
              </w:rPr>
            </w:pPr>
            <w:r>
              <w:rPr>
                <w:rFonts w:eastAsia="Times New Roman" w:cstheme="minorHAnsi"/>
                <w:b/>
                <w:bCs/>
                <w:color w:val="FFFFFF"/>
                <w:sz w:val="20"/>
                <w:szCs w:val="20"/>
                <w:lang w:eastAsia="it-IT"/>
              </w:rPr>
              <w:t>Score</w:t>
            </w:r>
          </w:p>
        </w:tc>
      </w:tr>
      <w:tr w:rsidR="008B27F5" w:rsidRPr="00091CE2" w14:paraId="7CE23E71" w14:textId="77777777" w:rsidTr="00177AF3">
        <w:trPr>
          <w:trHeight w:val="283"/>
          <w:jc w:val="center"/>
        </w:trPr>
        <w:tc>
          <w:tcPr>
            <w:tcW w:w="2629" w:type="dxa"/>
            <w:shd w:val="clear" w:color="auto" w:fill="4F6228" w:themeFill="accent3" w:themeFillShade="80"/>
            <w:noWrap/>
            <w:vAlign w:val="center"/>
            <w:hideMark/>
          </w:tcPr>
          <w:p w14:paraId="35700822" w14:textId="77777777" w:rsidR="008B27F5" w:rsidRPr="00091CE2" w:rsidRDefault="008B27F5" w:rsidP="008B27F5">
            <w:pPr>
              <w:jc w:val="center"/>
              <w:rPr>
                <w:rFonts w:ascii="Arial" w:eastAsia="Times New Roman" w:hAnsi="Arial" w:cs="Arial"/>
                <w:color w:val="FFFFFF"/>
                <w:sz w:val="18"/>
                <w:szCs w:val="18"/>
                <w:lang w:eastAsia="it-IT"/>
              </w:rPr>
            </w:pPr>
            <m:oMath>
              <m:r>
                <m:rPr>
                  <m:sty m:val="p"/>
                </m:rPr>
                <w:rPr>
                  <w:rFonts w:ascii="Cambria Math" w:eastAsia="Times New Roman" w:hAnsi="Cambria Math" w:cs="Arial"/>
                  <w:color w:val="FFFFFF"/>
                  <w:sz w:val="20"/>
                  <w:szCs w:val="20"/>
                  <w:lang w:eastAsia="it-IT"/>
                </w:rPr>
                <m:t>x≤</m:t>
              </m:r>
              <m:sSup>
                <m:sSupPr>
                  <m:ctrlPr>
                    <w:rPr>
                      <w:rFonts w:ascii="Cambria Math" w:eastAsia="Times New Roman" w:hAnsi="Cambria Math" w:cs="Arial"/>
                      <w:color w:val="FFFFFF"/>
                      <w:sz w:val="20"/>
                      <w:szCs w:val="20"/>
                      <w:lang w:eastAsia="it-IT"/>
                    </w:rPr>
                  </m:ctrlPr>
                </m:sSupPr>
                <m:e>
                  <m:r>
                    <m:rPr>
                      <m:sty m:val="p"/>
                    </m:rPr>
                    <w:rPr>
                      <w:rFonts w:ascii="Cambria Math" w:eastAsia="Times New Roman" w:hAnsi="Cambria Math" w:cs="Arial"/>
                      <w:color w:val="FFFFFF"/>
                      <w:sz w:val="20"/>
                      <w:szCs w:val="20"/>
                      <w:lang w:eastAsia="it-IT"/>
                    </w:rPr>
                    <m:t>x</m:t>
                  </m:r>
                </m:e>
                <m:sup>
                  <m:r>
                    <m:rPr>
                      <m:sty m:val="p"/>
                    </m:rPr>
                    <w:rPr>
                      <w:rFonts w:ascii="Cambria Math" w:eastAsia="Times New Roman" w:hAnsi="Cambria Math" w:cs="Arial"/>
                      <w:color w:val="FFFFFF"/>
                      <w:sz w:val="20"/>
                      <w:szCs w:val="20"/>
                      <w:lang w:eastAsia="it-IT"/>
                    </w:rPr>
                    <m:t>*</m:t>
                  </m:r>
                </m:sup>
              </m:sSup>
            </m:oMath>
            <w:r w:rsidRPr="00091CE2">
              <w:rPr>
                <w:rFonts w:ascii="Arial" w:eastAsia="Times New Roman" w:hAnsi="Arial" w:cs="Arial"/>
                <w:color w:val="FFFFFF"/>
                <w:sz w:val="20"/>
                <w:szCs w:val="20"/>
                <w:lang w:eastAsia="it-IT"/>
              </w:rPr>
              <w:t xml:space="preserve"> </w:t>
            </w:r>
          </w:p>
        </w:tc>
        <w:tc>
          <w:tcPr>
            <w:tcW w:w="1280" w:type="dxa"/>
            <w:gridSpan w:val="2"/>
            <w:shd w:val="clear" w:color="auto" w:fill="4F6228" w:themeFill="accent3" w:themeFillShade="80"/>
            <w:noWrap/>
            <w:vAlign w:val="center"/>
            <w:hideMark/>
          </w:tcPr>
          <w:p w14:paraId="25F4D732" w14:textId="77777777" w:rsidR="008B27F5" w:rsidRPr="00091CE2" w:rsidRDefault="008B27F5" w:rsidP="008B27F5">
            <w:pPr>
              <w:jc w:val="center"/>
              <w:rPr>
                <w:rFonts w:ascii="Arial" w:eastAsia="Times New Roman" w:hAnsi="Arial" w:cs="Arial"/>
                <w:color w:val="FFFFFF"/>
                <w:sz w:val="18"/>
                <w:szCs w:val="18"/>
                <w:lang w:eastAsia="it-IT"/>
              </w:rPr>
            </w:pPr>
            <w:r w:rsidRPr="00091CE2">
              <w:rPr>
                <w:rFonts w:ascii="Arial" w:eastAsia="Times New Roman" w:hAnsi="Arial" w:cs="Arial"/>
                <w:color w:val="FFFFFF"/>
                <w:sz w:val="18"/>
                <w:szCs w:val="18"/>
                <w:lang w:eastAsia="it-IT"/>
              </w:rPr>
              <w:t>Dark green</w:t>
            </w:r>
          </w:p>
        </w:tc>
        <w:tc>
          <w:tcPr>
            <w:tcW w:w="4336" w:type="dxa"/>
            <w:shd w:val="clear" w:color="auto" w:fill="4F6228" w:themeFill="accent3" w:themeFillShade="80"/>
            <w:vAlign w:val="center"/>
            <w:hideMark/>
          </w:tcPr>
          <w:p w14:paraId="3CF060A5" w14:textId="77777777" w:rsidR="008B27F5" w:rsidRPr="00091CE2" w:rsidRDefault="008B27F5" w:rsidP="008B27F5">
            <w:pPr>
              <w:rPr>
                <w:rFonts w:ascii="Arial" w:eastAsia="Times New Roman" w:hAnsi="Arial" w:cs="Arial"/>
                <w:color w:val="FFFFFF"/>
                <w:sz w:val="18"/>
                <w:szCs w:val="18"/>
                <w:lang w:eastAsia="it-IT"/>
              </w:rPr>
            </w:pPr>
            <w:r>
              <w:rPr>
                <w:rFonts w:ascii="Arial" w:eastAsia="Times New Roman" w:hAnsi="Arial" w:cs="Arial"/>
                <w:color w:val="FFFFFF"/>
                <w:sz w:val="18"/>
                <w:szCs w:val="18"/>
                <w:lang w:eastAsia="it-IT"/>
              </w:rPr>
              <w:t xml:space="preserve">Target already met </w:t>
            </w:r>
          </w:p>
        </w:tc>
        <w:tc>
          <w:tcPr>
            <w:tcW w:w="1546" w:type="dxa"/>
            <w:shd w:val="clear" w:color="auto" w:fill="4F6228" w:themeFill="accent3" w:themeFillShade="80"/>
          </w:tcPr>
          <w:p w14:paraId="6CB87EB8" w14:textId="77777777" w:rsidR="008B27F5" w:rsidRPr="00091CE2" w:rsidRDefault="008B27F5" w:rsidP="008B27F5">
            <w:pPr>
              <w:jc w:val="center"/>
              <w:rPr>
                <w:rFonts w:ascii="Arial" w:eastAsia="Times New Roman" w:hAnsi="Arial" w:cs="Arial"/>
                <w:color w:val="FFFFFF"/>
                <w:sz w:val="18"/>
                <w:szCs w:val="18"/>
                <w:lang w:eastAsia="it-IT"/>
              </w:rPr>
            </w:pPr>
            <w:r>
              <w:rPr>
                <w:rFonts w:ascii="Arial" w:eastAsia="Times New Roman" w:hAnsi="Arial" w:cs="Arial"/>
                <w:color w:val="FFFFFF"/>
                <w:sz w:val="18"/>
                <w:szCs w:val="18"/>
                <w:lang w:eastAsia="it-IT"/>
              </w:rPr>
              <w:t>5</w:t>
            </w:r>
          </w:p>
        </w:tc>
      </w:tr>
      <w:tr w:rsidR="008B27F5" w:rsidRPr="00091CE2" w14:paraId="63F2BD9A" w14:textId="77777777" w:rsidTr="00F6211C">
        <w:trPr>
          <w:trHeight w:val="283"/>
          <w:jc w:val="center"/>
        </w:trPr>
        <w:tc>
          <w:tcPr>
            <w:tcW w:w="2629" w:type="dxa"/>
            <w:shd w:val="clear" w:color="auto" w:fill="92D050"/>
            <w:noWrap/>
            <w:vAlign w:val="center"/>
            <w:hideMark/>
          </w:tcPr>
          <w:p w14:paraId="0E8280F2" w14:textId="77777777" w:rsidR="008B27F5" w:rsidRPr="00091CE2" w:rsidRDefault="008B27F5" w:rsidP="008B27F5">
            <w:pPr>
              <w:rPr>
                <w:rFonts w:ascii="Arial" w:eastAsia="Times New Roman" w:hAnsi="Arial" w:cs="Arial"/>
                <w:sz w:val="20"/>
                <w:szCs w:val="20"/>
                <w:lang w:eastAsia="it-IT"/>
              </w:rPr>
            </w:pPr>
            <m:oMathPara>
              <m:oMath>
                <m:r>
                  <m:rPr>
                    <m:sty m:val="p"/>
                  </m:rPr>
                  <w:rPr>
                    <w:rFonts w:ascii="Cambria Math" w:eastAsia="Times New Roman" w:hAnsi="Cambria Math" w:cs="Arial"/>
                    <w:sz w:val="20"/>
                    <w:szCs w:val="20"/>
                    <w:lang w:eastAsia="it-IT"/>
                  </w:rPr>
                  <m:t>CR≥0.95</m:t>
                </m:r>
              </m:oMath>
            </m:oMathPara>
          </w:p>
        </w:tc>
        <w:tc>
          <w:tcPr>
            <w:tcW w:w="1280" w:type="dxa"/>
            <w:gridSpan w:val="2"/>
            <w:shd w:val="clear" w:color="auto" w:fill="92D050"/>
            <w:noWrap/>
            <w:vAlign w:val="center"/>
            <w:hideMark/>
          </w:tcPr>
          <w:p w14:paraId="3F997C30" w14:textId="77777777" w:rsidR="008B27F5" w:rsidRPr="00091CE2" w:rsidRDefault="008B27F5" w:rsidP="008B27F5">
            <w:pPr>
              <w:jc w:val="center"/>
              <w:rPr>
                <w:rFonts w:ascii="Arial" w:eastAsia="Times New Roman" w:hAnsi="Arial" w:cs="Arial"/>
                <w:color w:val="000000"/>
                <w:sz w:val="18"/>
                <w:szCs w:val="18"/>
                <w:lang w:eastAsia="it-IT"/>
              </w:rPr>
            </w:pPr>
            <w:r>
              <w:rPr>
                <w:rFonts w:ascii="Arial" w:eastAsia="Times New Roman" w:hAnsi="Arial" w:cs="Arial"/>
                <w:color w:val="000000"/>
                <w:sz w:val="18"/>
                <w:szCs w:val="18"/>
                <w:lang w:eastAsia="it-IT"/>
              </w:rPr>
              <w:t>Light g</w:t>
            </w:r>
            <w:r w:rsidRPr="00091CE2">
              <w:rPr>
                <w:rFonts w:ascii="Arial" w:eastAsia="Times New Roman" w:hAnsi="Arial" w:cs="Arial"/>
                <w:color w:val="000000"/>
                <w:sz w:val="18"/>
                <w:szCs w:val="18"/>
                <w:lang w:eastAsia="it-IT"/>
              </w:rPr>
              <w:t>reen</w:t>
            </w:r>
          </w:p>
        </w:tc>
        <w:tc>
          <w:tcPr>
            <w:tcW w:w="4336" w:type="dxa"/>
            <w:shd w:val="clear" w:color="auto" w:fill="92D050"/>
            <w:vAlign w:val="center"/>
            <w:hideMark/>
          </w:tcPr>
          <w:p w14:paraId="7E3E00B8" w14:textId="77777777" w:rsidR="008B27F5" w:rsidRPr="00091CE2" w:rsidRDefault="008B27F5" w:rsidP="008B27F5">
            <w:pPr>
              <w:rPr>
                <w:rFonts w:ascii="Arial" w:eastAsia="Times New Roman" w:hAnsi="Arial" w:cs="Arial"/>
                <w:color w:val="000000"/>
                <w:sz w:val="18"/>
                <w:szCs w:val="18"/>
                <w:lang w:eastAsia="it-IT"/>
              </w:rPr>
            </w:pPr>
            <w:r w:rsidRPr="00091CE2">
              <w:rPr>
                <w:rFonts w:ascii="Arial" w:eastAsia="Times New Roman" w:hAnsi="Arial" w:cs="Arial"/>
                <w:color w:val="000000"/>
                <w:sz w:val="18"/>
                <w:szCs w:val="18"/>
                <w:lang w:eastAsia="it-IT"/>
              </w:rPr>
              <w:t>On-</w:t>
            </w:r>
            <w:r>
              <w:rPr>
                <w:rFonts w:ascii="Arial" w:eastAsia="Times New Roman" w:hAnsi="Arial" w:cs="Arial"/>
                <w:color w:val="000000"/>
                <w:sz w:val="18"/>
                <w:szCs w:val="18"/>
                <w:lang w:eastAsia="it-IT"/>
              </w:rPr>
              <w:t>track to achieve the target</w:t>
            </w:r>
          </w:p>
        </w:tc>
        <w:tc>
          <w:tcPr>
            <w:tcW w:w="1546" w:type="dxa"/>
            <w:shd w:val="clear" w:color="auto" w:fill="92D050"/>
          </w:tcPr>
          <w:p w14:paraId="2BAE9765" w14:textId="77777777" w:rsidR="008B27F5" w:rsidRPr="00091CE2" w:rsidRDefault="008B27F5" w:rsidP="008B27F5">
            <w:pPr>
              <w:jc w:val="center"/>
              <w:rPr>
                <w:rFonts w:ascii="Arial" w:eastAsia="Times New Roman" w:hAnsi="Arial" w:cs="Arial"/>
                <w:color w:val="000000"/>
                <w:sz w:val="18"/>
                <w:szCs w:val="18"/>
                <w:lang w:eastAsia="it-IT"/>
              </w:rPr>
            </w:pPr>
            <w:r>
              <w:rPr>
                <w:rFonts w:ascii="Arial" w:eastAsia="Times New Roman" w:hAnsi="Arial" w:cs="Arial"/>
                <w:color w:val="000000"/>
                <w:sz w:val="18"/>
                <w:szCs w:val="18"/>
                <w:lang w:eastAsia="it-IT"/>
              </w:rPr>
              <w:t>4</w:t>
            </w:r>
          </w:p>
        </w:tc>
      </w:tr>
      <w:tr w:rsidR="008B27F5" w:rsidRPr="00091CE2" w14:paraId="55F55A2C" w14:textId="77777777" w:rsidTr="00F6211C">
        <w:trPr>
          <w:trHeight w:val="283"/>
          <w:jc w:val="center"/>
        </w:trPr>
        <w:tc>
          <w:tcPr>
            <w:tcW w:w="2629" w:type="dxa"/>
            <w:shd w:val="clear" w:color="auto" w:fill="FFFF00"/>
            <w:noWrap/>
            <w:vAlign w:val="center"/>
          </w:tcPr>
          <w:p w14:paraId="7260BAD2" w14:textId="77777777" w:rsidR="008B27F5" w:rsidRPr="00091CE2" w:rsidRDefault="008B27F5" w:rsidP="008B27F5">
            <w:pPr>
              <w:rPr>
                <w:rFonts w:ascii="Arial" w:eastAsia="Times New Roman" w:hAnsi="Arial" w:cs="Arial"/>
                <w:sz w:val="20"/>
                <w:szCs w:val="20"/>
                <w:lang w:eastAsia="it-IT"/>
              </w:rPr>
            </w:pPr>
            <m:oMathPara>
              <m:oMath>
                <m:r>
                  <w:rPr>
                    <w:rFonts w:ascii="Cambria Math" w:eastAsia="Times New Roman" w:hAnsi="Cambria Math" w:cs="Arial"/>
                    <w:sz w:val="20"/>
                    <w:szCs w:val="20"/>
                    <w:lang w:eastAsia="it-IT"/>
                  </w:rPr>
                  <m:t>0.5&lt;CR&lt;0.95</m:t>
                </m:r>
              </m:oMath>
            </m:oMathPara>
          </w:p>
        </w:tc>
        <w:tc>
          <w:tcPr>
            <w:tcW w:w="1280" w:type="dxa"/>
            <w:gridSpan w:val="2"/>
            <w:shd w:val="clear" w:color="auto" w:fill="FFFF00"/>
            <w:noWrap/>
            <w:vAlign w:val="center"/>
          </w:tcPr>
          <w:p w14:paraId="03EC107D" w14:textId="77777777" w:rsidR="008B27F5" w:rsidRPr="00091CE2" w:rsidRDefault="008B27F5" w:rsidP="008B27F5">
            <w:pPr>
              <w:jc w:val="center"/>
              <w:rPr>
                <w:rFonts w:ascii="Arial" w:eastAsia="Times New Roman" w:hAnsi="Arial" w:cs="Arial"/>
                <w:color w:val="000000"/>
                <w:sz w:val="18"/>
                <w:szCs w:val="18"/>
                <w:lang w:eastAsia="it-IT"/>
              </w:rPr>
            </w:pPr>
            <w:r w:rsidRPr="00091CE2">
              <w:rPr>
                <w:rFonts w:ascii="Arial" w:eastAsia="Times New Roman" w:hAnsi="Arial" w:cs="Arial"/>
                <w:color w:val="000000"/>
                <w:sz w:val="18"/>
                <w:szCs w:val="18"/>
                <w:lang w:eastAsia="it-IT"/>
              </w:rPr>
              <w:t>Yellow</w:t>
            </w:r>
          </w:p>
        </w:tc>
        <w:tc>
          <w:tcPr>
            <w:tcW w:w="4336" w:type="dxa"/>
            <w:shd w:val="clear" w:color="auto" w:fill="FFFF00"/>
            <w:vAlign w:val="center"/>
          </w:tcPr>
          <w:p w14:paraId="12414B2D" w14:textId="77777777" w:rsidR="008B27F5" w:rsidRPr="00091CE2" w:rsidRDefault="008B27F5" w:rsidP="008B27F5">
            <w:pPr>
              <w:rPr>
                <w:rFonts w:ascii="Arial" w:eastAsia="Times New Roman" w:hAnsi="Arial" w:cs="Arial"/>
                <w:color w:val="000000"/>
                <w:sz w:val="18"/>
                <w:szCs w:val="18"/>
                <w:lang w:eastAsia="it-IT"/>
              </w:rPr>
            </w:pPr>
            <w:r w:rsidRPr="00091CE2">
              <w:rPr>
                <w:rFonts w:ascii="Arial" w:eastAsia="Times New Roman" w:hAnsi="Arial" w:cs="Arial"/>
                <w:color w:val="000000"/>
                <w:sz w:val="18"/>
                <w:szCs w:val="18"/>
                <w:lang w:eastAsia="it-IT"/>
              </w:rPr>
              <w:t>On-path, but too slow to achieve the target</w:t>
            </w:r>
          </w:p>
        </w:tc>
        <w:tc>
          <w:tcPr>
            <w:tcW w:w="1546" w:type="dxa"/>
            <w:shd w:val="clear" w:color="auto" w:fill="FFFF00"/>
          </w:tcPr>
          <w:p w14:paraId="6DEDC6ED" w14:textId="77777777" w:rsidR="008B27F5" w:rsidRPr="00091CE2" w:rsidRDefault="008B27F5" w:rsidP="008B27F5">
            <w:pPr>
              <w:jc w:val="center"/>
              <w:rPr>
                <w:rFonts w:ascii="Arial" w:eastAsia="Times New Roman" w:hAnsi="Arial" w:cs="Arial"/>
                <w:color w:val="000000"/>
                <w:sz w:val="18"/>
                <w:szCs w:val="18"/>
                <w:lang w:eastAsia="it-IT"/>
              </w:rPr>
            </w:pPr>
            <w:r>
              <w:rPr>
                <w:rFonts w:ascii="Arial" w:eastAsia="Times New Roman" w:hAnsi="Arial" w:cs="Arial"/>
                <w:color w:val="000000"/>
                <w:sz w:val="18"/>
                <w:szCs w:val="18"/>
                <w:lang w:eastAsia="it-IT"/>
              </w:rPr>
              <w:t>3</w:t>
            </w:r>
          </w:p>
        </w:tc>
      </w:tr>
      <w:tr w:rsidR="008B27F5" w:rsidRPr="00091CE2" w14:paraId="64DE01C8" w14:textId="77777777" w:rsidTr="00F6211C">
        <w:trPr>
          <w:trHeight w:val="283"/>
          <w:jc w:val="center"/>
        </w:trPr>
        <w:tc>
          <w:tcPr>
            <w:tcW w:w="2629" w:type="dxa"/>
            <w:shd w:val="clear" w:color="auto" w:fill="FFC000"/>
            <w:noWrap/>
            <w:vAlign w:val="center"/>
            <w:hideMark/>
          </w:tcPr>
          <w:p w14:paraId="40912F5D" w14:textId="77777777" w:rsidR="008B27F5" w:rsidRPr="00091CE2" w:rsidRDefault="008B27F5" w:rsidP="008B27F5">
            <w:pPr>
              <w:rPr>
                <w:rFonts w:ascii="Arial" w:eastAsia="Times New Roman" w:hAnsi="Arial" w:cs="Arial"/>
                <w:sz w:val="20"/>
                <w:szCs w:val="20"/>
                <w:lang w:eastAsia="it-IT"/>
              </w:rPr>
            </w:pPr>
            <m:oMathPara>
              <m:oMath>
                <m:r>
                  <w:rPr>
                    <w:rFonts w:ascii="Cambria Math" w:eastAsia="Times New Roman" w:hAnsi="Cambria Math" w:cs="Arial"/>
                    <w:sz w:val="20"/>
                    <w:szCs w:val="20"/>
                    <w:lang w:eastAsia="it-IT"/>
                  </w:rPr>
                  <m:t>-0.10≤CR≤0.5</m:t>
                </m:r>
              </m:oMath>
            </m:oMathPara>
          </w:p>
        </w:tc>
        <w:tc>
          <w:tcPr>
            <w:tcW w:w="1280" w:type="dxa"/>
            <w:gridSpan w:val="2"/>
            <w:shd w:val="clear" w:color="auto" w:fill="FFC000"/>
            <w:noWrap/>
            <w:vAlign w:val="center"/>
            <w:hideMark/>
          </w:tcPr>
          <w:p w14:paraId="1CD2D369" w14:textId="77777777" w:rsidR="008B27F5" w:rsidRPr="00091CE2" w:rsidRDefault="008B27F5" w:rsidP="008B27F5">
            <w:pPr>
              <w:jc w:val="center"/>
              <w:rPr>
                <w:rFonts w:ascii="Arial" w:eastAsia="Times New Roman" w:hAnsi="Arial" w:cs="Arial"/>
                <w:color w:val="000000"/>
                <w:sz w:val="18"/>
                <w:szCs w:val="18"/>
                <w:lang w:eastAsia="it-IT"/>
              </w:rPr>
            </w:pPr>
            <w:r w:rsidRPr="00091CE2">
              <w:rPr>
                <w:rFonts w:ascii="Arial" w:eastAsia="Times New Roman" w:hAnsi="Arial" w:cs="Arial"/>
                <w:color w:val="000000"/>
                <w:sz w:val="18"/>
                <w:szCs w:val="18"/>
                <w:lang w:eastAsia="it-IT"/>
              </w:rPr>
              <w:t>Orange</w:t>
            </w:r>
          </w:p>
        </w:tc>
        <w:tc>
          <w:tcPr>
            <w:tcW w:w="4336" w:type="dxa"/>
            <w:shd w:val="clear" w:color="auto" w:fill="FFC000"/>
            <w:vAlign w:val="center"/>
            <w:hideMark/>
          </w:tcPr>
          <w:p w14:paraId="5F0527B4" w14:textId="77777777" w:rsidR="008B27F5" w:rsidRPr="00091CE2" w:rsidRDefault="008B27F5" w:rsidP="008B27F5">
            <w:pPr>
              <w:rPr>
                <w:rFonts w:ascii="Arial" w:eastAsia="Times New Roman" w:hAnsi="Arial" w:cs="Arial"/>
                <w:color w:val="000000"/>
                <w:sz w:val="18"/>
                <w:szCs w:val="18"/>
                <w:lang w:eastAsia="it-IT"/>
              </w:rPr>
            </w:pPr>
            <w:r w:rsidRPr="00091CE2">
              <w:rPr>
                <w:rFonts w:ascii="Arial" w:eastAsia="Times New Roman" w:hAnsi="Arial" w:cs="Arial"/>
                <w:color w:val="000000"/>
                <w:sz w:val="18"/>
                <w:szCs w:val="18"/>
                <w:lang w:eastAsia="it-IT"/>
              </w:rPr>
              <w:t>No improvement</w:t>
            </w:r>
            <w:r>
              <w:rPr>
                <w:rFonts w:ascii="Arial" w:eastAsia="Times New Roman" w:hAnsi="Arial" w:cs="Arial"/>
                <w:color w:val="000000"/>
                <w:sz w:val="18"/>
                <w:szCs w:val="18"/>
                <w:lang w:eastAsia="it-IT"/>
              </w:rPr>
              <w:t xml:space="preserve"> (stagnation) since baseline</w:t>
            </w:r>
          </w:p>
        </w:tc>
        <w:tc>
          <w:tcPr>
            <w:tcW w:w="1546" w:type="dxa"/>
            <w:shd w:val="clear" w:color="auto" w:fill="FFC000"/>
          </w:tcPr>
          <w:p w14:paraId="63D105F2" w14:textId="77777777" w:rsidR="008B27F5" w:rsidRPr="00091CE2" w:rsidRDefault="008B27F5" w:rsidP="008B27F5">
            <w:pPr>
              <w:jc w:val="center"/>
              <w:rPr>
                <w:rFonts w:ascii="Arial" w:eastAsia="Times New Roman" w:hAnsi="Arial" w:cs="Arial"/>
                <w:color w:val="000000"/>
                <w:sz w:val="18"/>
                <w:szCs w:val="18"/>
                <w:lang w:eastAsia="it-IT"/>
              </w:rPr>
            </w:pPr>
            <w:r>
              <w:rPr>
                <w:rFonts w:ascii="Arial" w:eastAsia="Times New Roman" w:hAnsi="Arial" w:cs="Arial"/>
                <w:color w:val="000000"/>
                <w:sz w:val="18"/>
                <w:szCs w:val="18"/>
                <w:lang w:eastAsia="it-IT"/>
              </w:rPr>
              <w:t>2</w:t>
            </w:r>
          </w:p>
        </w:tc>
      </w:tr>
      <w:tr w:rsidR="008B27F5" w:rsidRPr="00091CE2" w14:paraId="57CC1BEA" w14:textId="77777777" w:rsidTr="008B27F5">
        <w:trPr>
          <w:trHeight w:val="283"/>
          <w:jc w:val="center"/>
        </w:trPr>
        <w:tc>
          <w:tcPr>
            <w:tcW w:w="2629" w:type="dxa"/>
            <w:shd w:val="clear" w:color="auto" w:fill="FF0000"/>
            <w:noWrap/>
            <w:vAlign w:val="center"/>
            <w:hideMark/>
          </w:tcPr>
          <w:p w14:paraId="33F752F0" w14:textId="77777777" w:rsidR="008B27F5" w:rsidRPr="00091CE2" w:rsidRDefault="008B27F5" w:rsidP="008B27F5">
            <w:pPr>
              <w:rPr>
                <w:rFonts w:ascii="Arial" w:eastAsia="Times New Roman" w:hAnsi="Arial" w:cs="Arial"/>
                <w:color w:val="FFFFFF"/>
                <w:sz w:val="20"/>
                <w:szCs w:val="20"/>
                <w:lang w:eastAsia="it-IT"/>
              </w:rPr>
            </w:pPr>
            <m:oMathPara>
              <m:oMath>
                <m:r>
                  <w:rPr>
                    <w:rFonts w:ascii="Cambria Math" w:eastAsia="Times New Roman" w:hAnsi="Cambria Math" w:cs="Arial"/>
                    <w:color w:val="FFFFFF" w:themeColor="background1"/>
                    <w:sz w:val="20"/>
                    <w:szCs w:val="20"/>
                    <w:lang w:eastAsia="it-IT"/>
                  </w:rPr>
                  <m:t>CR&lt;-0.10</m:t>
                </m:r>
              </m:oMath>
            </m:oMathPara>
          </w:p>
        </w:tc>
        <w:tc>
          <w:tcPr>
            <w:tcW w:w="1280" w:type="dxa"/>
            <w:gridSpan w:val="2"/>
            <w:shd w:val="clear" w:color="D9E1F2" w:fill="FF0000"/>
            <w:noWrap/>
            <w:vAlign w:val="center"/>
            <w:hideMark/>
          </w:tcPr>
          <w:p w14:paraId="32358FA3" w14:textId="77777777" w:rsidR="008B27F5" w:rsidRPr="00091CE2" w:rsidRDefault="008B27F5" w:rsidP="008B27F5">
            <w:pPr>
              <w:jc w:val="center"/>
              <w:rPr>
                <w:rFonts w:ascii="Arial" w:eastAsia="Times New Roman" w:hAnsi="Arial" w:cs="Arial"/>
                <w:color w:val="FFFFFF"/>
                <w:sz w:val="18"/>
                <w:szCs w:val="18"/>
                <w:lang w:eastAsia="it-IT"/>
              </w:rPr>
            </w:pPr>
            <w:r w:rsidRPr="00091CE2">
              <w:rPr>
                <w:rFonts w:ascii="Arial" w:eastAsia="Times New Roman" w:hAnsi="Arial" w:cs="Arial"/>
                <w:color w:val="FFFFFF"/>
                <w:sz w:val="18"/>
                <w:szCs w:val="18"/>
                <w:lang w:eastAsia="it-IT"/>
              </w:rPr>
              <w:t>Red</w:t>
            </w:r>
          </w:p>
        </w:tc>
        <w:tc>
          <w:tcPr>
            <w:tcW w:w="4336" w:type="dxa"/>
            <w:shd w:val="clear" w:color="D9E1F2" w:fill="FF0000"/>
            <w:vAlign w:val="center"/>
            <w:hideMark/>
          </w:tcPr>
          <w:p w14:paraId="4BD440DF" w14:textId="77777777" w:rsidR="008B27F5" w:rsidRPr="00091CE2" w:rsidRDefault="008B27F5" w:rsidP="008B27F5">
            <w:pPr>
              <w:rPr>
                <w:rFonts w:ascii="Arial" w:eastAsia="Times New Roman" w:hAnsi="Arial" w:cs="Arial"/>
                <w:color w:val="FFFFFF"/>
                <w:sz w:val="18"/>
                <w:szCs w:val="18"/>
                <w:lang w:eastAsia="it-IT"/>
              </w:rPr>
            </w:pPr>
            <w:r w:rsidRPr="00091CE2">
              <w:rPr>
                <w:rFonts w:ascii="Arial" w:eastAsia="Times New Roman" w:hAnsi="Arial" w:cs="Arial"/>
                <w:color w:val="FFFFFF"/>
                <w:sz w:val="18"/>
                <w:szCs w:val="18"/>
                <w:lang w:eastAsia="it-IT"/>
              </w:rPr>
              <w:t>Deterioration/movement away from the target (&lt;&lt;)</w:t>
            </w:r>
          </w:p>
        </w:tc>
        <w:tc>
          <w:tcPr>
            <w:tcW w:w="1546" w:type="dxa"/>
            <w:shd w:val="clear" w:color="D9E1F2" w:fill="FF0000"/>
          </w:tcPr>
          <w:p w14:paraId="28C990FE" w14:textId="77777777" w:rsidR="008B27F5" w:rsidRPr="00091CE2" w:rsidRDefault="008B27F5" w:rsidP="008B27F5">
            <w:pPr>
              <w:jc w:val="center"/>
              <w:rPr>
                <w:rFonts w:ascii="Arial" w:eastAsia="Times New Roman" w:hAnsi="Arial" w:cs="Arial"/>
                <w:color w:val="FFFFFF"/>
                <w:sz w:val="18"/>
                <w:szCs w:val="18"/>
                <w:lang w:eastAsia="it-IT"/>
              </w:rPr>
            </w:pPr>
            <w:r>
              <w:rPr>
                <w:rFonts w:ascii="Arial" w:eastAsia="Times New Roman" w:hAnsi="Arial" w:cs="Arial"/>
                <w:color w:val="FFFFFF"/>
                <w:sz w:val="18"/>
                <w:szCs w:val="18"/>
                <w:lang w:eastAsia="it-IT"/>
              </w:rPr>
              <w:t>1</w:t>
            </w:r>
          </w:p>
        </w:tc>
      </w:tr>
      <w:tr w:rsidR="008B27F5" w:rsidRPr="00091CE2" w14:paraId="03D5BA90" w14:textId="77777777" w:rsidTr="008B27F5">
        <w:trPr>
          <w:trHeight w:val="283"/>
          <w:jc w:val="center"/>
        </w:trPr>
        <w:tc>
          <w:tcPr>
            <w:tcW w:w="2629" w:type="dxa"/>
            <w:shd w:val="clear" w:color="auto" w:fill="C4BC96" w:themeFill="background2" w:themeFillShade="BF"/>
            <w:noWrap/>
            <w:vAlign w:val="center"/>
          </w:tcPr>
          <w:p w14:paraId="4C57D053" w14:textId="77777777" w:rsidR="008B27F5" w:rsidRPr="00091CE2" w:rsidRDefault="008B27F5" w:rsidP="008B27F5">
            <w:pPr>
              <w:jc w:val="center"/>
              <w:rPr>
                <w:rFonts w:eastAsia="Calibri"/>
                <w:color w:val="FFFFFF" w:themeColor="background1"/>
                <w:sz w:val="20"/>
                <w:szCs w:val="20"/>
                <w:lang w:eastAsia="it-IT"/>
              </w:rPr>
            </w:pPr>
            <w:r w:rsidRPr="00091CE2">
              <w:rPr>
                <w:rFonts w:eastAsia="Calibri"/>
                <w:color w:val="FFFFFF" w:themeColor="background1"/>
                <w:sz w:val="20"/>
                <w:szCs w:val="20"/>
                <w:lang w:eastAsia="it-IT"/>
              </w:rPr>
              <w:t>Missing data</w:t>
            </w:r>
          </w:p>
        </w:tc>
        <w:tc>
          <w:tcPr>
            <w:tcW w:w="1280" w:type="dxa"/>
            <w:gridSpan w:val="2"/>
            <w:shd w:val="clear" w:color="auto" w:fill="C4BC96" w:themeFill="background2" w:themeFillShade="BF"/>
            <w:noWrap/>
            <w:vAlign w:val="center"/>
          </w:tcPr>
          <w:p w14:paraId="5FDFE4B4" w14:textId="77777777" w:rsidR="008B27F5" w:rsidRPr="00091CE2" w:rsidRDefault="008B27F5" w:rsidP="008B27F5">
            <w:pPr>
              <w:jc w:val="center"/>
              <w:rPr>
                <w:rFonts w:ascii="Arial" w:eastAsia="Times New Roman" w:hAnsi="Arial" w:cs="Arial"/>
                <w:color w:val="FFFFFF"/>
                <w:sz w:val="18"/>
                <w:szCs w:val="18"/>
                <w:lang w:eastAsia="it-IT"/>
              </w:rPr>
            </w:pPr>
            <w:r w:rsidRPr="00091CE2">
              <w:rPr>
                <w:rFonts w:ascii="Arial" w:eastAsia="Times New Roman" w:hAnsi="Arial" w:cs="Arial"/>
                <w:color w:val="FFFFFF"/>
                <w:sz w:val="18"/>
                <w:szCs w:val="18"/>
                <w:lang w:eastAsia="it-IT"/>
              </w:rPr>
              <w:t>Grey</w:t>
            </w:r>
          </w:p>
        </w:tc>
        <w:tc>
          <w:tcPr>
            <w:tcW w:w="4336" w:type="dxa"/>
            <w:shd w:val="clear" w:color="auto" w:fill="C4BC96" w:themeFill="background2" w:themeFillShade="BF"/>
            <w:vAlign w:val="center"/>
          </w:tcPr>
          <w:p w14:paraId="2B55C474" w14:textId="77777777" w:rsidR="008B27F5" w:rsidRPr="00091CE2" w:rsidRDefault="008B27F5" w:rsidP="008B27F5">
            <w:pPr>
              <w:rPr>
                <w:rFonts w:ascii="Arial" w:eastAsia="Times New Roman" w:hAnsi="Arial" w:cs="Arial"/>
                <w:color w:val="FFFFFF"/>
                <w:sz w:val="18"/>
                <w:szCs w:val="18"/>
                <w:lang w:eastAsia="it-IT"/>
              </w:rPr>
            </w:pPr>
            <w:r w:rsidRPr="00091CE2">
              <w:rPr>
                <w:rFonts w:ascii="Arial" w:eastAsia="Times New Roman" w:hAnsi="Arial" w:cs="Arial"/>
                <w:color w:val="FFFFFF"/>
                <w:sz w:val="18"/>
                <w:szCs w:val="18"/>
                <w:lang w:eastAsia="it-IT"/>
              </w:rPr>
              <w:t>None</w:t>
            </w:r>
          </w:p>
        </w:tc>
        <w:tc>
          <w:tcPr>
            <w:tcW w:w="1546" w:type="dxa"/>
            <w:shd w:val="clear" w:color="auto" w:fill="C4BC96" w:themeFill="background2" w:themeFillShade="BF"/>
          </w:tcPr>
          <w:p w14:paraId="145E61AC" w14:textId="77777777" w:rsidR="008B27F5" w:rsidRPr="00091CE2" w:rsidRDefault="008B27F5" w:rsidP="008B27F5">
            <w:pPr>
              <w:jc w:val="center"/>
              <w:rPr>
                <w:rFonts w:ascii="Arial" w:eastAsia="Times New Roman" w:hAnsi="Arial" w:cs="Arial"/>
                <w:color w:val="FFFFFF"/>
                <w:sz w:val="18"/>
                <w:szCs w:val="18"/>
                <w:lang w:eastAsia="it-IT"/>
              </w:rPr>
            </w:pPr>
            <w:r>
              <w:rPr>
                <w:rFonts w:ascii="Arial" w:eastAsia="Times New Roman" w:hAnsi="Arial" w:cs="Arial"/>
                <w:color w:val="FFFFFF"/>
                <w:sz w:val="18"/>
                <w:szCs w:val="18"/>
                <w:lang w:eastAsia="it-IT"/>
              </w:rPr>
              <w:t>1</w:t>
            </w:r>
          </w:p>
        </w:tc>
      </w:tr>
    </w:tbl>
    <w:p w14:paraId="3962C6D5" w14:textId="77777777" w:rsidR="008B27F5" w:rsidRPr="00D2555A" w:rsidRDefault="008B27F5" w:rsidP="008B27F5">
      <w:pPr>
        <w:jc w:val="both"/>
        <w:rPr>
          <w:b/>
        </w:rPr>
      </w:pPr>
      <w:r>
        <w:rPr>
          <w:b/>
        </w:rPr>
        <w:t>2.2</w:t>
      </w:r>
      <w:r w:rsidRPr="00D2555A">
        <w:rPr>
          <w:b/>
        </w:rPr>
        <w:t xml:space="preserve"> Indicators with</w:t>
      </w:r>
      <w:r>
        <w:rPr>
          <w:b/>
        </w:rPr>
        <w:t>out</w:t>
      </w:r>
      <w:r w:rsidRPr="00D2555A">
        <w:rPr>
          <w:b/>
        </w:rPr>
        <w:t xml:space="preserve"> a numerical target </w:t>
      </w:r>
      <w:r>
        <w:rPr>
          <w:b/>
        </w:rPr>
        <w:t>(applies to all the other indicators)</w:t>
      </w:r>
    </w:p>
    <w:p w14:paraId="1D72ACC7" w14:textId="4314A63B" w:rsidR="008B27F5" w:rsidRDefault="008B27F5" w:rsidP="008B27F5">
      <w:pPr>
        <w:rPr>
          <w:color w:val="000000" w:themeColor="text1"/>
        </w:rPr>
      </w:pPr>
      <w:r w:rsidRPr="00091CE2">
        <w:rPr>
          <w:color w:val="000000" w:themeColor="text1"/>
        </w:rPr>
        <w:t>For indicators without a set numerical target, which is the case for most of the suggested indicators in this proposal, it is only possible to assess the actual growth (</w:t>
      </w:r>
      <m:oMath>
        <m:r>
          <w:rPr>
            <w:rFonts w:ascii="Cambria Math" w:hAnsi="Cambria Math"/>
            <w:color w:val="000000" w:themeColor="text1"/>
          </w:rPr>
          <m:t>CAG</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a</m:t>
            </m:r>
          </m:sub>
        </m:sSub>
      </m:oMath>
      <w:r w:rsidRPr="00091CE2">
        <w:rPr>
          <w:color w:val="000000" w:themeColor="text1"/>
        </w:rPr>
        <w:t xml:space="preserve"> in the expression above) against two sets of thresholds and categories, which depend on the norma</w:t>
      </w:r>
      <w:proofErr w:type="spellStart"/>
      <w:r>
        <w:rPr>
          <w:color w:val="000000" w:themeColor="text1"/>
        </w:rPr>
        <w:t>tive</w:t>
      </w:r>
      <w:proofErr w:type="spellEnd"/>
      <w:r>
        <w:rPr>
          <w:color w:val="000000" w:themeColor="text1"/>
        </w:rPr>
        <w:t xml:space="preserve"> direction of the indicator</w:t>
      </w:r>
      <w:r w:rsidR="002454DC">
        <w:rPr>
          <w:color w:val="000000" w:themeColor="text1"/>
        </w:rPr>
        <w:t>.</w:t>
      </w:r>
    </w:p>
    <w:p w14:paraId="535B0823" w14:textId="7B12BC37" w:rsidR="008B27F5" w:rsidRDefault="008B27F5" w:rsidP="008B27F5">
      <w:r>
        <w:t>Therefore</w:t>
      </w:r>
      <w:r w:rsidR="002454DC">
        <w:t>,</w:t>
      </w:r>
    </w:p>
    <w:p w14:paraId="6654093E" w14:textId="77777777" w:rsidR="008B27F5" w:rsidRPr="001A3D87" w:rsidRDefault="002A733C" w:rsidP="008B27F5">
      <m:oMathPara>
        <m:oMath>
          <m:sSub>
            <m:sSubPr>
              <m:ctrlPr>
                <w:rPr>
                  <w:rFonts w:ascii="Cambria Math" w:hAnsi="Cambria Math"/>
                  <w:i/>
                </w:rPr>
              </m:ctrlPr>
            </m:sSubPr>
            <m:e>
              <m:r>
                <w:rPr>
                  <w:rFonts w:ascii="Cambria Math" w:hAnsi="Cambria Math"/>
                </w:rPr>
                <m:t>CAGR</m:t>
              </m:r>
            </m:e>
            <m:sub>
              <m:r>
                <w:rPr>
                  <w:rFonts w:ascii="Cambria Math" w:hAnsi="Cambria Math"/>
                </w:rPr>
                <m:t>a</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en>
                  </m:f>
                </m:e>
              </m:d>
            </m:e>
            <m:sup>
              <m:f>
                <m:fPr>
                  <m:ctrlPr>
                    <w:rPr>
                      <w:rFonts w:ascii="Cambria Math" w:hAnsi="Cambria Math"/>
                      <w:i/>
                    </w:rPr>
                  </m:ctrlPr>
                </m:fPr>
                <m:num>
                  <m:r>
                    <w:rPr>
                      <w:rFonts w:ascii="Cambria Math" w:hAnsi="Cambria Math"/>
                    </w:rPr>
                    <m:t>1</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sup>
          </m:sSup>
          <m:r>
            <w:rPr>
              <w:rFonts w:ascii="Cambria Math" w:hAnsi="Cambria Math"/>
            </w:rPr>
            <m:t>-1</m:t>
          </m:r>
        </m:oMath>
      </m:oMathPara>
    </w:p>
    <w:p w14:paraId="40F38A42" w14:textId="77777777" w:rsidR="008B27F5" w:rsidRDefault="008B27F5" w:rsidP="008B27F5"/>
    <w:p w14:paraId="5A0BCDAF" w14:textId="77777777" w:rsidR="008B27F5" w:rsidRDefault="008B27F5" w:rsidP="008B27F5">
      <w:r>
        <w:t xml:space="preserve">Different criteria can be used to assess the CAGR, depending on the sign of the normative direction </w:t>
      </w:r>
      <w:proofErr w:type="gramStart"/>
      <w:r>
        <w:t>and also</w:t>
      </w:r>
      <w:proofErr w:type="gramEnd"/>
      <w:r>
        <w:t xml:space="preserve"> on the fact that for some indicators a situation that remains unchanged over time (not increase or not decrease) can be judged positively.</w:t>
      </w:r>
    </w:p>
    <w:p w14:paraId="11DE85E6" w14:textId="77777777" w:rsidR="008B27F5" w:rsidRPr="00091CE2" w:rsidRDefault="008B27F5" w:rsidP="00BB7C98">
      <w:pPr>
        <w:spacing w:after="160" w:line="259" w:lineRule="auto"/>
        <w:rPr>
          <w:b/>
          <w:sz w:val="18"/>
          <w:szCs w:val="20"/>
        </w:rPr>
      </w:pPr>
      <w:r w:rsidRPr="00091CE2">
        <w:rPr>
          <w:b/>
          <w:color w:val="000000" w:themeColor="text1"/>
        </w:rPr>
        <w:t xml:space="preserve">Thresholds and categories when a positive outcome </w:t>
      </w:r>
      <w:proofErr w:type="gramStart"/>
      <w:r w:rsidRPr="00091CE2">
        <w:rPr>
          <w:b/>
          <w:color w:val="000000" w:themeColor="text1"/>
        </w:rPr>
        <w:t>corresponds</w:t>
      </w:r>
      <w:proofErr w:type="gramEnd"/>
      <w:r w:rsidRPr="00091CE2">
        <w:rPr>
          <w:b/>
          <w:color w:val="000000" w:themeColor="text1"/>
        </w:rPr>
        <w:t xml:space="preserve"> to an </w:t>
      </w:r>
      <w:r w:rsidRPr="00091CE2">
        <w:rPr>
          <w:b/>
          <w:color w:val="000000" w:themeColor="text1"/>
          <w:u w:val="single"/>
        </w:rPr>
        <w:t>increase</w:t>
      </w:r>
      <w:r w:rsidRPr="00091CE2">
        <w:rPr>
          <w:b/>
          <w:color w:val="000000" w:themeColor="text1"/>
        </w:rPr>
        <w:t xml:space="preserve"> of the indicator</w:t>
      </w:r>
    </w:p>
    <w:tbl>
      <w:tblPr>
        <w:tblStyle w:val="TableGrid"/>
        <w:tblW w:w="9634" w:type="dxa"/>
        <w:jc w:val="center"/>
        <w:tblLook w:val="04A0" w:firstRow="1" w:lastRow="0" w:firstColumn="1" w:lastColumn="0" w:noHBand="0" w:noVBand="1"/>
      </w:tblPr>
      <w:tblGrid>
        <w:gridCol w:w="2689"/>
        <w:gridCol w:w="1226"/>
        <w:gridCol w:w="4585"/>
        <w:gridCol w:w="1134"/>
      </w:tblGrid>
      <w:tr w:rsidR="008B27F5" w:rsidRPr="00091CE2" w14:paraId="16CD0E48" w14:textId="77777777" w:rsidTr="008B27F5">
        <w:trPr>
          <w:trHeight w:val="285"/>
          <w:jc w:val="center"/>
        </w:trPr>
        <w:tc>
          <w:tcPr>
            <w:tcW w:w="2689" w:type="dxa"/>
            <w:shd w:val="clear" w:color="auto" w:fill="002060"/>
          </w:tcPr>
          <w:p w14:paraId="20C37B6F" w14:textId="77777777" w:rsidR="008B27F5" w:rsidRPr="00091CE2" w:rsidRDefault="008B27F5" w:rsidP="008B27F5">
            <w:pPr>
              <w:jc w:val="center"/>
              <w:rPr>
                <w:b/>
                <w:sz w:val="20"/>
                <w:szCs w:val="20"/>
              </w:rPr>
            </w:pPr>
            <w:r w:rsidRPr="00091CE2">
              <w:rPr>
                <w:b/>
                <w:sz w:val="20"/>
                <w:szCs w:val="20"/>
              </w:rPr>
              <w:t>Levels of actual growth rate</w:t>
            </w:r>
          </w:p>
        </w:tc>
        <w:tc>
          <w:tcPr>
            <w:tcW w:w="1226" w:type="dxa"/>
            <w:shd w:val="clear" w:color="auto" w:fill="002060"/>
            <w:vAlign w:val="center"/>
          </w:tcPr>
          <w:p w14:paraId="0663119E" w14:textId="77777777" w:rsidR="008B27F5" w:rsidRPr="00091CE2" w:rsidRDefault="008B27F5" w:rsidP="008B27F5">
            <w:pPr>
              <w:jc w:val="center"/>
              <w:rPr>
                <w:b/>
                <w:sz w:val="20"/>
                <w:szCs w:val="20"/>
              </w:rPr>
            </w:pPr>
            <w:proofErr w:type="spellStart"/>
            <w:r w:rsidRPr="00091CE2">
              <w:rPr>
                <w:b/>
                <w:sz w:val="20"/>
                <w:szCs w:val="20"/>
              </w:rPr>
              <w:t>Color</w:t>
            </w:r>
            <w:proofErr w:type="spellEnd"/>
          </w:p>
        </w:tc>
        <w:tc>
          <w:tcPr>
            <w:tcW w:w="4585" w:type="dxa"/>
            <w:shd w:val="clear" w:color="auto" w:fill="002060"/>
          </w:tcPr>
          <w:p w14:paraId="21A78808" w14:textId="77777777" w:rsidR="008B27F5" w:rsidRPr="00091CE2" w:rsidRDefault="008B27F5" w:rsidP="008B27F5">
            <w:pPr>
              <w:rPr>
                <w:b/>
                <w:sz w:val="20"/>
                <w:szCs w:val="20"/>
              </w:rPr>
            </w:pPr>
            <w:r w:rsidRPr="00091CE2">
              <w:rPr>
                <w:b/>
                <w:sz w:val="20"/>
                <w:szCs w:val="20"/>
              </w:rPr>
              <w:t>Assessment category</w:t>
            </w:r>
          </w:p>
        </w:tc>
        <w:tc>
          <w:tcPr>
            <w:tcW w:w="1134" w:type="dxa"/>
            <w:shd w:val="clear" w:color="auto" w:fill="002060"/>
          </w:tcPr>
          <w:p w14:paraId="331A6623" w14:textId="77777777" w:rsidR="008B27F5" w:rsidRPr="00091CE2" w:rsidRDefault="008B27F5" w:rsidP="008B27F5">
            <w:pPr>
              <w:rPr>
                <w:b/>
                <w:sz w:val="20"/>
                <w:szCs w:val="20"/>
              </w:rPr>
            </w:pPr>
            <w:r>
              <w:rPr>
                <w:rFonts w:eastAsia="Times New Roman" w:cstheme="minorHAnsi"/>
                <w:b/>
                <w:bCs/>
                <w:color w:val="FFFFFF"/>
                <w:sz w:val="20"/>
                <w:szCs w:val="20"/>
                <w:lang w:eastAsia="it-IT"/>
              </w:rPr>
              <w:t>Score</w:t>
            </w:r>
          </w:p>
        </w:tc>
      </w:tr>
      <w:tr w:rsidR="008B27F5" w:rsidRPr="00091CE2" w14:paraId="42B040C7" w14:textId="77777777" w:rsidTr="00177AF3">
        <w:trPr>
          <w:trHeight w:val="285"/>
          <w:jc w:val="center"/>
        </w:trPr>
        <w:tc>
          <w:tcPr>
            <w:tcW w:w="2689" w:type="dxa"/>
            <w:shd w:val="clear" w:color="auto" w:fill="4F6228" w:themeFill="accent3" w:themeFillShade="80"/>
            <w:vAlign w:val="center"/>
          </w:tcPr>
          <w:p w14:paraId="53A99129" w14:textId="77777777" w:rsidR="008B27F5" w:rsidRPr="00091CE2" w:rsidRDefault="002A733C" w:rsidP="008B27F5">
            <w:pPr>
              <w:rPr>
                <w:color w:val="FFFFFF" w:themeColor="background1"/>
                <w:sz w:val="20"/>
                <w:szCs w:val="20"/>
              </w:rPr>
            </w:pPr>
            <m:oMathPara>
              <m:oMath>
                <m:sSub>
                  <m:sSubPr>
                    <m:ctrlPr>
                      <w:rPr>
                        <w:rFonts w:ascii="Cambria Math" w:hAnsi="Cambria Math"/>
                        <w:i/>
                        <w:color w:val="FFFFFF" w:themeColor="background1"/>
                        <w:sz w:val="20"/>
                        <w:szCs w:val="20"/>
                      </w:rPr>
                    </m:ctrlPr>
                  </m:sSubPr>
                  <m:e>
                    <m:r>
                      <w:rPr>
                        <w:rFonts w:ascii="Cambria Math" w:hAnsi="Cambria Math"/>
                        <w:color w:val="FFFFFF" w:themeColor="background1"/>
                        <w:sz w:val="20"/>
                        <w:szCs w:val="20"/>
                      </w:rPr>
                      <m:t>CAGR</m:t>
                    </m:r>
                  </m:e>
                  <m:sub>
                    <m:r>
                      <w:rPr>
                        <w:rFonts w:ascii="Cambria Math" w:hAnsi="Cambria Math"/>
                        <w:color w:val="FFFFFF" w:themeColor="background1"/>
                        <w:sz w:val="20"/>
                        <w:szCs w:val="20"/>
                      </w:rPr>
                      <m:t>a</m:t>
                    </m:r>
                  </m:sub>
                </m:sSub>
                <m:r>
                  <w:rPr>
                    <w:rFonts w:ascii="Cambria Math" w:hAnsi="Cambria Math"/>
                    <w:color w:val="FFFFFF" w:themeColor="background1"/>
                    <w:sz w:val="20"/>
                    <w:szCs w:val="20"/>
                  </w:rPr>
                  <m:t>&gt;0.01</m:t>
                </m:r>
              </m:oMath>
            </m:oMathPara>
          </w:p>
        </w:tc>
        <w:tc>
          <w:tcPr>
            <w:tcW w:w="1226" w:type="dxa"/>
            <w:shd w:val="clear" w:color="auto" w:fill="4F6228" w:themeFill="accent3" w:themeFillShade="80"/>
            <w:vAlign w:val="center"/>
          </w:tcPr>
          <w:p w14:paraId="2B32A3CB" w14:textId="77777777" w:rsidR="008B27F5" w:rsidRPr="00091CE2" w:rsidRDefault="008B27F5" w:rsidP="008B27F5">
            <w:pPr>
              <w:jc w:val="center"/>
              <w:rPr>
                <w:rFonts w:ascii="Arial" w:hAnsi="Arial" w:cs="Arial"/>
                <w:color w:val="FFFFFF" w:themeColor="background1"/>
                <w:sz w:val="18"/>
                <w:szCs w:val="18"/>
              </w:rPr>
            </w:pPr>
            <w:r w:rsidRPr="00091CE2">
              <w:rPr>
                <w:rFonts w:ascii="Arial" w:hAnsi="Arial" w:cs="Arial"/>
                <w:color w:val="FFFFFF" w:themeColor="background1"/>
                <w:sz w:val="18"/>
                <w:szCs w:val="18"/>
              </w:rPr>
              <w:t>Dark green</w:t>
            </w:r>
          </w:p>
        </w:tc>
        <w:tc>
          <w:tcPr>
            <w:tcW w:w="4585" w:type="dxa"/>
            <w:shd w:val="clear" w:color="auto" w:fill="4F6228" w:themeFill="accent3" w:themeFillShade="80"/>
            <w:vAlign w:val="center"/>
          </w:tcPr>
          <w:p w14:paraId="50C26AAD" w14:textId="77777777" w:rsidR="008B27F5" w:rsidRPr="00091CE2" w:rsidRDefault="008B27F5" w:rsidP="008B27F5">
            <w:pPr>
              <w:rPr>
                <w:rFonts w:ascii="Arial" w:hAnsi="Arial" w:cs="Arial"/>
                <w:color w:val="FFFFFF" w:themeColor="background1"/>
                <w:sz w:val="18"/>
                <w:szCs w:val="18"/>
              </w:rPr>
            </w:pPr>
            <w:r w:rsidRPr="00091CE2">
              <w:rPr>
                <w:rFonts w:ascii="Arial" w:hAnsi="Arial" w:cs="Arial"/>
                <w:color w:val="FFFFFF" w:themeColor="background1"/>
                <w:sz w:val="18"/>
                <w:szCs w:val="18"/>
              </w:rPr>
              <w:t>Improvement since baseline-year (&gt;&gt;)</w:t>
            </w:r>
          </w:p>
        </w:tc>
        <w:tc>
          <w:tcPr>
            <w:tcW w:w="1134" w:type="dxa"/>
            <w:shd w:val="clear" w:color="auto" w:fill="4F6228" w:themeFill="accent3" w:themeFillShade="80"/>
          </w:tcPr>
          <w:p w14:paraId="4D835713" w14:textId="77777777" w:rsidR="008B27F5" w:rsidRPr="00091CE2" w:rsidRDefault="008B27F5" w:rsidP="008B27F5">
            <w:pPr>
              <w:rPr>
                <w:rFonts w:ascii="Arial" w:hAnsi="Arial" w:cs="Arial"/>
                <w:color w:val="FFFFFF" w:themeColor="background1"/>
                <w:sz w:val="18"/>
                <w:szCs w:val="18"/>
              </w:rPr>
            </w:pPr>
            <w:r>
              <w:rPr>
                <w:rFonts w:ascii="Arial" w:eastAsia="Times New Roman" w:hAnsi="Arial" w:cs="Arial"/>
                <w:color w:val="FFFFFF"/>
                <w:sz w:val="18"/>
                <w:szCs w:val="18"/>
                <w:lang w:eastAsia="it-IT"/>
              </w:rPr>
              <w:t>5</w:t>
            </w:r>
          </w:p>
        </w:tc>
      </w:tr>
      <w:tr w:rsidR="008B27F5" w:rsidRPr="00091CE2" w14:paraId="3BB43F17" w14:textId="77777777" w:rsidTr="00F6211C">
        <w:trPr>
          <w:trHeight w:val="285"/>
          <w:jc w:val="center"/>
        </w:trPr>
        <w:tc>
          <w:tcPr>
            <w:tcW w:w="2689" w:type="dxa"/>
            <w:shd w:val="clear" w:color="auto" w:fill="92D050"/>
            <w:vAlign w:val="center"/>
          </w:tcPr>
          <w:p w14:paraId="7EB1FA11" w14:textId="77777777" w:rsidR="008B27F5" w:rsidRPr="00091CE2" w:rsidRDefault="002A733C" w:rsidP="008B27F5">
            <w:pPr>
              <w:rPr>
                <w:sz w:val="20"/>
                <w:szCs w:val="20"/>
              </w:rPr>
            </w:pPr>
            <m:oMathPara>
              <m:oMath>
                <m:sSub>
                  <m:sSubPr>
                    <m:ctrlPr>
                      <w:rPr>
                        <w:rFonts w:ascii="Cambria Math" w:hAnsi="Cambria Math"/>
                        <w:i/>
                        <w:sz w:val="20"/>
                        <w:szCs w:val="20"/>
                      </w:rPr>
                    </m:ctrlPr>
                  </m:sSubPr>
                  <m:e>
                    <m:r>
                      <w:rPr>
                        <w:rFonts w:ascii="Cambria Math" w:hAnsi="Cambria Math"/>
                        <w:sz w:val="20"/>
                        <w:szCs w:val="20"/>
                      </w:rPr>
                      <m:t>0.005&lt;CAGR</m:t>
                    </m:r>
                  </m:e>
                  <m:sub>
                    <m:r>
                      <w:rPr>
                        <w:rFonts w:ascii="Cambria Math" w:hAnsi="Cambria Math"/>
                        <w:sz w:val="20"/>
                        <w:szCs w:val="20"/>
                      </w:rPr>
                      <m:t>a</m:t>
                    </m:r>
                  </m:sub>
                </m:sSub>
                <m:r>
                  <w:rPr>
                    <w:rFonts w:ascii="Cambria Math" w:hAnsi="Cambria Math"/>
                    <w:sz w:val="20"/>
                    <w:szCs w:val="20"/>
                  </w:rPr>
                  <m:t>≤0.01</m:t>
                </m:r>
              </m:oMath>
            </m:oMathPara>
          </w:p>
        </w:tc>
        <w:tc>
          <w:tcPr>
            <w:tcW w:w="1226" w:type="dxa"/>
            <w:shd w:val="clear" w:color="auto" w:fill="92D050"/>
            <w:vAlign w:val="center"/>
          </w:tcPr>
          <w:p w14:paraId="0CD34DF9" w14:textId="77777777" w:rsidR="008B27F5" w:rsidRPr="00091CE2" w:rsidRDefault="008B27F5" w:rsidP="008B27F5">
            <w:pPr>
              <w:jc w:val="center"/>
              <w:rPr>
                <w:rFonts w:ascii="Arial" w:hAnsi="Arial" w:cs="Arial"/>
                <w:sz w:val="18"/>
                <w:szCs w:val="18"/>
              </w:rPr>
            </w:pPr>
            <w:r w:rsidRPr="00091CE2">
              <w:rPr>
                <w:rFonts w:ascii="Arial" w:hAnsi="Arial" w:cs="Arial"/>
                <w:sz w:val="18"/>
                <w:szCs w:val="18"/>
              </w:rPr>
              <w:t>Light green</w:t>
            </w:r>
          </w:p>
        </w:tc>
        <w:tc>
          <w:tcPr>
            <w:tcW w:w="4585" w:type="dxa"/>
            <w:shd w:val="clear" w:color="auto" w:fill="92D050"/>
            <w:vAlign w:val="center"/>
          </w:tcPr>
          <w:p w14:paraId="2162FD3C" w14:textId="77777777" w:rsidR="008B27F5" w:rsidRPr="00091CE2" w:rsidRDefault="008B27F5" w:rsidP="008B27F5">
            <w:pPr>
              <w:rPr>
                <w:rFonts w:ascii="Arial" w:hAnsi="Arial" w:cs="Arial"/>
                <w:sz w:val="18"/>
                <w:szCs w:val="18"/>
              </w:rPr>
            </w:pPr>
            <w:r w:rsidRPr="00091CE2">
              <w:rPr>
                <w:rFonts w:ascii="Arial" w:hAnsi="Arial" w:cs="Arial"/>
                <w:sz w:val="18"/>
                <w:szCs w:val="18"/>
              </w:rPr>
              <w:t>Slight improvement since baseline-year (&gt;)</w:t>
            </w:r>
          </w:p>
        </w:tc>
        <w:tc>
          <w:tcPr>
            <w:tcW w:w="1134" w:type="dxa"/>
            <w:shd w:val="clear" w:color="auto" w:fill="92D050"/>
          </w:tcPr>
          <w:p w14:paraId="6D99ADFA" w14:textId="77777777" w:rsidR="008B27F5" w:rsidRPr="00091CE2" w:rsidRDefault="008B27F5" w:rsidP="008B27F5">
            <w:pPr>
              <w:rPr>
                <w:rFonts w:ascii="Arial" w:hAnsi="Arial" w:cs="Arial"/>
                <w:sz w:val="18"/>
                <w:szCs w:val="18"/>
              </w:rPr>
            </w:pPr>
            <w:r>
              <w:rPr>
                <w:rFonts w:ascii="Arial" w:eastAsia="Times New Roman" w:hAnsi="Arial" w:cs="Arial"/>
                <w:color w:val="000000"/>
                <w:sz w:val="18"/>
                <w:szCs w:val="18"/>
                <w:lang w:eastAsia="it-IT"/>
              </w:rPr>
              <w:t>4</w:t>
            </w:r>
          </w:p>
        </w:tc>
      </w:tr>
      <w:tr w:rsidR="008B27F5" w:rsidRPr="00091CE2" w14:paraId="147C3913" w14:textId="77777777" w:rsidTr="00F6211C">
        <w:trPr>
          <w:trHeight w:val="285"/>
          <w:jc w:val="center"/>
        </w:trPr>
        <w:tc>
          <w:tcPr>
            <w:tcW w:w="2689" w:type="dxa"/>
            <w:shd w:val="clear" w:color="auto" w:fill="FFFF00"/>
            <w:vAlign w:val="center"/>
          </w:tcPr>
          <w:p w14:paraId="0CE52528" w14:textId="77777777" w:rsidR="008B27F5" w:rsidRPr="00091CE2" w:rsidRDefault="002A733C" w:rsidP="008B27F5">
            <w:pPr>
              <w:rPr>
                <w:rFonts w:ascii="Calibri" w:eastAsia="Calibri" w:hAnsi="Calibri"/>
                <w:sz w:val="20"/>
                <w:szCs w:val="20"/>
              </w:rPr>
            </w:pPr>
            <m:oMathPara>
              <m:oMath>
                <m:sSub>
                  <m:sSubPr>
                    <m:ctrlPr>
                      <w:rPr>
                        <w:rFonts w:ascii="Cambria Math" w:hAnsi="Cambria Math"/>
                        <w:i/>
                        <w:sz w:val="20"/>
                        <w:szCs w:val="20"/>
                      </w:rPr>
                    </m:ctrlPr>
                  </m:sSubPr>
                  <m:e>
                    <m:r>
                      <w:rPr>
                        <w:rFonts w:ascii="Cambria Math" w:hAnsi="Cambria Math"/>
                        <w:sz w:val="20"/>
                        <w:szCs w:val="20"/>
                      </w:rPr>
                      <m:t>-0.005≤CAGR</m:t>
                    </m:r>
                  </m:e>
                  <m:sub>
                    <m:r>
                      <w:rPr>
                        <w:rFonts w:ascii="Cambria Math" w:hAnsi="Cambria Math"/>
                        <w:sz w:val="20"/>
                        <w:szCs w:val="20"/>
                      </w:rPr>
                      <m:t>a</m:t>
                    </m:r>
                  </m:sub>
                </m:sSub>
                <m:r>
                  <w:rPr>
                    <w:rFonts w:ascii="Cambria Math" w:hAnsi="Cambria Math"/>
                    <w:sz w:val="20"/>
                    <w:szCs w:val="20"/>
                  </w:rPr>
                  <m:t>≤0.005</m:t>
                </m:r>
              </m:oMath>
            </m:oMathPara>
          </w:p>
        </w:tc>
        <w:tc>
          <w:tcPr>
            <w:tcW w:w="1226" w:type="dxa"/>
            <w:shd w:val="clear" w:color="auto" w:fill="FFFF00"/>
            <w:vAlign w:val="center"/>
          </w:tcPr>
          <w:p w14:paraId="4DCF342A" w14:textId="77777777" w:rsidR="008B27F5" w:rsidRPr="00091CE2" w:rsidRDefault="008B27F5" w:rsidP="008B27F5">
            <w:pPr>
              <w:jc w:val="center"/>
              <w:rPr>
                <w:rFonts w:ascii="Arial" w:hAnsi="Arial" w:cs="Arial"/>
                <w:sz w:val="18"/>
                <w:szCs w:val="18"/>
              </w:rPr>
            </w:pPr>
            <w:r w:rsidRPr="00091CE2">
              <w:rPr>
                <w:rFonts w:ascii="Arial" w:hAnsi="Arial" w:cs="Arial"/>
                <w:sz w:val="18"/>
                <w:szCs w:val="18"/>
              </w:rPr>
              <w:t>Yellow</w:t>
            </w:r>
          </w:p>
        </w:tc>
        <w:tc>
          <w:tcPr>
            <w:tcW w:w="4585" w:type="dxa"/>
            <w:shd w:val="clear" w:color="auto" w:fill="FFFF00"/>
            <w:vAlign w:val="center"/>
          </w:tcPr>
          <w:p w14:paraId="211117C9" w14:textId="77777777" w:rsidR="008B27F5" w:rsidRPr="00091CE2" w:rsidRDefault="008B27F5" w:rsidP="008B27F5">
            <w:pPr>
              <w:rPr>
                <w:rFonts w:ascii="Arial" w:hAnsi="Arial" w:cs="Arial"/>
                <w:sz w:val="18"/>
                <w:szCs w:val="18"/>
              </w:rPr>
            </w:pPr>
            <w:r w:rsidRPr="00091CE2">
              <w:rPr>
                <w:rFonts w:ascii="Arial" w:hAnsi="Arial" w:cs="Arial"/>
                <w:sz w:val="18"/>
                <w:szCs w:val="18"/>
              </w:rPr>
              <w:t>No improvement since baseline-year (=)</w:t>
            </w:r>
          </w:p>
        </w:tc>
        <w:tc>
          <w:tcPr>
            <w:tcW w:w="1134" w:type="dxa"/>
            <w:shd w:val="clear" w:color="auto" w:fill="FFFF00"/>
          </w:tcPr>
          <w:p w14:paraId="27CA3C68" w14:textId="77777777" w:rsidR="008B27F5" w:rsidRPr="00091CE2" w:rsidRDefault="008B27F5" w:rsidP="008B27F5">
            <w:pPr>
              <w:rPr>
                <w:rFonts w:ascii="Arial" w:hAnsi="Arial" w:cs="Arial"/>
                <w:sz w:val="18"/>
                <w:szCs w:val="18"/>
              </w:rPr>
            </w:pPr>
            <w:r>
              <w:rPr>
                <w:rFonts w:ascii="Arial" w:eastAsia="Times New Roman" w:hAnsi="Arial" w:cs="Arial"/>
                <w:color w:val="000000"/>
                <w:sz w:val="18"/>
                <w:szCs w:val="18"/>
                <w:lang w:eastAsia="it-IT"/>
              </w:rPr>
              <w:t>3</w:t>
            </w:r>
          </w:p>
        </w:tc>
      </w:tr>
      <w:tr w:rsidR="008B27F5" w:rsidRPr="00091CE2" w14:paraId="45EB726D" w14:textId="77777777" w:rsidTr="00F6211C">
        <w:trPr>
          <w:trHeight w:val="285"/>
          <w:jc w:val="center"/>
        </w:trPr>
        <w:tc>
          <w:tcPr>
            <w:tcW w:w="2689" w:type="dxa"/>
            <w:shd w:val="clear" w:color="auto" w:fill="FFC000"/>
            <w:vAlign w:val="center"/>
          </w:tcPr>
          <w:p w14:paraId="7CA658D4" w14:textId="77777777" w:rsidR="008B27F5" w:rsidRPr="00091CE2" w:rsidRDefault="002A733C" w:rsidP="008B27F5">
            <w:pPr>
              <w:rPr>
                <w:sz w:val="20"/>
                <w:szCs w:val="20"/>
              </w:rPr>
            </w:pPr>
            <m:oMathPara>
              <m:oMath>
                <m:sSub>
                  <m:sSubPr>
                    <m:ctrlPr>
                      <w:rPr>
                        <w:rFonts w:ascii="Cambria Math" w:hAnsi="Cambria Math"/>
                        <w:i/>
                        <w:sz w:val="20"/>
                        <w:szCs w:val="20"/>
                      </w:rPr>
                    </m:ctrlPr>
                  </m:sSubPr>
                  <m:e>
                    <m:r>
                      <w:rPr>
                        <w:rFonts w:ascii="Cambria Math" w:hAnsi="Cambria Math"/>
                        <w:sz w:val="20"/>
                        <w:szCs w:val="20"/>
                      </w:rPr>
                      <m:t>-0.01≤CAGR</m:t>
                    </m:r>
                  </m:e>
                  <m:sub>
                    <m:r>
                      <w:rPr>
                        <w:rFonts w:ascii="Cambria Math" w:hAnsi="Cambria Math"/>
                        <w:sz w:val="20"/>
                        <w:szCs w:val="20"/>
                      </w:rPr>
                      <m:t>a</m:t>
                    </m:r>
                  </m:sub>
                </m:sSub>
                <m:r>
                  <w:rPr>
                    <w:rFonts w:ascii="Cambria Math" w:hAnsi="Cambria Math"/>
                    <w:sz w:val="20"/>
                    <w:szCs w:val="20"/>
                  </w:rPr>
                  <m:t>&lt;-0.005</m:t>
                </m:r>
              </m:oMath>
            </m:oMathPara>
          </w:p>
        </w:tc>
        <w:tc>
          <w:tcPr>
            <w:tcW w:w="1226" w:type="dxa"/>
            <w:shd w:val="clear" w:color="auto" w:fill="FFC000"/>
            <w:vAlign w:val="center"/>
          </w:tcPr>
          <w:p w14:paraId="14AAAF6F" w14:textId="77777777" w:rsidR="008B27F5" w:rsidRPr="00091CE2" w:rsidRDefault="008B27F5" w:rsidP="008B27F5">
            <w:pPr>
              <w:jc w:val="center"/>
              <w:rPr>
                <w:rFonts w:ascii="Arial" w:hAnsi="Arial" w:cs="Arial"/>
                <w:sz w:val="18"/>
                <w:szCs w:val="18"/>
              </w:rPr>
            </w:pPr>
            <w:r w:rsidRPr="00091CE2">
              <w:rPr>
                <w:rFonts w:ascii="Arial" w:hAnsi="Arial" w:cs="Arial"/>
                <w:sz w:val="18"/>
                <w:szCs w:val="18"/>
              </w:rPr>
              <w:t>Orange</w:t>
            </w:r>
          </w:p>
        </w:tc>
        <w:tc>
          <w:tcPr>
            <w:tcW w:w="4585" w:type="dxa"/>
            <w:shd w:val="clear" w:color="auto" w:fill="FFC000"/>
            <w:vAlign w:val="center"/>
          </w:tcPr>
          <w:p w14:paraId="7318F6E2" w14:textId="77777777" w:rsidR="008B27F5" w:rsidRPr="00091CE2" w:rsidRDefault="008B27F5" w:rsidP="008B27F5">
            <w:pPr>
              <w:rPr>
                <w:rFonts w:ascii="Arial" w:hAnsi="Arial" w:cs="Arial"/>
                <w:sz w:val="18"/>
                <w:szCs w:val="18"/>
              </w:rPr>
            </w:pPr>
            <w:r w:rsidRPr="00091CE2">
              <w:rPr>
                <w:rFonts w:ascii="Arial" w:hAnsi="Arial" w:cs="Arial"/>
                <w:sz w:val="18"/>
                <w:szCs w:val="18"/>
              </w:rPr>
              <w:t>Slight deterioration since baseline-year (&lt;)</w:t>
            </w:r>
          </w:p>
        </w:tc>
        <w:tc>
          <w:tcPr>
            <w:tcW w:w="1134" w:type="dxa"/>
            <w:shd w:val="clear" w:color="auto" w:fill="FFC000"/>
          </w:tcPr>
          <w:p w14:paraId="1FC439D5" w14:textId="77777777" w:rsidR="008B27F5" w:rsidRPr="00091CE2" w:rsidRDefault="008B27F5" w:rsidP="008B27F5">
            <w:pPr>
              <w:rPr>
                <w:rFonts w:ascii="Arial" w:hAnsi="Arial" w:cs="Arial"/>
                <w:sz w:val="18"/>
                <w:szCs w:val="18"/>
              </w:rPr>
            </w:pPr>
            <w:r>
              <w:rPr>
                <w:rFonts w:ascii="Arial" w:eastAsia="Times New Roman" w:hAnsi="Arial" w:cs="Arial"/>
                <w:color w:val="000000"/>
                <w:sz w:val="18"/>
                <w:szCs w:val="18"/>
                <w:lang w:eastAsia="it-IT"/>
              </w:rPr>
              <w:t>2</w:t>
            </w:r>
          </w:p>
        </w:tc>
      </w:tr>
      <w:tr w:rsidR="008B27F5" w:rsidRPr="00091CE2" w14:paraId="54E87678" w14:textId="77777777" w:rsidTr="008B27F5">
        <w:trPr>
          <w:trHeight w:val="285"/>
          <w:jc w:val="center"/>
        </w:trPr>
        <w:tc>
          <w:tcPr>
            <w:tcW w:w="2689" w:type="dxa"/>
            <w:shd w:val="clear" w:color="auto" w:fill="FF0000"/>
            <w:vAlign w:val="center"/>
          </w:tcPr>
          <w:p w14:paraId="74919576" w14:textId="77777777" w:rsidR="008B27F5" w:rsidRPr="00091CE2" w:rsidRDefault="002A733C" w:rsidP="008B27F5">
            <w:pPr>
              <w:rPr>
                <w:color w:val="FFFFFF" w:themeColor="background1"/>
                <w:sz w:val="20"/>
                <w:szCs w:val="20"/>
              </w:rPr>
            </w:pPr>
            <m:oMathPara>
              <m:oMath>
                <m:sSub>
                  <m:sSubPr>
                    <m:ctrlPr>
                      <w:rPr>
                        <w:rFonts w:ascii="Cambria Math" w:hAnsi="Cambria Math"/>
                        <w:i/>
                        <w:color w:val="FFFFFF" w:themeColor="background1"/>
                        <w:sz w:val="20"/>
                        <w:szCs w:val="20"/>
                      </w:rPr>
                    </m:ctrlPr>
                  </m:sSubPr>
                  <m:e>
                    <m:r>
                      <w:rPr>
                        <w:rFonts w:ascii="Cambria Math" w:hAnsi="Cambria Math"/>
                        <w:color w:val="FFFFFF" w:themeColor="background1"/>
                        <w:sz w:val="20"/>
                        <w:szCs w:val="20"/>
                      </w:rPr>
                      <m:t>CAGR</m:t>
                    </m:r>
                  </m:e>
                  <m:sub>
                    <m:r>
                      <w:rPr>
                        <w:rFonts w:ascii="Cambria Math" w:hAnsi="Cambria Math"/>
                        <w:color w:val="FFFFFF" w:themeColor="background1"/>
                        <w:sz w:val="20"/>
                        <w:szCs w:val="20"/>
                      </w:rPr>
                      <m:t>a</m:t>
                    </m:r>
                  </m:sub>
                </m:sSub>
                <m:r>
                  <w:rPr>
                    <w:rFonts w:ascii="Cambria Math" w:hAnsi="Cambria Math"/>
                    <w:color w:val="FFFFFF" w:themeColor="background1"/>
                    <w:sz w:val="20"/>
                    <w:szCs w:val="20"/>
                  </w:rPr>
                  <m:t>&lt;-0.01</m:t>
                </m:r>
              </m:oMath>
            </m:oMathPara>
          </w:p>
        </w:tc>
        <w:tc>
          <w:tcPr>
            <w:tcW w:w="1226" w:type="dxa"/>
            <w:shd w:val="clear" w:color="auto" w:fill="FF0000"/>
            <w:vAlign w:val="center"/>
          </w:tcPr>
          <w:p w14:paraId="101FD638" w14:textId="77777777" w:rsidR="008B27F5" w:rsidRPr="00091CE2" w:rsidRDefault="008B27F5" w:rsidP="008B27F5">
            <w:pPr>
              <w:jc w:val="center"/>
              <w:rPr>
                <w:rFonts w:ascii="Arial" w:hAnsi="Arial" w:cs="Arial"/>
                <w:color w:val="FFFFFF" w:themeColor="background1"/>
                <w:sz w:val="18"/>
                <w:szCs w:val="18"/>
              </w:rPr>
            </w:pPr>
            <w:r w:rsidRPr="00091CE2">
              <w:rPr>
                <w:rFonts w:ascii="Arial" w:hAnsi="Arial" w:cs="Arial"/>
                <w:color w:val="FFFFFF" w:themeColor="background1"/>
                <w:sz w:val="18"/>
                <w:szCs w:val="18"/>
              </w:rPr>
              <w:t>Red</w:t>
            </w:r>
          </w:p>
        </w:tc>
        <w:tc>
          <w:tcPr>
            <w:tcW w:w="4585" w:type="dxa"/>
            <w:shd w:val="clear" w:color="auto" w:fill="FF0000"/>
            <w:vAlign w:val="center"/>
          </w:tcPr>
          <w:p w14:paraId="3069C9AF" w14:textId="77777777" w:rsidR="008B27F5" w:rsidRPr="00091CE2" w:rsidRDefault="008B27F5" w:rsidP="008B27F5">
            <w:pPr>
              <w:rPr>
                <w:rFonts w:ascii="Arial" w:hAnsi="Arial" w:cs="Arial"/>
                <w:color w:val="FFFFFF" w:themeColor="background1"/>
                <w:sz w:val="18"/>
                <w:szCs w:val="18"/>
              </w:rPr>
            </w:pPr>
            <w:r w:rsidRPr="00091CE2">
              <w:rPr>
                <w:rFonts w:ascii="Arial" w:hAnsi="Arial" w:cs="Arial"/>
                <w:color w:val="FFFFFF" w:themeColor="background1"/>
                <w:sz w:val="18"/>
                <w:szCs w:val="18"/>
              </w:rPr>
              <w:t>Deterioration since baseline-year (&lt;&lt;)</w:t>
            </w:r>
          </w:p>
        </w:tc>
        <w:tc>
          <w:tcPr>
            <w:tcW w:w="1134" w:type="dxa"/>
            <w:shd w:val="clear" w:color="auto" w:fill="FF0000"/>
          </w:tcPr>
          <w:p w14:paraId="656AFFE9" w14:textId="77777777" w:rsidR="008B27F5" w:rsidRPr="00091CE2" w:rsidRDefault="008B27F5" w:rsidP="008B27F5">
            <w:pPr>
              <w:rPr>
                <w:rFonts w:ascii="Arial" w:hAnsi="Arial" w:cs="Arial"/>
                <w:color w:val="FFFFFF" w:themeColor="background1"/>
                <w:sz w:val="18"/>
                <w:szCs w:val="18"/>
              </w:rPr>
            </w:pPr>
            <w:r>
              <w:rPr>
                <w:rFonts w:ascii="Arial" w:eastAsia="Times New Roman" w:hAnsi="Arial" w:cs="Arial"/>
                <w:color w:val="FFFFFF"/>
                <w:sz w:val="18"/>
                <w:szCs w:val="18"/>
                <w:lang w:eastAsia="it-IT"/>
              </w:rPr>
              <w:t>1</w:t>
            </w:r>
          </w:p>
        </w:tc>
      </w:tr>
      <w:tr w:rsidR="008B27F5" w:rsidRPr="00091CE2" w14:paraId="74F581FA" w14:textId="77777777" w:rsidTr="008B27F5">
        <w:trPr>
          <w:trHeight w:val="285"/>
          <w:jc w:val="center"/>
        </w:trPr>
        <w:tc>
          <w:tcPr>
            <w:tcW w:w="2689" w:type="dxa"/>
            <w:shd w:val="clear" w:color="auto" w:fill="C4BC96" w:themeFill="background2" w:themeFillShade="BF"/>
            <w:vAlign w:val="center"/>
          </w:tcPr>
          <w:p w14:paraId="7515B7DA" w14:textId="77777777" w:rsidR="008B27F5" w:rsidRPr="00091CE2" w:rsidRDefault="008B27F5" w:rsidP="008B27F5">
            <w:pPr>
              <w:jc w:val="center"/>
              <w:rPr>
                <w:rFonts w:eastAsia="Calibri"/>
                <w:color w:val="FFFFFF" w:themeColor="background1"/>
                <w:sz w:val="20"/>
                <w:szCs w:val="20"/>
              </w:rPr>
            </w:pPr>
            <w:r w:rsidRPr="00091CE2">
              <w:rPr>
                <w:rFonts w:eastAsia="Calibri"/>
                <w:color w:val="FFFFFF" w:themeColor="background1"/>
                <w:sz w:val="20"/>
                <w:szCs w:val="20"/>
              </w:rPr>
              <w:t>Missing data</w:t>
            </w:r>
          </w:p>
        </w:tc>
        <w:tc>
          <w:tcPr>
            <w:tcW w:w="1226" w:type="dxa"/>
            <w:shd w:val="clear" w:color="auto" w:fill="C4BC96" w:themeFill="background2" w:themeFillShade="BF"/>
            <w:vAlign w:val="center"/>
          </w:tcPr>
          <w:p w14:paraId="5D3B135D" w14:textId="77777777" w:rsidR="008B27F5" w:rsidRPr="00091CE2" w:rsidRDefault="008B27F5" w:rsidP="008B27F5">
            <w:pPr>
              <w:jc w:val="center"/>
              <w:rPr>
                <w:rFonts w:ascii="Arial" w:hAnsi="Arial" w:cs="Arial"/>
                <w:color w:val="FFFFFF" w:themeColor="background1"/>
                <w:sz w:val="18"/>
                <w:szCs w:val="18"/>
              </w:rPr>
            </w:pPr>
            <w:r w:rsidRPr="00091CE2">
              <w:rPr>
                <w:rFonts w:ascii="Arial" w:hAnsi="Arial" w:cs="Arial"/>
                <w:color w:val="FFFFFF" w:themeColor="background1"/>
                <w:sz w:val="18"/>
                <w:szCs w:val="18"/>
              </w:rPr>
              <w:t>Grey</w:t>
            </w:r>
          </w:p>
        </w:tc>
        <w:tc>
          <w:tcPr>
            <w:tcW w:w="4585" w:type="dxa"/>
            <w:shd w:val="clear" w:color="auto" w:fill="C4BC96" w:themeFill="background2" w:themeFillShade="BF"/>
            <w:vAlign w:val="center"/>
          </w:tcPr>
          <w:p w14:paraId="3E62C9A7" w14:textId="77777777" w:rsidR="008B27F5" w:rsidRPr="00091CE2" w:rsidRDefault="008B27F5" w:rsidP="008B27F5">
            <w:pPr>
              <w:rPr>
                <w:rFonts w:ascii="Arial" w:hAnsi="Arial" w:cs="Arial"/>
                <w:color w:val="FFFFFF" w:themeColor="background1"/>
                <w:sz w:val="18"/>
                <w:szCs w:val="18"/>
              </w:rPr>
            </w:pPr>
            <w:r w:rsidRPr="00091CE2">
              <w:rPr>
                <w:rFonts w:ascii="Arial" w:hAnsi="Arial" w:cs="Arial"/>
                <w:color w:val="FFFFFF" w:themeColor="background1"/>
                <w:sz w:val="18"/>
                <w:szCs w:val="18"/>
              </w:rPr>
              <w:t>None</w:t>
            </w:r>
          </w:p>
        </w:tc>
        <w:tc>
          <w:tcPr>
            <w:tcW w:w="1134" w:type="dxa"/>
            <w:shd w:val="clear" w:color="auto" w:fill="C4BC96" w:themeFill="background2" w:themeFillShade="BF"/>
          </w:tcPr>
          <w:p w14:paraId="6EDED099" w14:textId="77777777" w:rsidR="008B27F5" w:rsidRPr="00091CE2" w:rsidRDefault="008B27F5" w:rsidP="008B27F5">
            <w:pPr>
              <w:rPr>
                <w:rFonts w:ascii="Arial" w:hAnsi="Arial" w:cs="Arial"/>
                <w:color w:val="FFFFFF" w:themeColor="background1"/>
                <w:sz w:val="18"/>
                <w:szCs w:val="18"/>
              </w:rPr>
            </w:pPr>
            <w:r>
              <w:rPr>
                <w:rFonts w:ascii="Arial" w:eastAsia="Times New Roman" w:hAnsi="Arial" w:cs="Arial"/>
                <w:color w:val="FFFFFF"/>
                <w:sz w:val="18"/>
                <w:szCs w:val="18"/>
                <w:lang w:eastAsia="it-IT"/>
              </w:rPr>
              <w:t>1</w:t>
            </w:r>
          </w:p>
        </w:tc>
      </w:tr>
    </w:tbl>
    <w:p w14:paraId="09885287" w14:textId="77777777" w:rsidR="008B27F5" w:rsidRPr="00091CE2" w:rsidRDefault="008B27F5" w:rsidP="008B27F5">
      <w:pPr>
        <w:rPr>
          <w:color w:val="000000" w:themeColor="text1"/>
        </w:rPr>
      </w:pPr>
    </w:p>
    <w:p w14:paraId="4DD2BE83" w14:textId="77777777" w:rsidR="008B27F5" w:rsidRPr="00091CE2" w:rsidRDefault="008B27F5" w:rsidP="008B27F5">
      <w:pPr>
        <w:rPr>
          <w:b/>
          <w:sz w:val="18"/>
          <w:szCs w:val="20"/>
        </w:rPr>
      </w:pPr>
      <w:r w:rsidRPr="00091CE2">
        <w:rPr>
          <w:b/>
          <w:color w:val="000000" w:themeColor="text1"/>
        </w:rPr>
        <w:t xml:space="preserve">Thresholds and categories when a positive outcome </w:t>
      </w:r>
      <w:proofErr w:type="gramStart"/>
      <w:r w:rsidRPr="00091CE2">
        <w:rPr>
          <w:b/>
          <w:color w:val="000000" w:themeColor="text1"/>
        </w:rPr>
        <w:t>corresponds</w:t>
      </w:r>
      <w:proofErr w:type="gramEnd"/>
      <w:r w:rsidRPr="00091CE2">
        <w:rPr>
          <w:b/>
          <w:color w:val="000000" w:themeColor="text1"/>
        </w:rPr>
        <w:t xml:space="preserve"> to a </w:t>
      </w:r>
      <w:r w:rsidRPr="00091CE2">
        <w:rPr>
          <w:b/>
          <w:color w:val="000000" w:themeColor="text1"/>
          <w:u w:val="single"/>
        </w:rPr>
        <w:t>decrease</w:t>
      </w:r>
      <w:r w:rsidRPr="00091CE2">
        <w:rPr>
          <w:b/>
          <w:color w:val="000000" w:themeColor="text1"/>
        </w:rPr>
        <w:t xml:space="preserve"> of the indicator</w:t>
      </w:r>
    </w:p>
    <w:tbl>
      <w:tblPr>
        <w:tblStyle w:val="TableGrid"/>
        <w:tblW w:w="9343" w:type="dxa"/>
        <w:jc w:val="center"/>
        <w:tblLook w:val="04A0" w:firstRow="1" w:lastRow="0" w:firstColumn="1" w:lastColumn="0" w:noHBand="0" w:noVBand="1"/>
      </w:tblPr>
      <w:tblGrid>
        <w:gridCol w:w="2689"/>
        <w:gridCol w:w="1190"/>
        <w:gridCol w:w="4054"/>
        <w:gridCol w:w="1410"/>
      </w:tblGrid>
      <w:tr w:rsidR="008B27F5" w:rsidRPr="00091CE2" w14:paraId="784D5CA5" w14:textId="77777777" w:rsidTr="008B27F5">
        <w:trPr>
          <w:trHeight w:val="284"/>
          <w:jc w:val="center"/>
        </w:trPr>
        <w:tc>
          <w:tcPr>
            <w:tcW w:w="2689" w:type="dxa"/>
            <w:shd w:val="clear" w:color="auto" w:fill="002060"/>
          </w:tcPr>
          <w:p w14:paraId="28E38DA5" w14:textId="77777777" w:rsidR="008B27F5" w:rsidRPr="00091CE2" w:rsidRDefault="008B27F5" w:rsidP="008B27F5">
            <w:pPr>
              <w:jc w:val="center"/>
              <w:rPr>
                <w:b/>
                <w:sz w:val="20"/>
                <w:szCs w:val="20"/>
              </w:rPr>
            </w:pPr>
            <w:r w:rsidRPr="00091CE2">
              <w:rPr>
                <w:b/>
                <w:sz w:val="20"/>
                <w:szCs w:val="20"/>
              </w:rPr>
              <w:lastRenderedPageBreak/>
              <w:t>Levels of actual growth rate</w:t>
            </w:r>
          </w:p>
        </w:tc>
        <w:tc>
          <w:tcPr>
            <w:tcW w:w="1190" w:type="dxa"/>
            <w:shd w:val="clear" w:color="auto" w:fill="002060"/>
            <w:vAlign w:val="center"/>
          </w:tcPr>
          <w:p w14:paraId="3CBDB58E" w14:textId="77777777" w:rsidR="008B27F5" w:rsidRPr="00091CE2" w:rsidRDefault="008B27F5" w:rsidP="008B27F5">
            <w:pPr>
              <w:jc w:val="center"/>
              <w:rPr>
                <w:b/>
                <w:sz w:val="20"/>
                <w:szCs w:val="20"/>
              </w:rPr>
            </w:pPr>
            <w:proofErr w:type="spellStart"/>
            <w:r w:rsidRPr="00091CE2">
              <w:rPr>
                <w:b/>
                <w:sz w:val="20"/>
                <w:szCs w:val="20"/>
              </w:rPr>
              <w:t>Color</w:t>
            </w:r>
            <w:proofErr w:type="spellEnd"/>
          </w:p>
        </w:tc>
        <w:tc>
          <w:tcPr>
            <w:tcW w:w="4054" w:type="dxa"/>
            <w:shd w:val="clear" w:color="auto" w:fill="002060"/>
          </w:tcPr>
          <w:p w14:paraId="54EACE6B" w14:textId="77777777" w:rsidR="008B27F5" w:rsidRPr="00091CE2" w:rsidRDefault="008B27F5" w:rsidP="008B27F5">
            <w:pPr>
              <w:rPr>
                <w:b/>
                <w:sz w:val="20"/>
                <w:szCs w:val="20"/>
              </w:rPr>
            </w:pPr>
            <w:r w:rsidRPr="00091CE2">
              <w:rPr>
                <w:b/>
                <w:sz w:val="20"/>
                <w:szCs w:val="20"/>
              </w:rPr>
              <w:t>Assessment category</w:t>
            </w:r>
          </w:p>
        </w:tc>
        <w:tc>
          <w:tcPr>
            <w:tcW w:w="1410" w:type="dxa"/>
            <w:shd w:val="clear" w:color="auto" w:fill="002060"/>
          </w:tcPr>
          <w:p w14:paraId="4EFDC3CD" w14:textId="77777777" w:rsidR="008B27F5" w:rsidRPr="00091CE2" w:rsidRDefault="008B27F5" w:rsidP="008B27F5">
            <w:pPr>
              <w:rPr>
                <w:b/>
                <w:sz w:val="20"/>
                <w:szCs w:val="20"/>
              </w:rPr>
            </w:pPr>
            <w:r>
              <w:rPr>
                <w:rFonts w:eastAsia="Times New Roman" w:cstheme="minorHAnsi"/>
                <w:b/>
                <w:bCs/>
                <w:color w:val="FFFFFF"/>
                <w:sz w:val="20"/>
                <w:szCs w:val="20"/>
                <w:lang w:eastAsia="it-IT"/>
              </w:rPr>
              <w:t>Score</w:t>
            </w:r>
          </w:p>
        </w:tc>
      </w:tr>
      <w:tr w:rsidR="008B27F5" w:rsidRPr="00091CE2" w14:paraId="32875915" w14:textId="77777777" w:rsidTr="00177AF3">
        <w:trPr>
          <w:trHeight w:val="284"/>
          <w:jc w:val="center"/>
        </w:trPr>
        <w:tc>
          <w:tcPr>
            <w:tcW w:w="2689" w:type="dxa"/>
            <w:shd w:val="clear" w:color="auto" w:fill="4F6228" w:themeFill="accent3" w:themeFillShade="80"/>
            <w:vAlign w:val="center"/>
          </w:tcPr>
          <w:p w14:paraId="4AE82997" w14:textId="77777777" w:rsidR="008B27F5" w:rsidRPr="00091CE2" w:rsidRDefault="002A733C" w:rsidP="008B27F5">
            <w:pPr>
              <w:rPr>
                <w:color w:val="FFFFFF" w:themeColor="background1"/>
                <w:sz w:val="20"/>
                <w:szCs w:val="20"/>
              </w:rPr>
            </w:pPr>
            <m:oMathPara>
              <m:oMath>
                <m:sSub>
                  <m:sSubPr>
                    <m:ctrlPr>
                      <w:rPr>
                        <w:rFonts w:ascii="Cambria Math" w:hAnsi="Cambria Math"/>
                        <w:i/>
                        <w:color w:val="FFFFFF" w:themeColor="background1"/>
                        <w:sz w:val="20"/>
                        <w:szCs w:val="20"/>
                      </w:rPr>
                    </m:ctrlPr>
                  </m:sSubPr>
                  <m:e>
                    <m:r>
                      <w:rPr>
                        <w:rFonts w:ascii="Cambria Math" w:hAnsi="Cambria Math"/>
                        <w:color w:val="FFFFFF" w:themeColor="background1"/>
                        <w:sz w:val="20"/>
                        <w:szCs w:val="20"/>
                      </w:rPr>
                      <m:t>CAGR</m:t>
                    </m:r>
                  </m:e>
                  <m:sub>
                    <m:r>
                      <w:rPr>
                        <w:rFonts w:ascii="Cambria Math" w:hAnsi="Cambria Math"/>
                        <w:color w:val="FFFFFF" w:themeColor="background1"/>
                        <w:sz w:val="20"/>
                        <w:szCs w:val="20"/>
                      </w:rPr>
                      <m:t>a</m:t>
                    </m:r>
                  </m:sub>
                </m:sSub>
                <m:r>
                  <w:rPr>
                    <w:rFonts w:ascii="Cambria Math" w:hAnsi="Cambria Math"/>
                    <w:color w:val="FFFFFF" w:themeColor="background1"/>
                    <w:sz w:val="20"/>
                    <w:szCs w:val="20"/>
                  </w:rPr>
                  <m:t>&lt;-0.01</m:t>
                </m:r>
              </m:oMath>
            </m:oMathPara>
          </w:p>
        </w:tc>
        <w:tc>
          <w:tcPr>
            <w:tcW w:w="1190" w:type="dxa"/>
            <w:shd w:val="clear" w:color="auto" w:fill="4F6228" w:themeFill="accent3" w:themeFillShade="80"/>
            <w:vAlign w:val="center"/>
          </w:tcPr>
          <w:p w14:paraId="4790653D" w14:textId="77777777" w:rsidR="008B27F5" w:rsidRPr="00091CE2" w:rsidRDefault="008B27F5" w:rsidP="008B27F5">
            <w:pPr>
              <w:jc w:val="center"/>
              <w:rPr>
                <w:rFonts w:ascii="Arial" w:hAnsi="Arial" w:cs="Arial"/>
                <w:color w:val="FFFFFF" w:themeColor="background1"/>
                <w:sz w:val="18"/>
                <w:szCs w:val="18"/>
              </w:rPr>
            </w:pPr>
            <w:r w:rsidRPr="00091CE2">
              <w:rPr>
                <w:rFonts w:ascii="Arial" w:hAnsi="Arial" w:cs="Arial"/>
                <w:color w:val="FFFFFF" w:themeColor="background1"/>
                <w:sz w:val="18"/>
                <w:szCs w:val="18"/>
              </w:rPr>
              <w:t>Dark green</w:t>
            </w:r>
          </w:p>
        </w:tc>
        <w:tc>
          <w:tcPr>
            <w:tcW w:w="4054" w:type="dxa"/>
            <w:shd w:val="clear" w:color="auto" w:fill="4F6228" w:themeFill="accent3" w:themeFillShade="80"/>
            <w:vAlign w:val="center"/>
          </w:tcPr>
          <w:p w14:paraId="0988B7C5" w14:textId="77777777" w:rsidR="008B27F5" w:rsidRPr="00091CE2" w:rsidRDefault="008B27F5" w:rsidP="008B27F5">
            <w:pPr>
              <w:rPr>
                <w:rFonts w:ascii="Arial" w:hAnsi="Arial" w:cs="Arial"/>
                <w:color w:val="FFFFFF" w:themeColor="background1"/>
                <w:sz w:val="18"/>
                <w:szCs w:val="18"/>
              </w:rPr>
            </w:pPr>
            <w:r w:rsidRPr="00091CE2">
              <w:rPr>
                <w:rFonts w:ascii="Arial" w:hAnsi="Arial" w:cs="Arial"/>
                <w:color w:val="FFFFFF" w:themeColor="background1"/>
                <w:sz w:val="18"/>
                <w:szCs w:val="18"/>
              </w:rPr>
              <w:t>Improvement since baseline-year (&gt;&gt;)</w:t>
            </w:r>
          </w:p>
        </w:tc>
        <w:tc>
          <w:tcPr>
            <w:tcW w:w="1410" w:type="dxa"/>
            <w:shd w:val="clear" w:color="auto" w:fill="4F6228" w:themeFill="accent3" w:themeFillShade="80"/>
          </w:tcPr>
          <w:p w14:paraId="5CFEB58A" w14:textId="77777777" w:rsidR="008B27F5" w:rsidRPr="00091CE2" w:rsidRDefault="008B27F5" w:rsidP="008B27F5">
            <w:pPr>
              <w:rPr>
                <w:rFonts w:ascii="Arial" w:hAnsi="Arial" w:cs="Arial"/>
                <w:color w:val="FFFFFF" w:themeColor="background1"/>
                <w:sz w:val="18"/>
                <w:szCs w:val="18"/>
              </w:rPr>
            </w:pPr>
            <w:r>
              <w:rPr>
                <w:rFonts w:ascii="Arial" w:eastAsia="Times New Roman" w:hAnsi="Arial" w:cs="Arial"/>
                <w:color w:val="FFFFFF"/>
                <w:sz w:val="18"/>
                <w:szCs w:val="18"/>
                <w:lang w:eastAsia="it-IT"/>
              </w:rPr>
              <w:t>5</w:t>
            </w:r>
          </w:p>
        </w:tc>
      </w:tr>
      <w:tr w:rsidR="008B27F5" w:rsidRPr="00091CE2" w14:paraId="1E519069" w14:textId="77777777" w:rsidTr="00F6211C">
        <w:trPr>
          <w:trHeight w:val="284"/>
          <w:jc w:val="center"/>
        </w:trPr>
        <w:tc>
          <w:tcPr>
            <w:tcW w:w="2689" w:type="dxa"/>
            <w:shd w:val="clear" w:color="auto" w:fill="92D050"/>
            <w:vAlign w:val="center"/>
          </w:tcPr>
          <w:p w14:paraId="0D714E54" w14:textId="77777777" w:rsidR="008B27F5" w:rsidRPr="00091CE2" w:rsidRDefault="002A733C" w:rsidP="008B27F5">
            <w:pPr>
              <w:rPr>
                <w:sz w:val="20"/>
                <w:szCs w:val="20"/>
              </w:rPr>
            </w:pPr>
            <m:oMathPara>
              <m:oMath>
                <m:sSub>
                  <m:sSubPr>
                    <m:ctrlPr>
                      <w:rPr>
                        <w:rFonts w:ascii="Cambria Math" w:hAnsi="Cambria Math"/>
                        <w:i/>
                        <w:sz w:val="20"/>
                        <w:szCs w:val="20"/>
                      </w:rPr>
                    </m:ctrlPr>
                  </m:sSubPr>
                  <m:e>
                    <m:r>
                      <w:rPr>
                        <w:rFonts w:ascii="Cambria Math" w:hAnsi="Cambria Math"/>
                        <w:sz w:val="20"/>
                        <w:szCs w:val="20"/>
                      </w:rPr>
                      <m:t>-0.01≤CAGR</m:t>
                    </m:r>
                  </m:e>
                  <m:sub>
                    <m:r>
                      <w:rPr>
                        <w:rFonts w:ascii="Cambria Math" w:hAnsi="Cambria Math"/>
                        <w:sz w:val="20"/>
                        <w:szCs w:val="20"/>
                      </w:rPr>
                      <m:t>a</m:t>
                    </m:r>
                  </m:sub>
                </m:sSub>
                <m:r>
                  <w:rPr>
                    <w:rFonts w:ascii="Cambria Math" w:hAnsi="Cambria Math"/>
                    <w:sz w:val="20"/>
                    <w:szCs w:val="20"/>
                  </w:rPr>
                  <m:t>&lt;-0.005</m:t>
                </m:r>
              </m:oMath>
            </m:oMathPara>
          </w:p>
        </w:tc>
        <w:tc>
          <w:tcPr>
            <w:tcW w:w="1190" w:type="dxa"/>
            <w:shd w:val="clear" w:color="auto" w:fill="92D050"/>
            <w:vAlign w:val="center"/>
          </w:tcPr>
          <w:p w14:paraId="4ED69BDF" w14:textId="77777777" w:rsidR="008B27F5" w:rsidRPr="00091CE2" w:rsidRDefault="008B27F5" w:rsidP="008B27F5">
            <w:pPr>
              <w:jc w:val="center"/>
              <w:rPr>
                <w:rFonts w:ascii="Arial" w:hAnsi="Arial" w:cs="Arial"/>
                <w:sz w:val="18"/>
                <w:szCs w:val="18"/>
              </w:rPr>
            </w:pPr>
            <w:r w:rsidRPr="00091CE2">
              <w:rPr>
                <w:rFonts w:ascii="Arial" w:hAnsi="Arial" w:cs="Arial"/>
                <w:sz w:val="18"/>
                <w:szCs w:val="18"/>
              </w:rPr>
              <w:t>Light green</w:t>
            </w:r>
          </w:p>
        </w:tc>
        <w:tc>
          <w:tcPr>
            <w:tcW w:w="4054" w:type="dxa"/>
            <w:shd w:val="clear" w:color="auto" w:fill="92D050"/>
            <w:vAlign w:val="center"/>
          </w:tcPr>
          <w:p w14:paraId="1A268C10" w14:textId="77777777" w:rsidR="008B27F5" w:rsidRPr="00091CE2" w:rsidRDefault="008B27F5" w:rsidP="008B27F5">
            <w:pPr>
              <w:rPr>
                <w:rFonts w:ascii="Arial" w:hAnsi="Arial" w:cs="Arial"/>
                <w:sz w:val="18"/>
                <w:szCs w:val="18"/>
              </w:rPr>
            </w:pPr>
            <w:r w:rsidRPr="00091CE2">
              <w:rPr>
                <w:rFonts w:ascii="Arial" w:hAnsi="Arial" w:cs="Arial"/>
                <w:sz w:val="18"/>
                <w:szCs w:val="18"/>
              </w:rPr>
              <w:t>Slight improvement since baseline-year (&gt;)</w:t>
            </w:r>
          </w:p>
        </w:tc>
        <w:tc>
          <w:tcPr>
            <w:tcW w:w="1410" w:type="dxa"/>
            <w:shd w:val="clear" w:color="auto" w:fill="92D050"/>
          </w:tcPr>
          <w:p w14:paraId="53D7F151" w14:textId="77777777" w:rsidR="008B27F5" w:rsidRPr="00091CE2" w:rsidRDefault="008B27F5" w:rsidP="008B27F5">
            <w:pPr>
              <w:rPr>
                <w:rFonts w:ascii="Arial" w:hAnsi="Arial" w:cs="Arial"/>
                <w:sz w:val="18"/>
                <w:szCs w:val="18"/>
              </w:rPr>
            </w:pPr>
            <w:r>
              <w:rPr>
                <w:rFonts w:ascii="Arial" w:eastAsia="Times New Roman" w:hAnsi="Arial" w:cs="Arial"/>
                <w:color w:val="000000"/>
                <w:sz w:val="18"/>
                <w:szCs w:val="18"/>
                <w:lang w:eastAsia="it-IT"/>
              </w:rPr>
              <w:t>4</w:t>
            </w:r>
          </w:p>
        </w:tc>
      </w:tr>
      <w:tr w:rsidR="008B27F5" w:rsidRPr="00091CE2" w14:paraId="3F5C5449" w14:textId="77777777" w:rsidTr="00F6211C">
        <w:trPr>
          <w:trHeight w:val="284"/>
          <w:jc w:val="center"/>
        </w:trPr>
        <w:tc>
          <w:tcPr>
            <w:tcW w:w="2689" w:type="dxa"/>
            <w:shd w:val="clear" w:color="auto" w:fill="FFFF00"/>
            <w:vAlign w:val="center"/>
          </w:tcPr>
          <w:p w14:paraId="3A1DD9C5" w14:textId="77777777" w:rsidR="008B27F5" w:rsidRPr="00091CE2" w:rsidRDefault="002A733C" w:rsidP="008B27F5">
            <w:pPr>
              <w:rPr>
                <w:rFonts w:ascii="Calibri" w:eastAsia="Calibri" w:hAnsi="Calibri"/>
                <w:sz w:val="20"/>
                <w:szCs w:val="20"/>
              </w:rPr>
            </w:pPr>
            <m:oMathPara>
              <m:oMath>
                <m:sSub>
                  <m:sSubPr>
                    <m:ctrlPr>
                      <w:rPr>
                        <w:rFonts w:ascii="Cambria Math" w:hAnsi="Cambria Math"/>
                        <w:i/>
                        <w:sz w:val="20"/>
                        <w:szCs w:val="20"/>
                      </w:rPr>
                    </m:ctrlPr>
                  </m:sSubPr>
                  <m:e>
                    <m:r>
                      <w:rPr>
                        <w:rFonts w:ascii="Cambria Math" w:hAnsi="Cambria Math"/>
                        <w:sz w:val="20"/>
                        <w:szCs w:val="20"/>
                      </w:rPr>
                      <m:t>-0.005≤CAGR</m:t>
                    </m:r>
                  </m:e>
                  <m:sub>
                    <m:r>
                      <w:rPr>
                        <w:rFonts w:ascii="Cambria Math" w:hAnsi="Cambria Math"/>
                        <w:sz w:val="20"/>
                        <w:szCs w:val="20"/>
                      </w:rPr>
                      <m:t>a</m:t>
                    </m:r>
                  </m:sub>
                </m:sSub>
                <m:r>
                  <w:rPr>
                    <w:rFonts w:ascii="Cambria Math" w:hAnsi="Cambria Math"/>
                    <w:sz w:val="20"/>
                    <w:szCs w:val="20"/>
                  </w:rPr>
                  <m:t>≤0.005</m:t>
                </m:r>
              </m:oMath>
            </m:oMathPara>
          </w:p>
        </w:tc>
        <w:tc>
          <w:tcPr>
            <w:tcW w:w="1190" w:type="dxa"/>
            <w:shd w:val="clear" w:color="auto" w:fill="FFFF00"/>
            <w:vAlign w:val="center"/>
          </w:tcPr>
          <w:p w14:paraId="26383B4D" w14:textId="77777777" w:rsidR="008B27F5" w:rsidRPr="00091CE2" w:rsidRDefault="008B27F5" w:rsidP="008B27F5">
            <w:pPr>
              <w:jc w:val="center"/>
              <w:rPr>
                <w:rFonts w:ascii="Arial" w:hAnsi="Arial" w:cs="Arial"/>
                <w:sz w:val="18"/>
                <w:szCs w:val="18"/>
              </w:rPr>
            </w:pPr>
            <w:r w:rsidRPr="00091CE2">
              <w:rPr>
                <w:rFonts w:ascii="Arial" w:hAnsi="Arial" w:cs="Arial"/>
                <w:sz w:val="18"/>
                <w:szCs w:val="18"/>
              </w:rPr>
              <w:t>Yellow</w:t>
            </w:r>
          </w:p>
        </w:tc>
        <w:tc>
          <w:tcPr>
            <w:tcW w:w="4054" w:type="dxa"/>
            <w:shd w:val="clear" w:color="auto" w:fill="FFFF00"/>
            <w:vAlign w:val="center"/>
          </w:tcPr>
          <w:p w14:paraId="5647BF8E" w14:textId="77777777" w:rsidR="008B27F5" w:rsidRPr="00091CE2" w:rsidRDefault="008B27F5" w:rsidP="008B27F5">
            <w:pPr>
              <w:rPr>
                <w:rFonts w:ascii="Arial" w:hAnsi="Arial" w:cs="Arial"/>
                <w:sz w:val="18"/>
                <w:szCs w:val="18"/>
              </w:rPr>
            </w:pPr>
            <w:r w:rsidRPr="00091CE2">
              <w:rPr>
                <w:rFonts w:ascii="Arial" w:hAnsi="Arial" w:cs="Arial"/>
                <w:sz w:val="18"/>
                <w:szCs w:val="18"/>
              </w:rPr>
              <w:t>No improvement since baseline-year (=)</w:t>
            </w:r>
          </w:p>
        </w:tc>
        <w:tc>
          <w:tcPr>
            <w:tcW w:w="1410" w:type="dxa"/>
            <w:shd w:val="clear" w:color="auto" w:fill="FFFF00"/>
          </w:tcPr>
          <w:p w14:paraId="198C8879" w14:textId="77777777" w:rsidR="008B27F5" w:rsidRPr="00091CE2" w:rsidRDefault="008B27F5" w:rsidP="008B27F5">
            <w:pPr>
              <w:rPr>
                <w:rFonts w:ascii="Arial" w:hAnsi="Arial" w:cs="Arial"/>
                <w:sz w:val="18"/>
                <w:szCs w:val="18"/>
              </w:rPr>
            </w:pPr>
            <w:r>
              <w:rPr>
                <w:rFonts w:ascii="Arial" w:eastAsia="Times New Roman" w:hAnsi="Arial" w:cs="Arial"/>
                <w:color w:val="000000"/>
                <w:sz w:val="18"/>
                <w:szCs w:val="18"/>
                <w:lang w:eastAsia="it-IT"/>
              </w:rPr>
              <w:t>3</w:t>
            </w:r>
          </w:p>
        </w:tc>
      </w:tr>
      <w:tr w:rsidR="008B27F5" w:rsidRPr="00091CE2" w14:paraId="75260F3A" w14:textId="77777777" w:rsidTr="00F6211C">
        <w:trPr>
          <w:trHeight w:val="284"/>
          <w:jc w:val="center"/>
        </w:trPr>
        <w:tc>
          <w:tcPr>
            <w:tcW w:w="2689" w:type="dxa"/>
            <w:shd w:val="clear" w:color="auto" w:fill="FFC000"/>
            <w:vAlign w:val="center"/>
          </w:tcPr>
          <w:p w14:paraId="541A558D" w14:textId="77777777" w:rsidR="008B27F5" w:rsidRPr="00091CE2" w:rsidRDefault="002A733C" w:rsidP="008B27F5">
            <w:pPr>
              <w:rPr>
                <w:sz w:val="20"/>
                <w:szCs w:val="20"/>
              </w:rPr>
            </w:pPr>
            <m:oMathPara>
              <m:oMath>
                <m:sSub>
                  <m:sSubPr>
                    <m:ctrlPr>
                      <w:rPr>
                        <w:rFonts w:ascii="Cambria Math" w:hAnsi="Cambria Math"/>
                        <w:i/>
                        <w:sz w:val="20"/>
                        <w:szCs w:val="20"/>
                      </w:rPr>
                    </m:ctrlPr>
                  </m:sSubPr>
                  <m:e>
                    <m:r>
                      <w:rPr>
                        <w:rFonts w:ascii="Cambria Math" w:hAnsi="Cambria Math"/>
                        <w:sz w:val="20"/>
                        <w:szCs w:val="20"/>
                      </w:rPr>
                      <m:t>0.005&lt;CAGR</m:t>
                    </m:r>
                  </m:e>
                  <m:sub>
                    <m:r>
                      <w:rPr>
                        <w:rFonts w:ascii="Cambria Math" w:hAnsi="Cambria Math"/>
                        <w:sz w:val="20"/>
                        <w:szCs w:val="20"/>
                      </w:rPr>
                      <m:t>a</m:t>
                    </m:r>
                  </m:sub>
                </m:sSub>
                <m:r>
                  <w:rPr>
                    <w:rFonts w:ascii="Cambria Math" w:hAnsi="Cambria Math"/>
                    <w:sz w:val="20"/>
                    <w:szCs w:val="20"/>
                  </w:rPr>
                  <m:t>≤0.01</m:t>
                </m:r>
              </m:oMath>
            </m:oMathPara>
          </w:p>
        </w:tc>
        <w:tc>
          <w:tcPr>
            <w:tcW w:w="1190" w:type="dxa"/>
            <w:shd w:val="clear" w:color="auto" w:fill="FFC000"/>
            <w:vAlign w:val="center"/>
          </w:tcPr>
          <w:p w14:paraId="1150E4AE" w14:textId="77777777" w:rsidR="008B27F5" w:rsidRPr="00091CE2" w:rsidRDefault="008B27F5" w:rsidP="008B27F5">
            <w:pPr>
              <w:jc w:val="center"/>
              <w:rPr>
                <w:rFonts w:ascii="Arial" w:hAnsi="Arial" w:cs="Arial"/>
                <w:sz w:val="18"/>
                <w:szCs w:val="18"/>
              </w:rPr>
            </w:pPr>
            <w:r w:rsidRPr="00091CE2">
              <w:rPr>
                <w:rFonts w:ascii="Arial" w:hAnsi="Arial" w:cs="Arial"/>
                <w:sz w:val="18"/>
                <w:szCs w:val="18"/>
              </w:rPr>
              <w:t>Orange</w:t>
            </w:r>
          </w:p>
        </w:tc>
        <w:tc>
          <w:tcPr>
            <w:tcW w:w="4054" w:type="dxa"/>
            <w:shd w:val="clear" w:color="auto" w:fill="FFC000"/>
            <w:vAlign w:val="center"/>
          </w:tcPr>
          <w:p w14:paraId="6761B49C" w14:textId="77777777" w:rsidR="008B27F5" w:rsidRPr="00091CE2" w:rsidRDefault="008B27F5" w:rsidP="008B27F5">
            <w:pPr>
              <w:rPr>
                <w:rFonts w:ascii="Arial" w:hAnsi="Arial" w:cs="Arial"/>
                <w:sz w:val="18"/>
                <w:szCs w:val="18"/>
              </w:rPr>
            </w:pPr>
            <w:r w:rsidRPr="00091CE2">
              <w:rPr>
                <w:rFonts w:ascii="Arial" w:hAnsi="Arial" w:cs="Arial"/>
                <w:sz w:val="18"/>
                <w:szCs w:val="18"/>
              </w:rPr>
              <w:t>Slight deterioration since baseline-year (&lt;)</w:t>
            </w:r>
          </w:p>
        </w:tc>
        <w:tc>
          <w:tcPr>
            <w:tcW w:w="1410" w:type="dxa"/>
            <w:shd w:val="clear" w:color="auto" w:fill="FFC000"/>
          </w:tcPr>
          <w:p w14:paraId="2A5AB6DD" w14:textId="77777777" w:rsidR="008B27F5" w:rsidRPr="00091CE2" w:rsidRDefault="008B27F5" w:rsidP="008B27F5">
            <w:pPr>
              <w:rPr>
                <w:rFonts w:ascii="Arial" w:hAnsi="Arial" w:cs="Arial"/>
                <w:sz w:val="18"/>
                <w:szCs w:val="18"/>
              </w:rPr>
            </w:pPr>
            <w:r>
              <w:rPr>
                <w:rFonts w:ascii="Arial" w:eastAsia="Times New Roman" w:hAnsi="Arial" w:cs="Arial"/>
                <w:color w:val="000000"/>
                <w:sz w:val="18"/>
                <w:szCs w:val="18"/>
                <w:lang w:eastAsia="it-IT"/>
              </w:rPr>
              <w:t>2</w:t>
            </w:r>
          </w:p>
        </w:tc>
      </w:tr>
      <w:tr w:rsidR="008B27F5" w:rsidRPr="00091CE2" w14:paraId="757C4575" w14:textId="77777777" w:rsidTr="008B27F5">
        <w:trPr>
          <w:trHeight w:val="284"/>
          <w:jc w:val="center"/>
        </w:trPr>
        <w:tc>
          <w:tcPr>
            <w:tcW w:w="2689" w:type="dxa"/>
            <w:shd w:val="clear" w:color="auto" w:fill="FF0000"/>
            <w:vAlign w:val="center"/>
          </w:tcPr>
          <w:p w14:paraId="50232732" w14:textId="77777777" w:rsidR="008B27F5" w:rsidRPr="00091CE2" w:rsidRDefault="002A733C" w:rsidP="008B27F5">
            <w:pPr>
              <w:rPr>
                <w:color w:val="FFFFFF" w:themeColor="background1"/>
                <w:sz w:val="20"/>
                <w:szCs w:val="20"/>
              </w:rPr>
            </w:pPr>
            <m:oMathPara>
              <m:oMath>
                <m:sSub>
                  <m:sSubPr>
                    <m:ctrlPr>
                      <w:rPr>
                        <w:rFonts w:ascii="Cambria Math" w:hAnsi="Cambria Math"/>
                        <w:i/>
                        <w:color w:val="FFFFFF" w:themeColor="background1"/>
                        <w:sz w:val="20"/>
                        <w:szCs w:val="20"/>
                      </w:rPr>
                    </m:ctrlPr>
                  </m:sSubPr>
                  <m:e>
                    <m:r>
                      <w:rPr>
                        <w:rFonts w:ascii="Cambria Math" w:hAnsi="Cambria Math"/>
                        <w:color w:val="FFFFFF" w:themeColor="background1"/>
                        <w:sz w:val="20"/>
                        <w:szCs w:val="20"/>
                      </w:rPr>
                      <m:t>CAGR</m:t>
                    </m:r>
                  </m:e>
                  <m:sub>
                    <m:r>
                      <w:rPr>
                        <w:rFonts w:ascii="Cambria Math" w:hAnsi="Cambria Math"/>
                        <w:color w:val="FFFFFF" w:themeColor="background1"/>
                        <w:sz w:val="20"/>
                        <w:szCs w:val="20"/>
                      </w:rPr>
                      <m:t>a</m:t>
                    </m:r>
                  </m:sub>
                </m:sSub>
                <m:r>
                  <w:rPr>
                    <w:rFonts w:ascii="Cambria Math" w:hAnsi="Cambria Math"/>
                    <w:color w:val="FFFFFF" w:themeColor="background1"/>
                    <w:sz w:val="20"/>
                    <w:szCs w:val="20"/>
                  </w:rPr>
                  <m:t>&gt;0.01</m:t>
                </m:r>
              </m:oMath>
            </m:oMathPara>
          </w:p>
        </w:tc>
        <w:tc>
          <w:tcPr>
            <w:tcW w:w="1190" w:type="dxa"/>
            <w:shd w:val="clear" w:color="auto" w:fill="FF0000"/>
            <w:vAlign w:val="center"/>
          </w:tcPr>
          <w:p w14:paraId="6FA37E35" w14:textId="77777777" w:rsidR="008B27F5" w:rsidRPr="00091CE2" w:rsidRDefault="008B27F5" w:rsidP="008B27F5">
            <w:pPr>
              <w:jc w:val="center"/>
              <w:rPr>
                <w:rFonts w:ascii="Arial" w:hAnsi="Arial" w:cs="Arial"/>
                <w:color w:val="FFFFFF" w:themeColor="background1"/>
                <w:sz w:val="18"/>
                <w:szCs w:val="18"/>
              </w:rPr>
            </w:pPr>
            <w:r w:rsidRPr="00091CE2">
              <w:rPr>
                <w:rFonts w:ascii="Arial" w:hAnsi="Arial" w:cs="Arial"/>
                <w:color w:val="FFFFFF" w:themeColor="background1"/>
                <w:sz w:val="18"/>
                <w:szCs w:val="18"/>
              </w:rPr>
              <w:t>Red</w:t>
            </w:r>
          </w:p>
        </w:tc>
        <w:tc>
          <w:tcPr>
            <w:tcW w:w="4054" w:type="dxa"/>
            <w:shd w:val="clear" w:color="auto" w:fill="FF0000"/>
            <w:vAlign w:val="center"/>
          </w:tcPr>
          <w:p w14:paraId="6E2D974F" w14:textId="77777777" w:rsidR="008B27F5" w:rsidRPr="00091CE2" w:rsidRDefault="008B27F5" w:rsidP="008B27F5">
            <w:pPr>
              <w:rPr>
                <w:rFonts w:ascii="Arial" w:hAnsi="Arial" w:cs="Arial"/>
                <w:color w:val="FFFFFF" w:themeColor="background1"/>
                <w:sz w:val="18"/>
                <w:szCs w:val="18"/>
              </w:rPr>
            </w:pPr>
            <w:r w:rsidRPr="00091CE2">
              <w:rPr>
                <w:rFonts w:ascii="Arial" w:hAnsi="Arial" w:cs="Arial"/>
                <w:color w:val="FFFFFF" w:themeColor="background1"/>
                <w:sz w:val="18"/>
                <w:szCs w:val="18"/>
              </w:rPr>
              <w:t>Deterioration since baseline-year (&lt;&lt;)</w:t>
            </w:r>
          </w:p>
        </w:tc>
        <w:tc>
          <w:tcPr>
            <w:tcW w:w="1410" w:type="dxa"/>
            <w:shd w:val="clear" w:color="auto" w:fill="FF0000"/>
          </w:tcPr>
          <w:p w14:paraId="6612ACCE" w14:textId="77777777" w:rsidR="008B27F5" w:rsidRPr="00091CE2" w:rsidRDefault="008B27F5" w:rsidP="008B27F5">
            <w:pPr>
              <w:rPr>
                <w:rFonts w:ascii="Arial" w:hAnsi="Arial" w:cs="Arial"/>
                <w:color w:val="FFFFFF" w:themeColor="background1"/>
                <w:sz w:val="18"/>
                <w:szCs w:val="18"/>
              </w:rPr>
            </w:pPr>
            <w:r>
              <w:rPr>
                <w:rFonts w:ascii="Arial" w:eastAsia="Times New Roman" w:hAnsi="Arial" w:cs="Arial"/>
                <w:color w:val="FFFFFF"/>
                <w:sz w:val="18"/>
                <w:szCs w:val="18"/>
                <w:lang w:eastAsia="it-IT"/>
              </w:rPr>
              <w:t>1</w:t>
            </w:r>
          </w:p>
        </w:tc>
      </w:tr>
      <w:tr w:rsidR="008B27F5" w:rsidRPr="00091CE2" w14:paraId="72B6B05A" w14:textId="77777777" w:rsidTr="008B27F5">
        <w:trPr>
          <w:trHeight w:val="284"/>
          <w:jc w:val="center"/>
        </w:trPr>
        <w:tc>
          <w:tcPr>
            <w:tcW w:w="2689" w:type="dxa"/>
            <w:shd w:val="clear" w:color="auto" w:fill="C4BC96" w:themeFill="background2" w:themeFillShade="BF"/>
            <w:vAlign w:val="center"/>
          </w:tcPr>
          <w:p w14:paraId="3B81858D" w14:textId="77777777" w:rsidR="008B27F5" w:rsidRPr="00091CE2" w:rsidRDefault="008B27F5" w:rsidP="008B27F5">
            <w:pPr>
              <w:jc w:val="center"/>
              <w:rPr>
                <w:rFonts w:eastAsia="Calibri"/>
                <w:color w:val="FFFFFF" w:themeColor="background1"/>
                <w:sz w:val="20"/>
                <w:szCs w:val="20"/>
              </w:rPr>
            </w:pPr>
            <w:r w:rsidRPr="00091CE2">
              <w:rPr>
                <w:rFonts w:eastAsia="Calibri"/>
                <w:color w:val="FFFFFF" w:themeColor="background1"/>
                <w:sz w:val="20"/>
                <w:szCs w:val="20"/>
              </w:rPr>
              <w:t>Missing data</w:t>
            </w:r>
          </w:p>
        </w:tc>
        <w:tc>
          <w:tcPr>
            <w:tcW w:w="1190" w:type="dxa"/>
            <w:shd w:val="clear" w:color="auto" w:fill="C4BC96" w:themeFill="background2" w:themeFillShade="BF"/>
            <w:vAlign w:val="center"/>
          </w:tcPr>
          <w:p w14:paraId="72ED495D" w14:textId="77777777" w:rsidR="008B27F5" w:rsidRPr="00091CE2" w:rsidRDefault="008B27F5" w:rsidP="008B27F5">
            <w:pPr>
              <w:jc w:val="center"/>
              <w:rPr>
                <w:rFonts w:ascii="Arial" w:hAnsi="Arial" w:cs="Arial"/>
                <w:color w:val="FFFFFF" w:themeColor="background1"/>
                <w:sz w:val="18"/>
                <w:szCs w:val="18"/>
              </w:rPr>
            </w:pPr>
            <w:r w:rsidRPr="00091CE2">
              <w:rPr>
                <w:rFonts w:ascii="Arial" w:hAnsi="Arial" w:cs="Arial"/>
                <w:color w:val="FFFFFF" w:themeColor="background1"/>
                <w:sz w:val="18"/>
                <w:szCs w:val="18"/>
              </w:rPr>
              <w:t>Grey</w:t>
            </w:r>
          </w:p>
        </w:tc>
        <w:tc>
          <w:tcPr>
            <w:tcW w:w="4054" w:type="dxa"/>
            <w:shd w:val="clear" w:color="auto" w:fill="C4BC96" w:themeFill="background2" w:themeFillShade="BF"/>
            <w:vAlign w:val="center"/>
          </w:tcPr>
          <w:p w14:paraId="14245825" w14:textId="77777777" w:rsidR="008B27F5" w:rsidRPr="00091CE2" w:rsidRDefault="008B27F5" w:rsidP="008B27F5">
            <w:pPr>
              <w:rPr>
                <w:rFonts w:ascii="Arial" w:hAnsi="Arial" w:cs="Arial"/>
                <w:color w:val="FFFFFF" w:themeColor="background1"/>
                <w:sz w:val="18"/>
                <w:szCs w:val="18"/>
              </w:rPr>
            </w:pPr>
            <w:r w:rsidRPr="00091CE2">
              <w:rPr>
                <w:rFonts w:ascii="Arial" w:hAnsi="Arial" w:cs="Arial"/>
                <w:color w:val="FFFFFF" w:themeColor="background1"/>
                <w:sz w:val="18"/>
                <w:szCs w:val="18"/>
              </w:rPr>
              <w:t>None</w:t>
            </w:r>
          </w:p>
        </w:tc>
        <w:tc>
          <w:tcPr>
            <w:tcW w:w="1410" w:type="dxa"/>
            <w:shd w:val="clear" w:color="auto" w:fill="C4BC96" w:themeFill="background2" w:themeFillShade="BF"/>
          </w:tcPr>
          <w:p w14:paraId="51563186" w14:textId="77777777" w:rsidR="008B27F5" w:rsidRPr="00091CE2" w:rsidRDefault="008B27F5" w:rsidP="008B27F5">
            <w:pPr>
              <w:rPr>
                <w:rFonts w:ascii="Arial" w:hAnsi="Arial" w:cs="Arial"/>
                <w:color w:val="FFFFFF" w:themeColor="background1"/>
                <w:sz w:val="18"/>
                <w:szCs w:val="18"/>
              </w:rPr>
            </w:pPr>
            <w:r>
              <w:rPr>
                <w:rFonts w:ascii="Arial" w:eastAsia="Times New Roman" w:hAnsi="Arial" w:cs="Arial"/>
                <w:color w:val="FFFFFF"/>
                <w:sz w:val="18"/>
                <w:szCs w:val="18"/>
                <w:lang w:eastAsia="it-IT"/>
              </w:rPr>
              <w:t>1</w:t>
            </w:r>
          </w:p>
        </w:tc>
      </w:tr>
      <w:bookmarkEnd w:id="5"/>
    </w:tbl>
    <w:p w14:paraId="65986241" w14:textId="77777777" w:rsidR="00A96255" w:rsidRDefault="00A96255" w:rsidP="00A96255"/>
    <w:p w14:paraId="3EB1A081" w14:textId="008C3FA0" w:rsidR="008F21C7" w:rsidRDefault="00190791" w:rsidP="00480BC5">
      <w:r>
        <w:t xml:space="preserve">Countries that have already reached </w:t>
      </w:r>
      <w:r w:rsidR="00F4672D">
        <w:t xml:space="preserve">the maximum score for the </w:t>
      </w:r>
      <w:proofErr w:type="gramStart"/>
      <w:r w:rsidR="00F4672D">
        <w:t>current status</w:t>
      </w:r>
      <w:proofErr w:type="gramEnd"/>
      <w:r w:rsidR="00F4672D">
        <w:t xml:space="preserve"> assessment</w:t>
      </w:r>
      <w:r w:rsidR="00D47388">
        <w:t xml:space="preserve"> are </w:t>
      </w:r>
      <w:r w:rsidR="00C74C74">
        <w:t xml:space="preserve">assigned the maximum score for the trend assessment.  </w:t>
      </w:r>
    </w:p>
    <w:sectPr w:rsidR="008F21C7">
      <w:headerReference w:type="default" r:id="rId30"/>
      <w:footerReference w:type="default" r:id="rId3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666F87" w14:textId="77777777" w:rsidR="0004238D" w:rsidRDefault="0004238D" w:rsidP="00573C0B">
      <w:pPr>
        <w:spacing w:after="0" w:line="240" w:lineRule="auto"/>
      </w:pPr>
      <w:r>
        <w:separator/>
      </w:r>
    </w:p>
  </w:endnote>
  <w:endnote w:type="continuationSeparator" w:id="0">
    <w:p w14:paraId="763DD548" w14:textId="77777777" w:rsidR="0004238D" w:rsidRDefault="0004238D" w:rsidP="00573C0B">
      <w:pPr>
        <w:spacing w:after="0" w:line="240" w:lineRule="auto"/>
      </w:pPr>
      <w:r>
        <w:continuationSeparator/>
      </w:r>
    </w:p>
  </w:endnote>
  <w:endnote w:type="continuationNotice" w:id="1">
    <w:p w14:paraId="62969972" w14:textId="77777777" w:rsidR="0004238D" w:rsidRDefault="000423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body)">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4776690"/>
      <w:docPartObj>
        <w:docPartGallery w:val="Page Numbers (Bottom of Page)"/>
        <w:docPartUnique/>
      </w:docPartObj>
    </w:sdtPr>
    <w:sdtEndPr>
      <w:rPr>
        <w:noProof/>
      </w:rPr>
    </w:sdtEndPr>
    <w:sdtContent>
      <w:p w14:paraId="7F53EB2E" w14:textId="276F1940" w:rsidR="001F3957" w:rsidRDefault="001F3957">
        <w:pPr>
          <w:pStyle w:val="Footer"/>
          <w:jc w:val="right"/>
        </w:pPr>
        <w:r>
          <w:fldChar w:fldCharType="begin"/>
        </w:r>
        <w:r>
          <w:instrText xml:space="preserve"> PAGE   \* MERGEFORMAT </w:instrText>
        </w:r>
        <w:r>
          <w:fldChar w:fldCharType="separate"/>
        </w:r>
        <w:r w:rsidR="003E6A53">
          <w:rPr>
            <w:noProof/>
          </w:rPr>
          <w:t>9</w:t>
        </w:r>
        <w:r>
          <w:rPr>
            <w:noProof/>
          </w:rPr>
          <w:fldChar w:fldCharType="end"/>
        </w:r>
      </w:p>
    </w:sdtContent>
  </w:sdt>
  <w:p w14:paraId="5E7A5275" w14:textId="77777777" w:rsidR="001F3957" w:rsidRDefault="001F3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B49231" w14:textId="77777777" w:rsidR="0004238D" w:rsidRDefault="0004238D" w:rsidP="00573C0B">
      <w:pPr>
        <w:spacing w:after="0" w:line="240" w:lineRule="auto"/>
      </w:pPr>
      <w:r>
        <w:separator/>
      </w:r>
    </w:p>
  </w:footnote>
  <w:footnote w:type="continuationSeparator" w:id="0">
    <w:p w14:paraId="7E5304D2" w14:textId="77777777" w:rsidR="0004238D" w:rsidRDefault="0004238D" w:rsidP="00573C0B">
      <w:pPr>
        <w:spacing w:after="0" w:line="240" w:lineRule="auto"/>
      </w:pPr>
      <w:r>
        <w:continuationSeparator/>
      </w:r>
    </w:p>
  </w:footnote>
  <w:footnote w:type="continuationNotice" w:id="1">
    <w:p w14:paraId="066A73D8" w14:textId="77777777" w:rsidR="0004238D" w:rsidRDefault="0004238D">
      <w:pPr>
        <w:spacing w:after="0" w:line="240" w:lineRule="auto"/>
      </w:pPr>
    </w:p>
  </w:footnote>
  <w:footnote w:id="2">
    <w:p w14:paraId="3303E42D" w14:textId="77777777" w:rsidR="001464F5" w:rsidRPr="00277A18" w:rsidRDefault="001464F5" w:rsidP="001464F5">
      <w:pPr>
        <w:pStyle w:val="FootnoteText"/>
        <w:rPr>
          <w:lang w:val="en-GB"/>
        </w:rPr>
      </w:pPr>
      <w:r>
        <w:rPr>
          <w:rStyle w:val="FootnoteReference"/>
        </w:rPr>
        <w:footnoteRef/>
      </w:r>
      <w:r>
        <w:rPr>
          <w:lang w:val="en-GB"/>
        </w:rPr>
        <w:t xml:space="preserve">Ludemann </w:t>
      </w:r>
      <w:r w:rsidRPr="00B24296">
        <w:rPr>
          <w:i/>
          <w:iCs/>
          <w:lang w:val="en-GB"/>
        </w:rPr>
        <w:t>et al</w:t>
      </w:r>
      <w:r>
        <w:rPr>
          <w:lang w:val="en-GB"/>
        </w:rPr>
        <w:t xml:space="preserve">., 2023, in press </w:t>
      </w:r>
      <w:hyperlink r:id="rId1" w:history="1">
        <w:r w:rsidRPr="005C2436">
          <w:rPr>
            <w:rStyle w:val="Hyperlink"/>
            <w:lang w:val="en-GB"/>
          </w:rPr>
          <w:t>https://essd.copernicus.org/preprints/essd-2023-206/essd-2023-206.pdf</w:t>
        </w:r>
      </w:hyperlink>
      <w:r>
        <w:rPr>
          <w:lang w:val="en-GB"/>
        </w:rPr>
        <w:t xml:space="preserve"> </w:t>
      </w:r>
    </w:p>
  </w:footnote>
  <w:footnote w:id="3">
    <w:p w14:paraId="6102C4A4" w14:textId="77777777" w:rsidR="001F3957" w:rsidRPr="00F24125" w:rsidRDefault="001F3957" w:rsidP="008B27F5">
      <w:pPr>
        <w:pStyle w:val="FootnoteText"/>
        <w:rPr>
          <w:lang w:val="en-GB"/>
        </w:rPr>
      </w:pPr>
      <w:r>
        <w:rPr>
          <w:rStyle w:val="FootnoteReference"/>
        </w:rPr>
        <w:footnoteRef/>
      </w:r>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eastAsiaTheme="minorEastAsia"/>
        </w:rPr>
        <w:t xml:space="preserve"> denotes the baseline year, while </w:t>
      </w:r>
      <m:oMath>
        <m:r>
          <w:rPr>
            <w:rFonts w:ascii="Cambria Math" w:eastAsiaTheme="minorEastAsia" w:hAnsi="Cambria Math"/>
          </w:rPr>
          <m:t>t</m:t>
        </m:r>
      </m:oMath>
      <w:r>
        <w:rPr>
          <w:rFonts w:eastAsiaTheme="minorEastAsia"/>
        </w:rPr>
        <w:t xml:space="preserve"> indicates the current or considered year for the assessment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6A488" w14:textId="0DD25E1C" w:rsidR="001F3957" w:rsidRPr="00757E8A" w:rsidRDefault="001F3957"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w:t>
    </w:r>
    <w:r w:rsidR="00955030">
      <w:rPr>
        <w:color w:val="404040" w:themeColor="text1" w:themeTint="BF"/>
        <w:sz w:val="18"/>
        <w:szCs w:val="18"/>
      </w:rPr>
      <w:t>202</w:t>
    </w:r>
    <w:r w:rsidR="004377F0">
      <w:rPr>
        <w:color w:val="404040" w:themeColor="text1" w:themeTint="BF"/>
        <w:sz w:val="18"/>
        <w:szCs w:val="18"/>
      </w:rPr>
      <w:t>5</w:t>
    </w:r>
    <w:r w:rsidR="00955030">
      <w:rPr>
        <w:color w:val="404040" w:themeColor="text1" w:themeTint="BF"/>
        <w:sz w:val="18"/>
        <w:szCs w:val="18"/>
      </w:rPr>
      <w:t>-</w:t>
    </w:r>
    <w:r w:rsidR="00F553BC">
      <w:rPr>
        <w:color w:val="404040" w:themeColor="text1" w:themeTint="BF"/>
        <w:sz w:val="18"/>
        <w:szCs w:val="18"/>
      </w:rPr>
      <w:t>0</w:t>
    </w:r>
    <w:r w:rsidR="00461964">
      <w:rPr>
        <w:color w:val="404040" w:themeColor="text1" w:themeTint="BF"/>
        <w:sz w:val="18"/>
        <w:szCs w:val="18"/>
      </w:rPr>
      <w:t>4</w:t>
    </w:r>
    <w:r w:rsidR="00A836D5">
      <w:rPr>
        <w:color w:val="404040" w:themeColor="text1" w:themeTint="BF"/>
        <w:sz w:val="18"/>
        <w:szCs w:val="18"/>
      </w:rPr>
      <w:t>-</w:t>
    </w:r>
    <w:r w:rsidR="00F553BC">
      <w:rPr>
        <w:color w:val="404040" w:themeColor="text1" w:themeTint="BF"/>
        <w:sz w:val="18"/>
        <w:szCs w:val="18"/>
      </w:rPr>
      <w:t>2</w:t>
    </w:r>
    <w:r w:rsidR="00461964">
      <w:rPr>
        <w:color w:val="404040" w:themeColor="text1" w:themeTint="BF"/>
        <w:sz w:val="18"/>
        <w:szCs w:val="1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16CBD"/>
    <w:multiLevelType w:val="hybridMultilevel"/>
    <w:tmpl w:val="A70AA8BC"/>
    <w:lvl w:ilvl="0" w:tplc="043A8F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A281E"/>
    <w:multiLevelType w:val="multilevel"/>
    <w:tmpl w:val="A49206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2C66F1"/>
    <w:multiLevelType w:val="hybridMultilevel"/>
    <w:tmpl w:val="701E9E5E"/>
    <w:lvl w:ilvl="0" w:tplc="157478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8635C"/>
    <w:multiLevelType w:val="hybridMultilevel"/>
    <w:tmpl w:val="1EB0C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5050DBE"/>
    <w:multiLevelType w:val="hybridMultilevel"/>
    <w:tmpl w:val="29D8A1AA"/>
    <w:lvl w:ilvl="0" w:tplc="204E960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E11DEF"/>
    <w:multiLevelType w:val="hybridMultilevel"/>
    <w:tmpl w:val="2EA839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6DF1200"/>
    <w:multiLevelType w:val="hybridMultilevel"/>
    <w:tmpl w:val="70028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60068B"/>
    <w:multiLevelType w:val="hybridMultilevel"/>
    <w:tmpl w:val="0DB430E8"/>
    <w:lvl w:ilvl="0" w:tplc="04090017">
      <w:start w:val="1"/>
      <w:numFmt w:val="low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D52662"/>
    <w:multiLevelType w:val="hybridMultilevel"/>
    <w:tmpl w:val="4FC24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C61044"/>
    <w:multiLevelType w:val="hybridMultilevel"/>
    <w:tmpl w:val="866A27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42104"/>
    <w:multiLevelType w:val="hybridMultilevel"/>
    <w:tmpl w:val="0DB430E8"/>
    <w:lvl w:ilvl="0" w:tplc="04090017">
      <w:start w:val="1"/>
      <w:numFmt w:val="low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79268C"/>
    <w:multiLevelType w:val="hybridMultilevel"/>
    <w:tmpl w:val="908CAD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8137398"/>
    <w:multiLevelType w:val="hybridMultilevel"/>
    <w:tmpl w:val="908CAD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BE0757"/>
    <w:multiLevelType w:val="hybridMultilevel"/>
    <w:tmpl w:val="A63E38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720037B5"/>
    <w:multiLevelType w:val="hybridMultilevel"/>
    <w:tmpl w:val="3D7AD052"/>
    <w:lvl w:ilvl="0" w:tplc="841235E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7500108"/>
    <w:multiLevelType w:val="hybridMultilevel"/>
    <w:tmpl w:val="51825EFC"/>
    <w:lvl w:ilvl="0" w:tplc="7F520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2513446">
    <w:abstractNumId w:val="12"/>
  </w:num>
  <w:num w:numId="2" w16cid:durableId="1637445419">
    <w:abstractNumId w:val="7"/>
  </w:num>
  <w:num w:numId="3" w16cid:durableId="1251234817">
    <w:abstractNumId w:val="19"/>
  </w:num>
  <w:num w:numId="4" w16cid:durableId="116721028">
    <w:abstractNumId w:val="8"/>
  </w:num>
  <w:num w:numId="5" w16cid:durableId="1079210911">
    <w:abstractNumId w:val="17"/>
  </w:num>
  <w:num w:numId="6" w16cid:durableId="1997764532">
    <w:abstractNumId w:val="1"/>
  </w:num>
  <w:num w:numId="7" w16cid:durableId="9575491">
    <w:abstractNumId w:val="6"/>
  </w:num>
  <w:num w:numId="8" w16cid:durableId="739211706">
    <w:abstractNumId w:val="3"/>
  </w:num>
  <w:num w:numId="9" w16cid:durableId="144048671">
    <w:abstractNumId w:val="2"/>
  </w:num>
  <w:num w:numId="10" w16cid:durableId="595097184">
    <w:abstractNumId w:val="9"/>
  </w:num>
  <w:num w:numId="11" w16cid:durableId="602616384">
    <w:abstractNumId w:val="15"/>
  </w:num>
  <w:num w:numId="12" w16cid:durableId="1179079600">
    <w:abstractNumId w:val="16"/>
  </w:num>
  <w:num w:numId="13" w16cid:durableId="1049719184">
    <w:abstractNumId w:val="11"/>
  </w:num>
  <w:num w:numId="14" w16cid:durableId="443233683">
    <w:abstractNumId w:val="5"/>
  </w:num>
  <w:num w:numId="15" w16cid:durableId="91169672">
    <w:abstractNumId w:val="13"/>
  </w:num>
  <w:num w:numId="16" w16cid:durableId="1208564993">
    <w:abstractNumId w:val="10"/>
  </w:num>
  <w:num w:numId="17" w16cid:durableId="1876504709">
    <w:abstractNumId w:val="14"/>
  </w:num>
  <w:num w:numId="18" w16cid:durableId="1019310707">
    <w:abstractNumId w:val="0"/>
  </w:num>
  <w:num w:numId="19" w16cid:durableId="1156805667">
    <w:abstractNumId w:val="18"/>
  </w:num>
  <w:num w:numId="20" w16cid:durableId="1566144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fr-CA" w:vendorID="64" w:dllVersion="6" w:nlCheck="1" w:checkStyle="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ctiveWritingStyle w:appName="MSWord" w:lang="fr-CA" w:vendorID="64" w:dllVersion="0" w:nlCheck="1" w:checkStyle="0"/>
  <w:activeWritingStyle w:appName="MSWord" w:lang="it-IT" w:vendorID="64" w:dllVersion="0" w:nlCheck="1" w:checkStyle="0"/>
  <w:activeWritingStyle w:appName="MSWord" w:lang="es-ES" w:vendorID="64" w:dllVersion="0"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176C3"/>
    <w:rsid w:val="00027043"/>
    <w:rsid w:val="00040FD1"/>
    <w:rsid w:val="000412A0"/>
    <w:rsid w:val="0004238D"/>
    <w:rsid w:val="00045A92"/>
    <w:rsid w:val="00047DDA"/>
    <w:rsid w:val="000501E2"/>
    <w:rsid w:val="0005455A"/>
    <w:rsid w:val="00057127"/>
    <w:rsid w:val="00061D5D"/>
    <w:rsid w:val="000642EB"/>
    <w:rsid w:val="00070BBC"/>
    <w:rsid w:val="00071711"/>
    <w:rsid w:val="00071F07"/>
    <w:rsid w:val="00075A85"/>
    <w:rsid w:val="0007759D"/>
    <w:rsid w:val="000777AB"/>
    <w:rsid w:val="00077E7D"/>
    <w:rsid w:val="00077F46"/>
    <w:rsid w:val="00087952"/>
    <w:rsid w:val="00090FB1"/>
    <w:rsid w:val="00094FF5"/>
    <w:rsid w:val="00095EAE"/>
    <w:rsid w:val="00096186"/>
    <w:rsid w:val="00096E4A"/>
    <w:rsid w:val="000A12F0"/>
    <w:rsid w:val="000A1E2D"/>
    <w:rsid w:val="000A72E4"/>
    <w:rsid w:val="000B0E2F"/>
    <w:rsid w:val="000B2430"/>
    <w:rsid w:val="000B4834"/>
    <w:rsid w:val="000B70FF"/>
    <w:rsid w:val="000C1009"/>
    <w:rsid w:val="000C6FF6"/>
    <w:rsid w:val="000D0B30"/>
    <w:rsid w:val="000E1B59"/>
    <w:rsid w:val="000E2515"/>
    <w:rsid w:val="000E45CF"/>
    <w:rsid w:val="000F084C"/>
    <w:rsid w:val="000F703E"/>
    <w:rsid w:val="00102A37"/>
    <w:rsid w:val="00104992"/>
    <w:rsid w:val="00105553"/>
    <w:rsid w:val="00120E86"/>
    <w:rsid w:val="00125DE9"/>
    <w:rsid w:val="001332E0"/>
    <w:rsid w:val="00134DE7"/>
    <w:rsid w:val="001464F5"/>
    <w:rsid w:val="00147781"/>
    <w:rsid w:val="00150638"/>
    <w:rsid w:val="001511AE"/>
    <w:rsid w:val="001566FD"/>
    <w:rsid w:val="00165ADE"/>
    <w:rsid w:val="00173465"/>
    <w:rsid w:val="00173967"/>
    <w:rsid w:val="00177AF3"/>
    <w:rsid w:val="00185354"/>
    <w:rsid w:val="001854DC"/>
    <w:rsid w:val="00186795"/>
    <w:rsid w:val="00190791"/>
    <w:rsid w:val="00190B88"/>
    <w:rsid w:val="00194D09"/>
    <w:rsid w:val="00196DA5"/>
    <w:rsid w:val="001A01B8"/>
    <w:rsid w:val="001A7D5C"/>
    <w:rsid w:val="001B417F"/>
    <w:rsid w:val="001B5BFA"/>
    <w:rsid w:val="001B60AA"/>
    <w:rsid w:val="001B63C8"/>
    <w:rsid w:val="001C1972"/>
    <w:rsid w:val="001C421F"/>
    <w:rsid w:val="001C441F"/>
    <w:rsid w:val="001D1A5E"/>
    <w:rsid w:val="001D360D"/>
    <w:rsid w:val="001D3CDD"/>
    <w:rsid w:val="001D58A0"/>
    <w:rsid w:val="001E47CC"/>
    <w:rsid w:val="001E7492"/>
    <w:rsid w:val="001F2ADC"/>
    <w:rsid w:val="001F3957"/>
    <w:rsid w:val="001F5217"/>
    <w:rsid w:val="001F7B7E"/>
    <w:rsid w:val="00212064"/>
    <w:rsid w:val="0021678D"/>
    <w:rsid w:val="0021791E"/>
    <w:rsid w:val="00220CB4"/>
    <w:rsid w:val="00235077"/>
    <w:rsid w:val="00240616"/>
    <w:rsid w:val="00244590"/>
    <w:rsid w:val="002454DC"/>
    <w:rsid w:val="002457E7"/>
    <w:rsid w:val="00245B36"/>
    <w:rsid w:val="002541DE"/>
    <w:rsid w:val="002544B2"/>
    <w:rsid w:val="00256CFC"/>
    <w:rsid w:val="00261A8D"/>
    <w:rsid w:val="00263E4F"/>
    <w:rsid w:val="002660EC"/>
    <w:rsid w:val="00266AF4"/>
    <w:rsid w:val="00272BCB"/>
    <w:rsid w:val="00277395"/>
    <w:rsid w:val="00283C1C"/>
    <w:rsid w:val="00291A00"/>
    <w:rsid w:val="00291A11"/>
    <w:rsid w:val="002A315C"/>
    <w:rsid w:val="002A3342"/>
    <w:rsid w:val="002A64BA"/>
    <w:rsid w:val="002A733C"/>
    <w:rsid w:val="002B031F"/>
    <w:rsid w:val="002B1826"/>
    <w:rsid w:val="002B4989"/>
    <w:rsid w:val="002C2510"/>
    <w:rsid w:val="002C2F92"/>
    <w:rsid w:val="002D4D22"/>
    <w:rsid w:val="002D714E"/>
    <w:rsid w:val="002E02F4"/>
    <w:rsid w:val="002E53C3"/>
    <w:rsid w:val="002E6A1D"/>
    <w:rsid w:val="002E7F6D"/>
    <w:rsid w:val="002F09EB"/>
    <w:rsid w:val="002F1468"/>
    <w:rsid w:val="002F21A7"/>
    <w:rsid w:val="002F5F0C"/>
    <w:rsid w:val="003003A1"/>
    <w:rsid w:val="0031505E"/>
    <w:rsid w:val="003265EB"/>
    <w:rsid w:val="00327EEC"/>
    <w:rsid w:val="00330813"/>
    <w:rsid w:val="00332BE4"/>
    <w:rsid w:val="0034329E"/>
    <w:rsid w:val="00343FAA"/>
    <w:rsid w:val="00347F5E"/>
    <w:rsid w:val="00353C98"/>
    <w:rsid w:val="003619EF"/>
    <w:rsid w:val="00362150"/>
    <w:rsid w:val="00364C0C"/>
    <w:rsid w:val="00371A20"/>
    <w:rsid w:val="00380568"/>
    <w:rsid w:val="003821B4"/>
    <w:rsid w:val="00382CF3"/>
    <w:rsid w:val="00387D52"/>
    <w:rsid w:val="00394266"/>
    <w:rsid w:val="00395BF7"/>
    <w:rsid w:val="00397F49"/>
    <w:rsid w:val="003A0524"/>
    <w:rsid w:val="003A7CEA"/>
    <w:rsid w:val="003B0715"/>
    <w:rsid w:val="003B0F00"/>
    <w:rsid w:val="003B1D29"/>
    <w:rsid w:val="003B3361"/>
    <w:rsid w:val="003C2224"/>
    <w:rsid w:val="003C4C45"/>
    <w:rsid w:val="003C4E3A"/>
    <w:rsid w:val="003E587F"/>
    <w:rsid w:val="003E62A4"/>
    <w:rsid w:val="003E6A53"/>
    <w:rsid w:val="003F0BD3"/>
    <w:rsid w:val="003F2174"/>
    <w:rsid w:val="003F278A"/>
    <w:rsid w:val="003F2D70"/>
    <w:rsid w:val="003F7A02"/>
    <w:rsid w:val="003F7A58"/>
    <w:rsid w:val="00406240"/>
    <w:rsid w:val="00421F36"/>
    <w:rsid w:val="00422EA5"/>
    <w:rsid w:val="00422EFA"/>
    <w:rsid w:val="0042791F"/>
    <w:rsid w:val="00432345"/>
    <w:rsid w:val="00434138"/>
    <w:rsid w:val="004377F0"/>
    <w:rsid w:val="00437FB5"/>
    <w:rsid w:val="004456ED"/>
    <w:rsid w:val="004506A7"/>
    <w:rsid w:val="00454A1F"/>
    <w:rsid w:val="00461964"/>
    <w:rsid w:val="00470BFF"/>
    <w:rsid w:val="0048045A"/>
    <w:rsid w:val="00480BC5"/>
    <w:rsid w:val="004835F5"/>
    <w:rsid w:val="00483AEB"/>
    <w:rsid w:val="004841B8"/>
    <w:rsid w:val="00491988"/>
    <w:rsid w:val="004930F2"/>
    <w:rsid w:val="0049574F"/>
    <w:rsid w:val="004B0F1C"/>
    <w:rsid w:val="004B0F61"/>
    <w:rsid w:val="004B64E7"/>
    <w:rsid w:val="004D0B5C"/>
    <w:rsid w:val="004D13FE"/>
    <w:rsid w:val="004D5DA4"/>
    <w:rsid w:val="004D7A71"/>
    <w:rsid w:val="004E499A"/>
    <w:rsid w:val="004E596C"/>
    <w:rsid w:val="004F246B"/>
    <w:rsid w:val="004F2EE6"/>
    <w:rsid w:val="00502DBA"/>
    <w:rsid w:val="005040C4"/>
    <w:rsid w:val="00507637"/>
    <w:rsid w:val="00507852"/>
    <w:rsid w:val="00514DBF"/>
    <w:rsid w:val="0051733C"/>
    <w:rsid w:val="00526428"/>
    <w:rsid w:val="005376EC"/>
    <w:rsid w:val="005411E7"/>
    <w:rsid w:val="00546F84"/>
    <w:rsid w:val="005475F6"/>
    <w:rsid w:val="00550921"/>
    <w:rsid w:val="0056320B"/>
    <w:rsid w:val="005636C8"/>
    <w:rsid w:val="00563712"/>
    <w:rsid w:val="00573631"/>
    <w:rsid w:val="00573C0B"/>
    <w:rsid w:val="00576CFA"/>
    <w:rsid w:val="0058556D"/>
    <w:rsid w:val="00592AF2"/>
    <w:rsid w:val="005947AD"/>
    <w:rsid w:val="00597748"/>
    <w:rsid w:val="005979E8"/>
    <w:rsid w:val="005A4E4D"/>
    <w:rsid w:val="005A5CC5"/>
    <w:rsid w:val="005A6B92"/>
    <w:rsid w:val="005B6377"/>
    <w:rsid w:val="005B68D4"/>
    <w:rsid w:val="005C2E7A"/>
    <w:rsid w:val="005C6119"/>
    <w:rsid w:val="005D0AF4"/>
    <w:rsid w:val="005D1B4F"/>
    <w:rsid w:val="005E54BD"/>
    <w:rsid w:val="005F2F9F"/>
    <w:rsid w:val="005F6CCA"/>
    <w:rsid w:val="005F6EAB"/>
    <w:rsid w:val="006104AF"/>
    <w:rsid w:val="00621893"/>
    <w:rsid w:val="00622ACA"/>
    <w:rsid w:val="0062704D"/>
    <w:rsid w:val="00627FAC"/>
    <w:rsid w:val="006346D7"/>
    <w:rsid w:val="006351E1"/>
    <w:rsid w:val="0064359A"/>
    <w:rsid w:val="006447B1"/>
    <w:rsid w:val="00647DEE"/>
    <w:rsid w:val="006555CC"/>
    <w:rsid w:val="00662775"/>
    <w:rsid w:val="00666F6D"/>
    <w:rsid w:val="00680DEA"/>
    <w:rsid w:val="006852FC"/>
    <w:rsid w:val="006A5EF9"/>
    <w:rsid w:val="006A7377"/>
    <w:rsid w:val="006B2A01"/>
    <w:rsid w:val="006B40AB"/>
    <w:rsid w:val="006B5DC5"/>
    <w:rsid w:val="006C4BFD"/>
    <w:rsid w:val="006C5D32"/>
    <w:rsid w:val="006C7D30"/>
    <w:rsid w:val="006D29E0"/>
    <w:rsid w:val="006D46CF"/>
    <w:rsid w:val="006E3C08"/>
    <w:rsid w:val="006F26AE"/>
    <w:rsid w:val="006F277C"/>
    <w:rsid w:val="006F39DC"/>
    <w:rsid w:val="00700ACF"/>
    <w:rsid w:val="00703522"/>
    <w:rsid w:val="00703A4F"/>
    <w:rsid w:val="00711087"/>
    <w:rsid w:val="00712487"/>
    <w:rsid w:val="007125EA"/>
    <w:rsid w:val="00712B76"/>
    <w:rsid w:val="00715C33"/>
    <w:rsid w:val="00722D7C"/>
    <w:rsid w:val="0073199C"/>
    <w:rsid w:val="00743C0E"/>
    <w:rsid w:val="007530CA"/>
    <w:rsid w:val="007578D9"/>
    <w:rsid w:val="00757E8A"/>
    <w:rsid w:val="00763E43"/>
    <w:rsid w:val="00764EB5"/>
    <w:rsid w:val="007760BA"/>
    <w:rsid w:val="00777A95"/>
    <w:rsid w:val="007808C7"/>
    <w:rsid w:val="00782416"/>
    <w:rsid w:val="007A2E42"/>
    <w:rsid w:val="007B0364"/>
    <w:rsid w:val="007B5582"/>
    <w:rsid w:val="007D0981"/>
    <w:rsid w:val="007D1929"/>
    <w:rsid w:val="007D50B6"/>
    <w:rsid w:val="007D5A90"/>
    <w:rsid w:val="007E2362"/>
    <w:rsid w:val="007F51A4"/>
    <w:rsid w:val="00803CF1"/>
    <w:rsid w:val="008104BB"/>
    <w:rsid w:val="00813584"/>
    <w:rsid w:val="0082429B"/>
    <w:rsid w:val="008249C5"/>
    <w:rsid w:val="00841586"/>
    <w:rsid w:val="008464EA"/>
    <w:rsid w:val="008526F9"/>
    <w:rsid w:val="0085285E"/>
    <w:rsid w:val="00853023"/>
    <w:rsid w:val="008534D4"/>
    <w:rsid w:val="008552FA"/>
    <w:rsid w:val="008624FD"/>
    <w:rsid w:val="00863820"/>
    <w:rsid w:val="008756C0"/>
    <w:rsid w:val="00881067"/>
    <w:rsid w:val="00881E28"/>
    <w:rsid w:val="00884C7F"/>
    <w:rsid w:val="00894C4B"/>
    <w:rsid w:val="008A12E3"/>
    <w:rsid w:val="008A3FDF"/>
    <w:rsid w:val="008A42FA"/>
    <w:rsid w:val="008B0AC7"/>
    <w:rsid w:val="008B27F5"/>
    <w:rsid w:val="008C2335"/>
    <w:rsid w:val="008C67C1"/>
    <w:rsid w:val="008D1D39"/>
    <w:rsid w:val="008F07D2"/>
    <w:rsid w:val="008F21C7"/>
    <w:rsid w:val="008F3A94"/>
    <w:rsid w:val="008F7303"/>
    <w:rsid w:val="00900584"/>
    <w:rsid w:val="00915E7A"/>
    <w:rsid w:val="00917851"/>
    <w:rsid w:val="00917F65"/>
    <w:rsid w:val="009201AB"/>
    <w:rsid w:val="00920E7D"/>
    <w:rsid w:val="009311E7"/>
    <w:rsid w:val="00941D00"/>
    <w:rsid w:val="00942694"/>
    <w:rsid w:val="00943FA8"/>
    <w:rsid w:val="009511BA"/>
    <w:rsid w:val="009517A5"/>
    <w:rsid w:val="00951B30"/>
    <w:rsid w:val="00952613"/>
    <w:rsid w:val="009528ED"/>
    <w:rsid w:val="00952A1C"/>
    <w:rsid w:val="00955030"/>
    <w:rsid w:val="00960C3E"/>
    <w:rsid w:val="009628F3"/>
    <w:rsid w:val="00963D09"/>
    <w:rsid w:val="0097117E"/>
    <w:rsid w:val="009724E9"/>
    <w:rsid w:val="00975485"/>
    <w:rsid w:val="0097723F"/>
    <w:rsid w:val="00995220"/>
    <w:rsid w:val="009A2351"/>
    <w:rsid w:val="009A536C"/>
    <w:rsid w:val="009A7E3A"/>
    <w:rsid w:val="009B1265"/>
    <w:rsid w:val="009B2664"/>
    <w:rsid w:val="009B46D9"/>
    <w:rsid w:val="009B4A15"/>
    <w:rsid w:val="009B4BA1"/>
    <w:rsid w:val="009B5693"/>
    <w:rsid w:val="009C54A5"/>
    <w:rsid w:val="009C61A2"/>
    <w:rsid w:val="009C78E4"/>
    <w:rsid w:val="009D0A9D"/>
    <w:rsid w:val="009D23D6"/>
    <w:rsid w:val="009D687E"/>
    <w:rsid w:val="009F6DE7"/>
    <w:rsid w:val="00A10583"/>
    <w:rsid w:val="00A12B10"/>
    <w:rsid w:val="00A22EED"/>
    <w:rsid w:val="00A27A0C"/>
    <w:rsid w:val="00A32962"/>
    <w:rsid w:val="00A37F22"/>
    <w:rsid w:val="00A37FCB"/>
    <w:rsid w:val="00A46B1A"/>
    <w:rsid w:val="00A54863"/>
    <w:rsid w:val="00A55644"/>
    <w:rsid w:val="00A60CEB"/>
    <w:rsid w:val="00A61D74"/>
    <w:rsid w:val="00A627A7"/>
    <w:rsid w:val="00A63B9C"/>
    <w:rsid w:val="00A734D9"/>
    <w:rsid w:val="00A836D5"/>
    <w:rsid w:val="00A838FA"/>
    <w:rsid w:val="00A85582"/>
    <w:rsid w:val="00A8688B"/>
    <w:rsid w:val="00A91163"/>
    <w:rsid w:val="00A9286F"/>
    <w:rsid w:val="00A92E8B"/>
    <w:rsid w:val="00A9437C"/>
    <w:rsid w:val="00A96255"/>
    <w:rsid w:val="00AA39AC"/>
    <w:rsid w:val="00AB0822"/>
    <w:rsid w:val="00AB285B"/>
    <w:rsid w:val="00AC0641"/>
    <w:rsid w:val="00AC2AEC"/>
    <w:rsid w:val="00AC2F28"/>
    <w:rsid w:val="00AD2524"/>
    <w:rsid w:val="00AD40A5"/>
    <w:rsid w:val="00AE3F05"/>
    <w:rsid w:val="00AF325F"/>
    <w:rsid w:val="00AF5552"/>
    <w:rsid w:val="00AF5CB4"/>
    <w:rsid w:val="00AF5ED1"/>
    <w:rsid w:val="00AF71D6"/>
    <w:rsid w:val="00AF7A1F"/>
    <w:rsid w:val="00B00BBD"/>
    <w:rsid w:val="00B047E2"/>
    <w:rsid w:val="00B04837"/>
    <w:rsid w:val="00B13928"/>
    <w:rsid w:val="00B24AF8"/>
    <w:rsid w:val="00B25C9F"/>
    <w:rsid w:val="00B3175F"/>
    <w:rsid w:val="00B31E2C"/>
    <w:rsid w:val="00B329B0"/>
    <w:rsid w:val="00B32D78"/>
    <w:rsid w:val="00B333FE"/>
    <w:rsid w:val="00B34D4A"/>
    <w:rsid w:val="00B402D8"/>
    <w:rsid w:val="00B408DB"/>
    <w:rsid w:val="00B4237C"/>
    <w:rsid w:val="00B42FE8"/>
    <w:rsid w:val="00B52AFD"/>
    <w:rsid w:val="00B54077"/>
    <w:rsid w:val="00B75ECB"/>
    <w:rsid w:val="00B803EC"/>
    <w:rsid w:val="00B8087E"/>
    <w:rsid w:val="00B914F0"/>
    <w:rsid w:val="00B975CF"/>
    <w:rsid w:val="00BA0FC8"/>
    <w:rsid w:val="00BA2CFE"/>
    <w:rsid w:val="00BB646E"/>
    <w:rsid w:val="00BB731B"/>
    <w:rsid w:val="00BB7C98"/>
    <w:rsid w:val="00BB7F18"/>
    <w:rsid w:val="00BC2D30"/>
    <w:rsid w:val="00BC366D"/>
    <w:rsid w:val="00BC7112"/>
    <w:rsid w:val="00BD1BA1"/>
    <w:rsid w:val="00BD7FAB"/>
    <w:rsid w:val="00BE13FF"/>
    <w:rsid w:val="00BE4FD4"/>
    <w:rsid w:val="00BE58D0"/>
    <w:rsid w:val="00C02AEB"/>
    <w:rsid w:val="00C055FA"/>
    <w:rsid w:val="00C175D4"/>
    <w:rsid w:val="00C20A72"/>
    <w:rsid w:val="00C2246B"/>
    <w:rsid w:val="00C2421F"/>
    <w:rsid w:val="00C26AC5"/>
    <w:rsid w:val="00C26B82"/>
    <w:rsid w:val="00C30931"/>
    <w:rsid w:val="00C35BC4"/>
    <w:rsid w:val="00C36271"/>
    <w:rsid w:val="00C43F5B"/>
    <w:rsid w:val="00C51AA0"/>
    <w:rsid w:val="00C577A4"/>
    <w:rsid w:val="00C6736F"/>
    <w:rsid w:val="00C74C74"/>
    <w:rsid w:val="00C909DB"/>
    <w:rsid w:val="00C95F85"/>
    <w:rsid w:val="00C977B0"/>
    <w:rsid w:val="00CA16A4"/>
    <w:rsid w:val="00CA3246"/>
    <w:rsid w:val="00CA592B"/>
    <w:rsid w:val="00CB4371"/>
    <w:rsid w:val="00CC516D"/>
    <w:rsid w:val="00D0741C"/>
    <w:rsid w:val="00D17832"/>
    <w:rsid w:val="00D24330"/>
    <w:rsid w:val="00D2592F"/>
    <w:rsid w:val="00D40056"/>
    <w:rsid w:val="00D4550B"/>
    <w:rsid w:val="00D47388"/>
    <w:rsid w:val="00D53BF3"/>
    <w:rsid w:val="00D54F29"/>
    <w:rsid w:val="00D70AD9"/>
    <w:rsid w:val="00D72152"/>
    <w:rsid w:val="00D723AB"/>
    <w:rsid w:val="00D75572"/>
    <w:rsid w:val="00D760A4"/>
    <w:rsid w:val="00D8611E"/>
    <w:rsid w:val="00D94BA5"/>
    <w:rsid w:val="00D9510F"/>
    <w:rsid w:val="00DA615C"/>
    <w:rsid w:val="00DA65DA"/>
    <w:rsid w:val="00DA6833"/>
    <w:rsid w:val="00DB01EF"/>
    <w:rsid w:val="00DB247E"/>
    <w:rsid w:val="00DB68F4"/>
    <w:rsid w:val="00DD1BC6"/>
    <w:rsid w:val="00DD397B"/>
    <w:rsid w:val="00DE0DD7"/>
    <w:rsid w:val="00DE5DC3"/>
    <w:rsid w:val="00DE5E3B"/>
    <w:rsid w:val="00DF774F"/>
    <w:rsid w:val="00E00D8A"/>
    <w:rsid w:val="00E052C7"/>
    <w:rsid w:val="00E05552"/>
    <w:rsid w:val="00E1050F"/>
    <w:rsid w:val="00E11604"/>
    <w:rsid w:val="00E11D92"/>
    <w:rsid w:val="00E1293A"/>
    <w:rsid w:val="00E130A0"/>
    <w:rsid w:val="00E17787"/>
    <w:rsid w:val="00E210C4"/>
    <w:rsid w:val="00E23DB7"/>
    <w:rsid w:val="00E42CC9"/>
    <w:rsid w:val="00E46D96"/>
    <w:rsid w:val="00E52CCA"/>
    <w:rsid w:val="00E541B9"/>
    <w:rsid w:val="00E560CC"/>
    <w:rsid w:val="00E60315"/>
    <w:rsid w:val="00E66409"/>
    <w:rsid w:val="00E705ED"/>
    <w:rsid w:val="00E74C3C"/>
    <w:rsid w:val="00E81D5B"/>
    <w:rsid w:val="00E8359C"/>
    <w:rsid w:val="00E86C44"/>
    <w:rsid w:val="00E93E1E"/>
    <w:rsid w:val="00E9562F"/>
    <w:rsid w:val="00E976B9"/>
    <w:rsid w:val="00EA05D3"/>
    <w:rsid w:val="00EB18BF"/>
    <w:rsid w:val="00EB19AD"/>
    <w:rsid w:val="00EB2F31"/>
    <w:rsid w:val="00EB2F52"/>
    <w:rsid w:val="00EB4AA1"/>
    <w:rsid w:val="00EB6493"/>
    <w:rsid w:val="00EC18CB"/>
    <w:rsid w:val="00EC2915"/>
    <w:rsid w:val="00ED05A9"/>
    <w:rsid w:val="00ED1BA0"/>
    <w:rsid w:val="00ED4370"/>
    <w:rsid w:val="00EE2930"/>
    <w:rsid w:val="00EF0021"/>
    <w:rsid w:val="00F144C6"/>
    <w:rsid w:val="00F17257"/>
    <w:rsid w:val="00F27E6B"/>
    <w:rsid w:val="00F34D24"/>
    <w:rsid w:val="00F4130B"/>
    <w:rsid w:val="00F41A07"/>
    <w:rsid w:val="00F41D95"/>
    <w:rsid w:val="00F4672D"/>
    <w:rsid w:val="00F51111"/>
    <w:rsid w:val="00F52722"/>
    <w:rsid w:val="00F5306B"/>
    <w:rsid w:val="00F54CBB"/>
    <w:rsid w:val="00F553BC"/>
    <w:rsid w:val="00F556A2"/>
    <w:rsid w:val="00F6211C"/>
    <w:rsid w:val="00F6577E"/>
    <w:rsid w:val="00F70A5B"/>
    <w:rsid w:val="00F719A8"/>
    <w:rsid w:val="00F73441"/>
    <w:rsid w:val="00F83540"/>
    <w:rsid w:val="00F878B9"/>
    <w:rsid w:val="00F90B5D"/>
    <w:rsid w:val="00F9173F"/>
    <w:rsid w:val="00F92ACE"/>
    <w:rsid w:val="00FA37AE"/>
    <w:rsid w:val="00FA4D49"/>
    <w:rsid w:val="00FB24E8"/>
    <w:rsid w:val="00FB3B2B"/>
    <w:rsid w:val="00FB460F"/>
    <w:rsid w:val="00FC18DA"/>
    <w:rsid w:val="00FC3917"/>
    <w:rsid w:val="00FC5396"/>
    <w:rsid w:val="00FC70F6"/>
    <w:rsid w:val="00FD60DA"/>
    <w:rsid w:val="00FE46A6"/>
    <w:rsid w:val="00FE62B2"/>
    <w:rsid w:val="00FF07B4"/>
    <w:rsid w:val="00FF33DD"/>
    <w:rsid w:val="00FF756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39481"/>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8CB"/>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semiHidden/>
    <w:unhideWhenUsed/>
    <w:qFormat/>
    <w:rsid w:val="00D455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3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TOC2">
    <w:name w:val="toc 2"/>
    <w:basedOn w:val="Normal"/>
    <w:next w:val="Normal"/>
    <w:autoRedefine/>
    <w:uiPriority w:val="39"/>
    <w:unhideWhenUsed/>
    <w:rsid w:val="003F2D70"/>
    <w:pPr>
      <w:tabs>
        <w:tab w:val="right" w:leader="dot" w:pos="9962"/>
      </w:tabs>
      <w:spacing w:after="100" w:line="240" w:lineRule="auto"/>
    </w:pPr>
    <w:rPr>
      <w:rFonts w:ascii="Calibri" w:eastAsia="Times New Roman" w:hAnsi="Calibri" w:cs="Arial"/>
      <w:b/>
      <w:bCs/>
      <w:color w:val="000000"/>
      <w:lang w:val="en-US" w:eastAsia="en-US"/>
    </w:rPr>
  </w:style>
  <w:style w:type="paragraph" w:customStyle="1" w:styleId="xxxmsonormal">
    <w:name w:val="x_xxmsonormal"/>
    <w:basedOn w:val="Normal"/>
    <w:rsid w:val="003F2D70"/>
    <w:pPr>
      <w:spacing w:after="0" w:line="240" w:lineRule="auto"/>
    </w:pPr>
    <w:rPr>
      <w:rFonts w:ascii="Times New Roman" w:eastAsia="Calibri" w:hAnsi="Times New Roman" w:cs="Times New Roman"/>
      <w:sz w:val="24"/>
      <w:szCs w:val="24"/>
      <w:lang w:val="en-US" w:eastAsia="en-US"/>
    </w:rPr>
  </w:style>
  <w:style w:type="paragraph" w:customStyle="1" w:styleId="xxmsonormal">
    <w:name w:val="x_xmsonormal"/>
    <w:basedOn w:val="Normal"/>
    <w:rsid w:val="003F2D70"/>
    <w:pPr>
      <w:spacing w:after="0" w:line="240" w:lineRule="auto"/>
    </w:pPr>
    <w:rPr>
      <w:rFonts w:ascii="Times New Roman" w:eastAsia="Calibri" w:hAnsi="Times New Roman" w:cs="Times New Roman"/>
      <w:sz w:val="24"/>
      <w:szCs w:val="24"/>
      <w:lang w:val="en-US" w:eastAsia="en-US"/>
    </w:rPr>
  </w:style>
  <w:style w:type="paragraph" w:styleId="FootnoteText">
    <w:name w:val="footnote text"/>
    <w:aliases w:val="Footnote1,Footnote2,Footnote3,Footnote4,Footnote5,Footnote6,Footnote7,Footnote8,Footnote9,Footnote10,Footnote11,Footnote21,Footnote31,Footnote41,Footnote51,Footnote61,Footnote71,Footnote81,Footnote91,Footnote12,fn Cha,Fußnote,5_G Cha,5_G"/>
    <w:basedOn w:val="Normal"/>
    <w:link w:val="FootnoteTextChar"/>
    <w:uiPriority w:val="99"/>
    <w:semiHidden/>
    <w:unhideWhenUsed/>
    <w:qFormat/>
    <w:rsid w:val="008B27F5"/>
    <w:pPr>
      <w:spacing w:after="0" w:line="240" w:lineRule="auto"/>
    </w:pPr>
    <w:rPr>
      <w:rFonts w:ascii="Times New Roman" w:eastAsiaTheme="minorHAnsi" w:hAnsi="Times New Roman" w:cs="Times New Roman"/>
      <w:sz w:val="20"/>
      <w:szCs w:val="20"/>
      <w:lang w:val="en-US" w:eastAsia="en-US"/>
    </w:rPr>
  </w:style>
  <w:style w:type="character" w:customStyle="1" w:styleId="FootnoteTextChar">
    <w:name w:val="Footnote Text Char"/>
    <w:aliases w:val="Footnote1 Char,Footnote2 Char,Footnote3 Char,Footnote4 Char,Footnote5 Char,Footnote6 Char,Footnote7 Char,Footnote8 Char,Footnote9 Char,Footnote10 Char,Footnote11 Char,Footnote21 Char,Footnote31 Char,Footnote41 Char,Footnote51 Char"/>
    <w:basedOn w:val="DefaultParagraphFont"/>
    <w:link w:val="FootnoteText"/>
    <w:uiPriority w:val="99"/>
    <w:semiHidden/>
    <w:rsid w:val="008B27F5"/>
    <w:rPr>
      <w:rFonts w:ascii="Times New Roman" w:eastAsiaTheme="minorHAnsi" w:hAnsi="Times New Roman" w:cs="Times New Roman"/>
      <w:sz w:val="20"/>
      <w:szCs w:val="20"/>
      <w:lang w:val="en-US" w:eastAsia="en-US"/>
    </w:rPr>
  </w:style>
  <w:style w:type="character" w:styleId="FootnoteReference">
    <w:name w:val="footnote reference"/>
    <w:basedOn w:val="DefaultParagraphFont"/>
    <w:uiPriority w:val="99"/>
    <w:semiHidden/>
    <w:unhideWhenUsed/>
    <w:rsid w:val="008B27F5"/>
    <w:rPr>
      <w:vertAlign w:val="superscript"/>
    </w:rPr>
  </w:style>
  <w:style w:type="table" w:styleId="PlainTable2">
    <w:name w:val="Plain Table 2"/>
    <w:basedOn w:val="TableNormal"/>
    <w:uiPriority w:val="42"/>
    <w:rsid w:val="00F41A07"/>
    <w:pPr>
      <w:spacing w:after="0" w:line="240" w:lineRule="auto"/>
    </w:pPr>
    <w:rPr>
      <w:rFonts w:eastAsiaTheme="minorHAnsi"/>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D4550B"/>
    <w:rPr>
      <w:rFonts w:asciiTheme="majorHAnsi" w:eastAsiaTheme="majorEastAsia" w:hAnsiTheme="majorHAnsi" w:cstheme="majorBidi"/>
      <w:color w:val="243F60" w:themeColor="accent1" w:themeShade="7F"/>
      <w:sz w:val="24"/>
      <w:szCs w:val="24"/>
    </w:rPr>
  </w:style>
  <w:style w:type="paragraph" w:styleId="Revision">
    <w:name w:val="Revision"/>
    <w:hidden/>
    <w:uiPriority w:val="99"/>
    <w:semiHidden/>
    <w:rsid w:val="00327EEC"/>
    <w:pPr>
      <w:spacing w:after="0" w:line="240" w:lineRule="auto"/>
    </w:pPr>
  </w:style>
  <w:style w:type="character" w:styleId="UnresolvedMention">
    <w:name w:val="Unresolved Mention"/>
    <w:basedOn w:val="DefaultParagraphFont"/>
    <w:uiPriority w:val="99"/>
    <w:semiHidden/>
    <w:unhideWhenUsed/>
    <w:rsid w:val="00962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07079">
      <w:bodyDiv w:val="1"/>
      <w:marLeft w:val="0"/>
      <w:marRight w:val="0"/>
      <w:marTop w:val="0"/>
      <w:marBottom w:val="0"/>
      <w:divBdr>
        <w:top w:val="none" w:sz="0" w:space="0" w:color="auto"/>
        <w:left w:val="none" w:sz="0" w:space="0" w:color="auto"/>
        <w:bottom w:val="none" w:sz="0" w:space="0" w:color="auto"/>
        <w:right w:val="none" w:sz="0" w:space="0" w:color="auto"/>
      </w:divBdr>
    </w:div>
    <w:div w:id="463502376">
      <w:bodyDiv w:val="1"/>
      <w:marLeft w:val="0"/>
      <w:marRight w:val="0"/>
      <w:marTop w:val="0"/>
      <w:marBottom w:val="0"/>
      <w:divBdr>
        <w:top w:val="none" w:sz="0" w:space="0" w:color="auto"/>
        <w:left w:val="none" w:sz="0" w:space="0" w:color="auto"/>
        <w:bottom w:val="none" w:sz="0" w:space="0" w:color="auto"/>
        <w:right w:val="none" w:sz="0" w:space="0" w:color="auto"/>
      </w:divBdr>
    </w:div>
    <w:div w:id="680208738">
      <w:bodyDiv w:val="1"/>
      <w:marLeft w:val="0"/>
      <w:marRight w:val="0"/>
      <w:marTop w:val="0"/>
      <w:marBottom w:val="0"/>
      <w:divBdr>
        <w:top w:val="none" w:sz="0" w:space="0" w:color="auto"/>
        <w:left w:val="none" w:sz="0" w:space="0" w:color="auto"/>
        <w:bottom w:val="none" w:sz="0" w:space="0" w:color="auto"/>
        <w:right w:val="none" w:sz="0" w:space="0" w:color="auto"/>
      </w:divBdr>
    </w:div>
    <w:div w:id="690257162">
      <w:bodyDiv w:val="1"/>
      <w:marLeft w:val="0"/>
      <w:marRight w:val="0"/>
      <w:marTop w:val="0"/>
      <w:marBottom w:val="0"/>
      <w:divBdr>
        <w:top w:val="none" w:sz="0" w:space="0" w:color="auto"/>
        <w:left w:val="none" w:sz="0" w:space="0" w:color="auto"/>
        <w:bottom w:val="none" w:sz="0" w:space="0" w:color="auto"/>
        <w:right w:val="none" w:sz="0" w:space="0" w:color="auto"/>
      </w:divBdr>
    </w:div>
    <w:div w:id="1022901332">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83668870">
      <w:bodyDiv w:val="1"/>
      <w:marLeft w:val="0"/>
      <w:marRight w:val="0"/>
      <w:marTop w:val="0"/>
      <w:marBottom w:val="0"/>
      <w:divBdr>
        <w:top w:val="none" w:sz="0" w:space="0" w:color="auto"/>
        <w:left w:val="none" w:sz="0" w:space="0" w:color="auto"/>
        <w:bottom w:val="none" w:sz="0" w:space="0" w:color="auto"/>
        <w:right w:val="none" w:sz="0" w:space="0" w:color="auto"/>
      </w:divBdr>
    </w:div>
    <w:div w:id="1374816156">
      <w:bodyDiv w:val="1"/>
      <w:marLeft w:val="0"/>
      <w:marRight w:val="0"/>
      <w:marTop w:val="0"/>
      <w:marBottom w:val="0"/>
      <w:divBdr>
        <w:top w:val="none" w:sz="0" w:space="0" w:color="auto"/>
        <w:left w:val="none" w:sz="0" w:space="0" w:color="auto"/>
        <w:bottom w:val="none" w:sz="0" w:space="0" w:color="auto"/>
        <w:right w:val="none" w:sz="0" w:space="0" w:color="auto"/>
      </w:divBdr>
    </w:div>
    <w:div w:id="1712074996">
      <w:bodyDiv w:val="1"/>
      <w:marLeft w:val="0"/>
      <w:marRight w:val="0"/>
      <w:marTop w:val="0"/>
      <w:marBottom w:val="0"/>
      <w:divBdr>
        <w:top w:val="none" w:sz="0" w:space="0" w:color="auto"/>
        <w:left w:val="none" w:sz="0" w:space="0" w:color="auto"/>
        <w:bottom w:val="none" w:sz="0" w:space="0" w:color="auto"/>
        <w:right w:val="none" w:sz="0" w:space="0" w:color="auto"/>
      </w:divBdr>
    </w:div>
    <w:div w:id="182658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ao.org/3/K8024E/K8024E.pdf" TargetMode="External"/><Relationship Id="rId18" Type="http://schemas.openxmlformats.org/officeDocument/2006/relationships/hyperlink" Target="https://www.fao.org/faostat/en/" TargetMode="External"/><Relationship Id="rId26" Type="http://schemas.openxmlformats.org/officeDocument/2006/relationships/hyperlink" Target="https://www.fao.org/sustainable-development-goals/indicators/642/en/" TargetMode="External"/><Relationship Id="rId3" Type="http://schemas.openxmlformats.org/officeDocument/2006/relationships/customXml" Target="../customXml/item3.xml"/><Relationship Id="rId21" Type="http://schemas.openxmlformats.org/officeDocument/2006/relationships/hyperlink" Target="http://fenix.fao.org/faostat/internal/en/"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fao.org/documents/card/en/c/cb4549en" TargetMode="External"/><Relationship Id="rId17" Type="http://schemas.openxmlformats.org/officeDocument/2006/relationships/hyperlink" Target="https://www.fao.org/faostat/en/" TargetMode="External"/><Relationship Id="rId25" Type="http://schemas.openxmlformats.org/officeDocument/2006/relationships/hyperlink" Target="https://www.fao.org/faostat/en/"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foodandagricultureorganization.shinyapps.io/SDG_241_PROXY/" TargetMode="External"/><Relationship Id="rId20" Type="http://schemas.openxmlformats.org/officeDocument/2006/relationships/hyperlink" Target="http://www.fao.org/faostat/en/" TargetMode="External"/><Relationship Id="rId29" Type="http://schemas.openxmlformats.org/officeDocument/2006/relationships/hyperlink" Target="https://ilostat.ilo.org/topics/informalit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ao.org/faostat/en/" TargetMode="External"/><Relationship Id="rId24" Type="http://schemas.openxmlformats.org/officeDocument/2006/relationships/hyperlink" Target="https://doi.org/10.5061/dryad.n2z34tn0x"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fao.org/sdg-progress-report/2021/en/" TargetMode="External"/><Relationship Id="rId23" Type="http://schemas.openxmlformats.org/officeDocument/2006/relationships/hyperlink" Target="https://www.fao.org/faostat/en/" TargetMode="External"/><Relationship Id="rId28" Type="http://schemas.openxmlformats.org/officeDocument/2006/relationships/hyperlink" Target="https://www.fao.org/faostat/en/" TargetMode="External"/><Relationship Id="rId10" Type="http://schemas.openxmlformats.org/officeDocument/2006/relationships/endnotes" Target="endnotes.xml"/><Relationship Id="rId19" Type="http://schemas.openxmlformats.org/officeDocument/2006/relationships/hyperlink" Target="https://www.fao.org/faostat/en/"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stats.un.org/sdgs/report/2021/progress-chart/" TargetMode="External"/><Relationship Id="rId22" Type="http://schemas.openxmlformats.org/officeDocument/2006/relationships/hyperlink" Target="http://fenix.fao.org/faostat/internal/en/" TargetMode="External"/><Relationship Id="rId27" Type="http://schemas.openxmlformats.org/officeDocument/2006/relationships/hyperlink" Target="https://www.fao.org/faostat/en/" TargetMode="External"/><Relationship Id="rId30" Type="http://schemas.openxmlformats.org/officeDocument/2006/relationships/header" Target="header1.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essd.copernicus.org/preprints/essd-2023-206/essd-2023-206.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334A46D2-A7C4-4203-8B80-303A8293EF6C}"/>
      </w:docPartPr>
      <w:docPartBody>
        <w:p w:rsidR="00782BE9" w:rsidRDefault="00461B0C">
          <w:r w:rsidRPr="00577B9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body)">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B0C"/>
    <w:rsid w:val="001D3CDD"/>
    <w:rsid w:val="00210568"/>
    <w:rsid w:val="002404F1"/>
    <w:rsid w:val="00256576"/>
    <w:rsid w:val="003F7138"/>
    <w:rsid w:val="004375E3"/>
    <w:rsid w:val="00461B0C"/>
    <w:rsid w:val="00642135"/>
    <w:rsid w:val="006555EE"/>
    <w:rsid w:val="00730156"/>
    <w:rsid w:val="00744B3D"/>
    <w:rsid w:val="00782BE9"/>
    <w:rsid w:val="00792D9E"/>
    <w:rsid w:val="008138DA"/>
    <w:rsid w:val="00A003C6"/>
    <w:rsid w:val="00BB731B"/>
    <w:rsid w:val="00C175D4"/>
    <w:rsid w:val="00D317D2"/>
    <w:rsid w:val="00DE715E"/>
    <w:rsid w:val="00E560CC"/>
    <w:rsid w:val="00EF3AA7"/>
    <w:rsid w:val="00F64B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1B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C57C4F215C9248B687CE061C97A02C" ma:contentTypeVersion="16" ma:contentTypeDescription="Create a new document." ma:contentTypeScope="" ma:versionID="37e25b9e86a7d83169cf8bef60d5e13d">
  <xsd:schema xmlns:xsd="http://www.w3.org/2001/XMLSchema" xmlns:xs="http://www.w3.org/2001/XMLSchema" xmlns:p="http://schemas.microsoft.com/office/2006/metadata/properties" xmlns:ns2="19c7920f-62bb-415c-aaee-3c88c8aed01d" xmlns:ns3="b6a3b5e8-9a5d-48de-8dd4-71f80e1de32d" targetNamespace="http://schemas.microsoft.com/office/2006/metadata/properties" ma:root="true" ma:fieldsID="d4c28ba9679c78eb80545755ebdba6c4" ns2:_="" ns3:_="">
    <xsd:import namespace="19c7920f-62bb-415c-aaee-3c88c8aed01d"/>
    <xsd:import namespace="b6a3b5e8-9a5d-48de-8dd4-71f80e1de32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c7920f-62bb-415c-aaee-3c88c8aed0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40eee1e-ad38-437e-be40-fc9f033adc9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6a3b5e8-9a5d-48de-8dd4-71f80e1de32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af5e386-9031-43d7-9be7-90668a9bdae4}" ma:internalName="TaxCatchAll" ma:showField="CatchAllData" ma:web="b6a3b5e8-9a5d-48de-8dd4-71f80e1de3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9c7920f-62bb-415c-aaee-3c88c8aed01d">
      <Terms xmlns="http://schemas.microsoft.com/office/infopath/2007/PartnerControls"/>
    </lcf76f155ced4ddcb4097134ff3c332f>
    <TaxCatchAll xmlns="b6a3b5e8-9a5d-48de-8dd4-71f80e1de32d" xsi:nil="true"/>
  </documentManagement>
</p:properties>
</file>

<file path=customXml/itemProps1.xml><?xml version="1.0" encoding="utf-8"?>
<ds:datastoreItem xmlns:ds="http://schemas.openxmlformats.org/officeDocument/2006/customXml" ds:itemID="{DF810919-4B90-4A55-AB8C-A1959CC2B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c7920f-62bb-415c-aaee-3c88c8aed01d"/>
    <ds:schemaRef ds:uri="b6a3b5e8-9a5d-48de-8dd4-71f80e1de3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C712EB48-4CB2-4769-B904-E4CE74C80297}">
  <ds:schemaRefs>
    <ds:schemaRef ds:uri="http://schemas.openxmlformats.org/officeDocument/2006/bibliography"/>
  </ds:schemaRefs>
</ds:datastoreItem>
</file>

<file path=customXml/itemProps4.xml><?xml version="1.0" encoding="utf-8"?>
<ds:datastoreItem xmlns:ds="http://schemas.openxmlformats.org/officeDocument/2006/customXml" ds:itemID="{76597A22-7BCB-4E17-AD05-698BA4F6D47D}">
  <ds:schemaRefs>
    <ds:schemaRef ds:uri="http://purl.org/dc/elements/1.1/"/>
    <ds:schemaRef ds:uri="http://purl.org/dc/dcmitype/"/>
    <ds:schemaRef ds:uri="http://schemas.microsoft.com/office/2006/documentManagement/types"/>
    <ds:schemaRef ds:uri="http://purl.org/dc/terms/"/>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b6a3b5e8-9a5d-48de-8dd4-71f80e1de32d"/>
    <ds:schemaRef ds:uri="19c7920f-62bb-415c-aaee-3c88c8aed01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5597</Words>
  <Characters>31903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shibata@un.org</dc:creator>
  <cp:lastModifiedBy>Harumi Shibata Salazar</cp:lastModifiedBy>
  <cp:revision>4</cp:revision>
  <cp:lastPrinted>2025-04-23T03:14:00Z</cp:lastPrinted>
  <dcterms:created xsi:type="dcterms:W3CDTF">2025-03-19T16:59:00Z</dcterms:created>
  <dcterms:modified xsi:type="dcterms:W3CDTF">2025-04-23T03:14:00Z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0x0101000FC57C4F215C9248B687CE061C97A02C</vt:lpwstr>
  </property>
  <property fmtid="{D5CDD505-2E9C-101B-9397-08002B2CF9AE}" pid="3" name="MediaServiceImageTags">
    <vt:lpwstr/>
  </property>
</Properties>
</file>