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24357ABC" w:rsidR="00D24330" w:rsidRPr="00A96255" w:rsidRDefault="00370590" w:rsidP="002F5F0C">
      <w:pPr>
        <w:pStyle w:val="MGTHeader"/>
      </w:pPr>
      <w:r w:rsidRPr="00370590">
        <w:t>Goal 2: End hunger, achieve food security and improved nutrition and promote sustainable agriculture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31EE8DE3" w:rsidR="00D24330" w:rsidRPr="00A96255" w:rsidRDefault="00370590" w:rsidP="00D24330">
      <w:pPr>
        <w:pStyle w:val="MGTHeader"/>
      </w:pPr>
      <w:r w:rsidRPr="00370590">
        <w:t xml:space="preserve">Target 2.5: 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w:t>
      </w:r>
      <w:proofErr w:type="gramStart"/>
      <w:r w:rsidRPr="00370590">
        <w:t>agreed</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703D977B" w:rsidR="00D24330" w:rsidRPr="00A96255" w:rsidRDefault="00370590" w:rsidP="00FC0D59">
      <w:pPr>
        <w:pStyle w:val="MGTHeader"/>
      </w:pPr>
      <w:r w:rsidRPr="00370590">
        <w:t xml:space="preserve">Indicator 2.5.1: </w:t>
      </w:r>
      <w:r w:rsidR="00EF463D" w:rsidRPr="00EF463D">
        <w:t>Number of (a) plant and (b) animal genetic resources for food and agriculture secured in either medium- or long-term conservation facilities</w:t>
      </w:r>
    </w:p>
    <w:p w14:paraId="37E5E4F6" w14:textId="77777777" w:rsidR="00D24330" w:rsidRPr="007F0E7F" w:rsidRDefault="00D24330" w:rsidP="00D24330">
      <w:pPr>
        <w:pStyle w:val="MIndHeader"/>
        <w:rPr>
          <w:lang w:val="en-US"/>
        </w:rPr>
      </w:pPr>
      <w:r w:rsidRPr="007F0E7F">
        <w:rPr>
          <w:lang w:val="en-US"/>
        </w:rPr>
        <w:t xml:space="preserve">0.d. Series </w:t>
      </w:r>
      <w:r>
        <w:rPr>
          <w:color w:val="B4B4B4"/>
          <w:sz w:val="20"/>
        </w:rPr>
        <w:t>(SDG_SERIES_DESCR)</w:t>
      </w:r>
    </w:p>
    <w:p w14:paraId="503DB4C7" w14:textId="0953A23B" w:rsidR="00DC11C7" w:rsidRDefault="007A0C12" w:rsidP="00DC11C7">
      <w:pPr>
        <w:pStyle w:val="MGTHeader"/>
        <w:rPr>
          <w:lang w:val="en-US"/>
        </w:rPr>
      </w:pPr>
      <w:r w:rsidRPr="007A0C12">
        <w:rPr>
          <w:lang w:val="en-US"/>
        </w:rPr>
        <w:t xml:space="preserve">ER_GRF_PLNTSTOR - Plant genetic resources </w:t>
      </w:r>
      <w:proofErr w:type="gramStart"/>
      <w:r w:rsidRPr="007A0C12">
        <w:rPr>
          <w:lang w:val="en-US"/>
        </w:rPr>
        <w:t>accessions</w:t>
      </w:r>
      <w:proofErr w:type="gramEnd"/>
      <w:r w:rsidRPr="007A0C12">
        <w:rPr>
          <w:lang w:val="en-US"/>
        </w:rPr>
        <w:t xml:space="preserve"> stored ex situ (number) [2.5.1]</w:t>
      </w:r>
    </w:p>
    <w:p w14:paraId="157DACE7" w14:textId="25DAA6CC" w:rsidR="00D24330" w:rsidRPr="007F0E7F" w:rsidRDefault="00D24330" w:rsidP="00D24330">
      <w:pPr>
        <w:pStyle w:val="MIndHeader"/>
        <w:rPr>
          <w:lang w:val="en-US"/>
        </w:rPr>
      </w:pPr>
      <w:r w:rsidRPr="007F0E7F">
        <w:rPr>
          <w:lang w:val="en-US"/>
        </w:rPr>
        <w:t xml:space="preserve">0.e. Metadata update </w:t>
      </w:r>
      <w:r>
        <w:rPr>
          <w:color w:val="B4B4B4"/>
          <w:sz w:val="20"/>
        </w:rPr>
        <w:t>(META_LAST_UPDATE)</w:t>
      </w:r>
    </w:p>
    <w:sdt>
      <w:sdtPr>
        <w:rPr>
          <w:lang w:val="en-US"/>
        </w:rPr>
        <w:id w:val="-120845149"/>
        <w:placeholder>
          <w:docPart w:val="DefaultPlaceholder_-1854013437"/>
        </w:placeholder>
        <w:date w:fullDate="2024-07-29T00:00:00Z">
          <w:dateFormat w:val="yyyy-MM-dd"/>
          <w:lid w:val="en-US"/>
          <w:storeMappedDataAs w:val="dateTime"/>
          <w:calendar w:val="gregorian"/>
        </w:date>
      </w:sdtPr>
      <w:sdtEndPr/>
      <w:sdtContent>
        <w:p w14:paraId="03424B60" w14:textId="6883794A" w:rsidR="00D24330" w:rsidRPr="007F0E7F" w:rsidRDefault="003D4103" w:rsidP="004E67B5">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5BC032C3" w:rsidR="00D24330" w:rsidRPr="00A96255" w:rsidRDefault="00FC0D59" w:rsidP="00FC0D59">
      <w:pPr>
        <w:pStyle w:val="MGTHeader"/>
      </w:pPr>
      <w:r>
        <w:t>I</w:t>
      </w:r>
      <w:r w:rsidR="00370590" w:rsidRPr="00370590">
        <w:t>ndicator</w:t>
      </w:r>
      <w:r w:rsidR="00DB177D">
        <w:t xml:space="preserve"> 2.5.1</w:t>
      </w:r>
      <w:r>
        <w:t>b</w:t>
      </w:r>
      <w:r w:rsidR="00DB177D">
        <w:t xml:space="preserve"> on </w:t>
      </w:r>
      <w:r>
        <w:t>animal genetic resources</w:t>
      </w:r>
      <w:r w:rsidR="00370590" w:rsidRPr="00370590">
        <w:t>.</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6DE29D76" w:rsidR="00621893" w:rsidRPr="00A96255" w:rsidRDefault="00370590" w:rsidP="00D24330">
      <w:pPr>
        <w:pStyle w:val="MGTHeader"/>
        <w:rPr>
          <w:color w:val="4A4A4A"/>
        </w:rPr>
      </w:pPr>
      <w:r w:rsidRPr="00370590">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29BF977A" w:rsidR="00576CFA" w:rsidRDefault="00370590" w:rsidP="00576CFA">
      <w:pPr>
        <w:pStyle w:val="MText"/>
      </w:pPr>
      <w:r w:rsidRPr="00370590">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8D2396C"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23F1B0D0" w14:textId="3622F478"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conservation of plant and animal genetic resources for food and agriculture (GRFA) in </w:t>
      </w:r>
      <w:r w:rsidR="006045F3">
        <w:rPr>
          <w:rFonts w:eastAsia="Times New Roman" w:cs="Times New Roman"/>
          <w:color w:val="4A4A4A"/>
          <w:sz w:val="21"/>
          <w:szCs w:val="21"/>
          <w:lang w:eastAsia="en-GB"/>
        </w:rPr>
        <w:t>medium- or long-term</w:t>
      </w:r>
      <w:r>
        <w:rPr>
          <w:rFonts w:eastAsia="Times New Roman" w:cs="Times New Roman"/>
          <w:color w:val="4A4A4A"/>
          <w:sz w:val="21"/>
          <w:szCs w:val="21"/>
          <w:lang w:eastAsia="en-GB"/>
        </w:rPr>
        <w:t xml:space="preserve"> conservation facilities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xml:space="preserve">, in </w:t>
      </w:r>
      <w:proofErr w:type="spellStart"/>
      <w:r>
        <w:rPr>
          <w:rFonts w:eastAsia="Times New Roman" w:cs="Times New Roman"/>
          <w:color w:val="4A4A4A"/>
          <w:sz w:val="21"/>
          <w:szCs w:val="21"/>
          <w:lang w:eastAsia="en-GB"/>
        </w:rPr>
        <w:t>genebanks</w:t>
      </w:r>
      <w:proofErr w:type="spellEnd"/>
      <w:r>
        <w:rPr>
          <w:rFonts w:eastAsia="Times New Roman" w:cs="Times New Roman"/>
          <w:color w:val="4A4A4A"/>
          <w:sz w:val="21"/>
          <w:szCs w:val="21"/>
          <w:lang w:eastAsia="en-GB"/>
        </w:rPr>
        <w:t>) represents the most trusted means of conserving genetic resources worldwide. Plant and animal GRFA conserved in these facilities can be easily used in breeding programmes as well, even directly on-farm.</w:t>
      </w:r>
    </w:p>
    <w:p w14:paraId="0A18E778" w14:textId="77777777" w:rsidR="00370590" w:rsidRDefault="00370590" w:rsidP="00370590">
      <w:pPr>
        <w:shd w:val="clear" w:color="auto" w:fill="FFFFFF"/>
        <w:spacing w:after="0"/>
        <w:rPr>
          <w:rFonts w:eastAsia="Times New Roman" w:cs="Times New Roman"/>
          <w:color w:val="4A4A4A"/>
          <w:sz w:val="21"/>
          <w:szCs w:val="21"/>
          <w:lang w:eastAsia="en-GB"/>
        </w:rPr>
      </w:pPr>
    </w:p>
    <w:p w14:paraId="78749A24"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measure of trends in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xml:space="preserve"> conserved materials provides an overall assessment of the extent to which we are managing to maintain and/or increase the total genetic diversity available for future use </w:t>
      </w:r>
      <w:r>
        <w:rPr>
          <w:rFonts w:eastAsia="Times New Roman" w:cs="Times New Roman"/>
          <w:color w:val="4A4A4A"/>
          <w:sz w:val="21"/>
          <w:szCs w:val="21"/>
          <w:lang w:eastAsia="en-GB"/>
        </w:rPr>
        <w:lastRenderedPageBreak/>
        <w:t xml:space="preserve">and thus protected from any permanent loss of genetic diversity which may occur in the natural habitat, i.e. </w:t>
      </w:r>
      <w:r>
        <w:rPr>
          <w:rFonts w:eastAsia="Times New Roman" w:cs="Times New Roman"/>
          <w:i/>
          <w:color w:val="4A4A4A"/>
          <w:sz w:val="21"/>
          <w:szCs w:val="21"/>
          <w:lang w:eastAsia="en-GB"/>
        </w:rPr>
        <w:t>in situ</w:t>
      </w:r>
      <w:r>
        <w:rPr>
          <w:rFonts w:eastAsia="Times New Roman" w:cs="Times New Roman"/>
          <w:color w:val="4A4A4A"/>
          <w:sz w:val="21"/>
          <w:szCs w:val="21"/>
          <w:lang w:eastAsia="en-GB"/>
        </w:rPr>
        <w:t>, or on-farm.</w:t>
      </w:r>
    </w:p>
    <w:p w14:paraId="2C4A5615" w14:textId="77777777" w:rsidR="00370590" w:rsidRDefault="00370590" w:rsidP="00370590">
      <w:pPr>
        <w:shd w:val="clear" w:color="auto" w:fill="FFFFFF"/>
        <w:spacing w:after="0"/>
        <w:rPr>
          <w:rFonts w:eastAsia="Times New Roman" w:cs="Times New Roman"/>
          <w:color w:val="4A4A4A"/>
          <w:sz w:val="21"/>
          <w:szCs w:val="21"/>
          <w:lang w:eastAsia="en-GB"/>
        </w:rPr>
      </w:pPr>
    </w:p>
    <w:p w14:paraId="3AD538F9" w14:textId="7E7D86C2"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two components of the indicator</w:t>
      </w:r>
      <w:r w:rsidR="00F86DE6">
        <w:rPr>
          <w:rFonts w:eastAsia="Times New Roman" w:cs="Times New Roman"/>
          <w:color w:val="4A4A4A"/>
          <w:sz w:val="21"/>
          <w:szCs w:val="21"/>
          <w:lang w:eastAsia="en-GB"/>
        </w:rPr>
        <w:t xml:space="preserve"> 2.5.1</w:t>
      </w:r>
      <w:r>
        <w:rPr>
          <w:rFonts w:eastAsia="Times New Roman" w:cs="Times New Roman"/>
          <w:color w:val="4A4A4A"/>
          <w:sz w:val="21"/>
          <w:szCs w:val="21"/>
          <w:lang w:eastAsia="en-GB"/>
        </w:rPr>
        <w:t xml:space="preserve">, plant </w:t>
      </w:r>
      <w:r w:rsidR="00EE5054">
        <w:rPr>
          <w:rFonts w:eastAsia="Times New Roman" w:cs="Times New Roman"/>
          <w:color w:val="4A4A4A"/>
          <w:sz w:val="21"/>
          <w:szCs w:val="21"/>
          <w:lang w:eastAsia="en-GB"/>
        </w:rPr>
        <w:t xml:space="preserve">(a) </w:t>
      </w:r>
      <w:r>
        <w:rPr>
          <w:rFonts w:eastAsia="Times New Roman" w:cs="Times New Roman"/>
          <w:color w:val="4A4A4A"/>
          <w:sz w:val="21"/>
          <w:szCs w:val="21"/>
          <w:lang w:eastAsia="en-GB"/>
        </w:rPr>
        <w:t xml:space="preserve">and animal </w:t>
      </w:r>
      <w:r w:rsidR="00EE5054">
        <w:rPr>
          <w:rFonts w:eastAsia="Times New Roman" w:cs="Times New Roman"/>
          <w:color w:val="4A4A4A"/>
          <w:sz w:val="21"/>
          <w:szCs w:val="21"/>
          <w:lang w:eastAsia="en-GB"/>
        </w:rPr>
        <w:t xml:space="preserve">(b) </w:t>
      </w:r>
      <w:r>
        <w:rPr>
          <w:rFonts w:eastAsia="Times New Roman" w:cs="Times New Roman"/>
          <w:color w:val="4A4A4A"/>
          <w:sz w:val="21"/>
          <w:szCs w:val="21"/>
          <w:lang w:eastAsia="en-GB"/>
        </w:rPr>
        <w:t>GRFA, are separately counted.</w:t>
      </w:r>
    </w:p>
    <w:p w14:paraId="20F77E07" w14:textId="77777777" w:rsidR="00370590" w:rsidRDefault="00370590" w:rsidP="00370590">
      <w:pPr>
        <w:shd w:val="clear" w:color="auto" w:fill="FFFFFF"/>
        <w:spacing w:after="0"/>
        <w:rPr>
          <w:rFonts w:eastAsia="Times New Roman" w:cs="Times New Roman"/>
          <w:color w:val="4A4A4A"/>
          <w:sz w:val="21"/>
          <w:szCs w:val="21"/>
          <w:lang w:eastAsia="en-GB"/>
        </w:rPr>
      </w:pPr>
    </w:p>
    <w:p w14:paraId="186262C8" w14:textId="76096E91"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plant component is calculated as the number of accessions of plant genetic resources secured in conservation facilities under </w:t>
      </w:r>
      <w:r w:rsidR="006045F3">
        <w:rPr>
          <w:rFonts w:eastAsia="Times New Roman" w:cs="Times New Roman"/>
          <w:color w:val="4A4A4A"/>
          <w:sz w:val="21"/>
          <w:szCs w:val="21"/>
          <w:lang w:eastAsia="en-GB"/>
        </w:rPr>
        <w:t>medium- or long-term</w:t>
      </w:r>
      <w:r>
        <w:rPr>
          <w:rFonts w:eastAsia="Times New Roman" w:cs="Times New Roman"/>
          <w:color w:val="4A4A4A"/>
          <w:sz w:val="21"/>
          <w:szCs w:val="21"/>
          <w:lang w:eastAsia="en-GB"/>
        </w:rPr>
        <w:t xml:space="preserve"> conditions, where an ‘accession’ is defined as a distinct sample of seeds, planting materials or plants which is maintained in a </w:t>
      </w:r>
      <w:proofErr w:type="spellStart"/>
      <w:r>
        <w:rPr>
          <w:rFonts w:eastAsia="Times New Roman" w:cs="Times New Roman"/>
          <w:color w:val="4A4A4A"/>
          <w:sz w:val="21"/>
          <w:szCs w:val="21"/>
          <w:lang w:eastAsia="en-GB"/>
        </w:rPr>
        <w:t>genebank</w:t>
      </w:r>
      <w:proofErr w:type="spellEnd"/>
      <w:r>
        <w:rPr>
          <w:rFonts w:eastAsia="Times New Roman" w:cs="Times New Roman"/>
          <w:color w:val="4A4A4A"/>
          <w:sz w:val="21"/>
          <w:szCs w:val="21"/>
          <w:lang w:eastAsia="en-GB"/>
        </w:rPr>
        <w:t xml:space="preserve">. </w:t>
      </w:r>
      <w:proofErr w:type="spellStart"/>
      <w:r>
        <w:rPr>
          <w:rFonts w:eastAsia="Times New Roman" w:cs="Times New Roman"/>
          <w:color w:val="4A4A4A"/>
          <w:sz w:val="21"/>
          <w:szCs w:val="21"/>
          <w:lang w:eastAsia="en-GB"/>
        </w:rPr>
        <w:t>Genebank</w:t>
      </w:r>
      <w:proofErr w:type="spellEnd"/>
      <w:r>
        <w:rPr>
          <w:rFonts w:eastAsia="Times New Roman" w:cs="Times New Roman"/>
          <w:color w:val="4A4A4A"/>
          <w:sz w:val="21"/>
          <w:szCs w:val="21"/>
          <w:lang w:eastAsia="en-GB"/>
        </w:rPr>
        <w:t xml:space="preserve"> Standards for Plant Genetic Resources for Food and Agriculture (accessible at </w:t>
      </w:r>
      <w:hyperlink r:id="rId11" w:history="1">
        <w:r>
          <w:rPr>
            <w:rStyle w:val="Hyperlink"/>
            <w:rFonts w:eastAsia="Times New Roman" w:cs="Times New Roman"/>
            <w:sz w:val="21"/>
            <w:szCs w:val="21"/>
            <w:lang w:eastAsia="en-GB"/>
          </w:rPr>
          <w:t>http://www.fao.org/documents/card/en/c/7b79ee93-0f3c-5f58-9adc-5d4ef063f9c7/</w:t>
        </w:r>
      </w:hyperlink>
      <w:r>
        <w:rPr>
          <w:rFonts w:eastAsia="Times New Roman" w:cs="Times New Roman"/>
          <w:color w:val="4A4A4A"/>
          <w:sz w:val="21"/>
          <w:szCs w:val="21"/>
          <w:lang w:eastAsia="en-GB"/>
        </w:rPr>
        <w:t>), set the benchmark for current scientific and technical best practices for conserving plant genetic resources, and support key international policy instruments for the conservation and use of plant genetic resources. These voluntary standards have been endorsed by the FAO Commission on Genetic Resources for Food and Agriculture at its Fourteenth Regular Session (</w:t>
      </w:r>
      <w:hyperlink r:id="rId12" w:history="1">
        <w:r>
          <w:rPr>
            <w:rStyle w:val="Hyperlink"/>
            <w:rFonts w:eastAsia="Times New Roman" w:cs="Times New Roman"/>
            <w:sz w:val="21"/>
            <w:szCs w:val="21"/>
            <w:lang w:eastAsia="en-GB"/>
          </w:rPr>
          <w:t>http://www.fao.org/docrep/meeting/028/mg538e.pdf</w:t>
        </w:r>
      </w:hyperlink>
      <w:r>
        <w:rPr>
          <w:rFonts w:eastAsia="Times New Roman" w:cs="Times New Roman"/>
          <w:color w:val="4A4A4A"/>
          <w:sz w:val="21"/>
          <w:szCs w:val="21"/>
          <w:lang w:eastAsia="en-GB"/>
        </w:rPr>
        <w:t xml:space="preserve">). </w:t>
      </w:r>
    </w:p>
    <w:p w14:paraId="6E54D3D6" w14:textId="57B9B8DD" w:rsidR="00EC2915" w:rsidRDefault="00EC2915" w:rsidP="00676AA2">
      <w:pPr>
        <w:shd w:val="clear" w:color="auto" w:fill="FFFFFF"/>
        <w:spacing w:after="0"/>
      </w:pPr>
    </w:p>
    <w:p w14:paraId="4C7A2AC2"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4473F4AB" w14:textId="56DB3E39"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Plant genetic resources for food and agriculture (PGRFA): Any genetic material of plant origin of actual or potential value for food and agriculture.</w:t>
      </w:r>
    </w:p>
    <w:p w14:paraId="2F7E1B90" w14:textId="33EEEA19" w:rsidR="00370590" w:rsidRDefault="00370590" w:rsidP="00370590">
      <w:pPr>
        <w:shd w:val="clear" w:color="auto" w:fill="FFFFFF"/>
        <w:spacing w:after="0"/>
        <w:rPr>
          <w:rFonts w:eastAsia="Times New Roman" w:cs="Times New Roman"/>
          <w:color w:val="4A4A4A"/>
          <w:sz w:val="21"/>
          <w:szCs w:val="21"/>
          <w:lang w:eastAsia="en-GB"/>
        </w:rPr>
      </w:pPr>
    </w:p>
    <w:p w14:paraId="13F43C2E" w14:textId="4EAF4F31"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Accession: An accession is defined as a sample of seeds, planting materials or plants representing either a wild population, a landrace, a breeding line or an improved cultivar, which is conserved in a </w:t>
      </w:r>
      <w:proofErr w:type="spellStart"/>
      <w:r>
        <w:rPr>
          <w:rFonts w:eastAsia="Times New Roman" w:cs="Times New Roman"/>
          <w:color w:val="4A4A4A"/>
          <w:sz w:val="21"/>
          <w:szCs w:val="21"/>
          <w:lang w:eastAsia="en-GB"/>
        </w:rPr>
        <w:t>genebank</w:t>
      </w:r>
      <w:proofErr w:type="spellEnd"/>
      <w:r>
        <w:rPr>
          <w:rFonts w:eastAsia="Times New Roman" w:cs="Times New Roman"/>
          <w:color w:val="4A4A4A"/>
          <w:sz w:val="21"/>
          <w:szCs w:val="21"/>
          <w:lang w:eastAsia="en-GB"/>
        </w:rPr>
        <w:t>. Each accession should be distinct and, in terms of genetic integrity, as close as possible to the sample provided originally.</w:t>
      </w:r>
    </w:p>
    <w:p w14:paraId="1BB57486" w14:textId="367DF2A7" w:rsidR="00370590" w:rsidRDefault="00370590" w:rsidP="00370590">
      <w:pPr>
        <w:shd w:val="clear" w:color="auto" w:fill="FFFFFF"/>
        <w:spacing w:after="0"/>
        <w:rPr>
          <w:rFonts w:eastAsia="Times New Roman" w:cs="Times New Roman"/>
          <w:color w:val="4A4A4A"/>
          <w:sz w:val="21"/>
          <w:szCs w:val="21"/>
          <w:lang w:eastAsia="en-GB"/>
        </w:rPr>
      </w:pPr>
    </w:p>
    <w:p w14:paraId="1B43FAEB" w14:textId="4D2D68B8"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Base collection: A base collection is defined as a set of unique accessions to be preserved for a medium to long-term period.</w:t>
      </w:r>
    </w:p>
    <w:p w14:paraId="19FDD2BB" w14:textId="62174697" w:rsidR="00370590" w:rsidRDefault="00370590" w:rsidP="00370590">
      <w:pPr>
        <w:shd w:val="clear" w:color="auto" w:fill="FFFFFF"/>
        <w:spacing w:after="0"/>
        <w:rPr>
          <w:rFonts w:eastAsia="Times New Roman" w:cs="Times New Roman"/>
          <w:color w:val="4A4A4A"/>
          <w:sz w:val="21"/>
          <w:szCs w:val="21"/>
          <w:lang w:eastAsia="en-GB"/>
        </w:rPr>
      </w:pPr>
    </w:p>
    <w:p w14:paraId="3989FCBE" w14:textId="1645DB7B"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Active collection: An active collection is defined as a set of distinct accessions that is used for regeneration, multiplication, distribution, characterization and evaluation. Active collections are maintained in short to medium-term storage and usually duplicated in a base collection. </w:t>
      </w:r>
    </w:p>
    <w:p w14:paraId="7DB1D053" w14:textId="1101CBC3" w:rsidR="00370590" w:rsidRDefault="00370590" w:rsidP="00370590">
      <w:pPr>
        <w:shd w:val="clear" w:color="auto" w:fill="FFFFFF"/>
        <w:spacing w:after="0"/>
        <w:rPr>
          <w:rFonts w:eastAsia="Times New Roman" w:cs="Times New Roman"/>
          <w:color w:val="4A4A4A"/>
          <w:sz w:val="21"/>
          <w:szCs w:val="21"/>
          <w:lang w:eastAsia="en-GB"/>
        </w:rPr>
      </w:pPr>
    </w:p>
    <w:p w14:paraId="2991EF0C" w14:textId="487888B4" w:rsidR="00370590" w:rsidRDefault="00263058"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Medium- or long-term</w:t>
      </w:r>
      <w:r w:rsidR="00370590">
        <w:rPr>
          <w:rFonts w:eastAsia="Times New Roman" w:cs="Times New Roman"/>
          <w:color w:val="4A4A4A"/>
          <w:sz w:val="21"/>
          <w:szCs w:val="21"/>
          <w:lang w:eastAsia="en-GB"/>
        </w:rPr>
        <w:t xml:space="preserve"> conservation facilities: Biological diversity is often conserved </w:t>
      </w:r>
      <w:r w:rsidR="00370590">
        <w:rPr>
          <w:rFonts w:eastAsia="Times New Roman" w:cs="Times New Roman"/>
          <w:i/>
          <w:color w:val="4A4A4A"/>
          <w:sz w:val="21"/>
          <w:szCs w:val="21"/>
          <w:lang w:eastAsia="en-GB"/>
        </w:rPr>
        <w:t>ex situ</w:t>
      </w:r>
      <w:r w:rsidR="00370590">
        <w:rPr>
          <w:rFonts w:eastAsia="Times New Roman" w:cs="Times New Roman"/>
          <w:color w:val="4A4A4A"/>
          <w:sz w:val="21"/>
          <w:szCs w:val="21"/>
          <w:lang w:eastAsia="en-GB"/>
        </w:rPr>
        <w:t xml:space="preserve">, outside its natural habitat, in facilities called </w:t>
      </w:r>
      <w:proofErr w:type="spellStart"/>
      <w:r w:rsidR="00370590">
        <w:rPr>
          <w:rFonts w:eastAsia="Times New Roman" w:cs="Times New Roman"/>
          <w:color w:val="4A4A4A"/>
          <w:sz w:val="21"/>
          <w:szCs w:val="21"/>
          <w:lang w:eastAsia="en-GB"/>
        </w:rPr>
        <w:t>genebanks</w:t>
      </w:r>
      <w:proofErr w:type="spellEnd"/>
      <w:r w:rsidR="00370590">
        <w:rPr>
          <w:rFonts w:eastAsia="Times New Roman" w:cs="Times New Roman"/>
          <w:color w:val="4A4A4A"/>
          <w:sz w:val="21"/>
          <w:szCs w:val="21"/>
          <w:lang w:eastAsia="en-GB"/>
        </w:rPr>
        <w:t xml:space="preserve">. In the case of plant genetic resources, </w:t>
      </w:r>
      <w:proofErr w:type="spellStart"/>
      <w:r w:rsidR="00370590">
        <w:rPr>
          <w:rFonts w:eastAsia="Times New Roman" w:cs="Times New Roman"/>
          <w:color w:val="4A4A4A"/>
          <w:sz w:val="21"/>
          <w:szCs w:val="21"/>
          <w:lang w:eastAsia="en-GB"/>
        </w:rPr>
        <w:t>genebanks</w:t>
      </w:r>
      <w:proofErr w:type="spellEnd"/>
      <w:r w:rsidR="00370590">
        <w:rPr>
          <w:rFonts w:eastAsia="Times New Roman" w:cs="Times New Roman"/>
          <w:color w:val="4A4A4A"/>
          <w:sz w:val="21"/>
          <w:szCs w:val="21"/>
          <w:lang w:eastAsia="en-GB"/>
        </w:rPr>
        <w:t xml:space="preserve"> conserve base collections under </w:t>
      </w:r>
      <w:r>
        <w:rPr>
          <w:rFonts w:eastAsia="Times New Roman" w:cs="Times New Roman"/>
          <w:color w:val="4A4A4A"/>
          <w:sz w:val="21"/>
          <w:szCs w:val="21"/>
          <w:lang w:eastAsia="en-GB"/>
        </w:rPr>
        <w:t>medium- or long-term</w:t>
      </w:r>
      <w:r w:rsidR="00370590">
        <w:rPr>
          <w:rFonts w:eastAsia="Times New Roman" w:cs="Times New Roman"/>
          <w:color w:val="4A4A4A"/>
          <w:sz w:val="21"/>
          <w:szCs w:val="21"/>
          <w:lang w:eastAsia="en-GB"/>
        </w:rPr>
        <w:t xml:space="preserve"> storage conditions, in the form of seeds in cold rooms, plants in the field and tissues </w:t>
      </w:r>
      <w:r w:rsidR="00370590">
        <w:rPr>
          <w:rFonts w:eastAsia="Times New Roman" w:cs="Times New Roman"/>
          <w:i/>
          <w:color w:val="4A4A4A"/>
          <w:sz w:val="21"/>
          <w:szCs w:val="21"/>
          <w:lang w:eastAsia="en-GB"/>
        </w:rPr>
        <w:t>in vitro</w:t>
      </w:r>
      <w:r w:rsidR="00370590">
        <w:rPr>
          <w:rFonts w:eastAsia="Times New Roman" w:cs="Times New Roman"/>
          <w:color w:val="4A4A4A"/>
          <w:sz w:val="21"/>
          <w:szCs w:val="21"/>
          <w:lang w:eastAsia="en-GB"/>
        </w:rPr>
        <w:t xml:space="preserve"> and/or </w:t>
      </w:r>
      <w:proofErr w:type="spellStart"/>
      <w:r w:rsidR="00370590">
        <w:rPr>
          <w:rFonts w:eastAsia="Times New Roman" w:cs="Times New Roman"/>
          <w:color w:val="4A4A4A"/>
          <w:sz w:val="21"/>
          <w:szCs w:val="21"/>
          <w:lang w:eastAsia="en-GB"/>
        </w:rPr>
        <w:t>cryoconserved</w:t>
      </w:r>
      <w:proofErr w:type="spellEnd"/>
      <w:r w:rsidR="00370590">
        <w:rPr>
          <w:rFonts w:eastAsia="Times New Roman" w:cs="Times New Roman"/>
          <w:color w:val="4A4A4A"/>
          <w:sz w:val="21"/>
          <w:szCs w:val="21"/>
          <w:lang w:eastAsia="en-GB"/>
        </w:rPr>
        <w:t xml:space="preserve">. </w:t>
      </w:r>
    </w:p>
    <w:p w14:paraId="7EA98CAF" w14:textId="77777777" w:rsidR="00370590" w:rsidRPr="00A96255" w:rsidRDefault="00370590"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E046A97" w14:textId="132E4FE7" w:rsidR="00EF463D" w:rsidRPr="00A96255" w:rsidRDefault="00594DDC" w:rsidP="00594DDC">
      <w:pPr>
        <w:pStyle w:val="MText"/>
      </w:pPr>
      <w:r>
        <w:t>Number</w:t>
      </w:r>
      <w:r w:rsidRPr="00594DDC">
        <w:t xml:space="preserve"> of unique accessions of plant genetic resources secured in medium to long-term conservation facilities, where an ‘accession’ is defined as a distinct sample of seeds, planting materials or plants wh</w:t>
      </w:r>
      <w:r>
        <w:t xml:space="preserve">ich is maintained in a </w:t>
      </w:r>
      <w:proofErr w:type="spellStart"/>
      <w:r>
        <w:t>genebank</w:t>
      </w:r>
      <w:proofErr w:type="spellEnd"/>
      <w:r>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62C09D3" w14:textId="35965F1C" w:rsidR="00EE5054" w:rsidRDefault="00594DDC" w:rsidP="00594DDC">
      <w:pPr>
        <w:shd w:val="clear" w:color="auto" w:fill="FFFFFF"/>
        <w:spacing w:after="0"/>
        <w:rPr>
          <w:rFonts w:eastAsia="Times New Roman" w:cs="Times New Roman"/>
          <w:color w:val="4A4A4A"/>
          <w:sz w:val="21"/>
          <w:szCs w:val="21"/>
          <w:lang w:eastAsia="en-GB"/>
        </w:rPr>
      </w:pPr>
      <w:proofErr w:type="spellStart"/>
      <w:r w:rsidRPr="00676AA2">
        <w:rPr>
          <w:rStyle w:val="MTextChar"/>
          <w:rFonts w:eastAsiaTheme="minorEastAsia"/>
        </w:rPr>
        <w:t>Genebank</w:t>
      </w:r>
      <w:proofErr w:type="spellEnd"/>
      <w:r w:rsidRPr="00676AA2">
        <w:rPr>
          <w:rStyle w:val="MTextChar"/>
          <w:rFonts w:eastAsiaTheme="minorEastAsia"/>
        </w:rPr>
        <w:t xml:space="preserve"> Standards for Plant Genetic Resources for Food and Agriculture (accessible at</w:t>
      </w:r>
      <w:r w:rsidRPr="00594DDC">
        <w:t xml:space="preserve"> </w:t>
      </w:r>
      <w:hyperlink r:id="rId13" w:history="1">
        <w:r w:rsidRPr="00676AA2">
          <w:rPr>
            <w:rStyle w:val="MTextChar"/>
            <w:rFonts w:eastAsiaTheme="minorEastAsia"/>
          </w:rPr>
          <w:t>http://www.fao.org/documents/card/en/c/7b79ee93-0f3c-5f58-9adc-5d4ef063f9c7/</w:t>
        </w:r>
      </w:hyperlink>
      <w:r w:rsidRPr="00676AA2">
        <w:rPr>
          <w:rStyle w:val="MTextChar"/>
          <w:rFonts w:eastAsiaTheme="minorEastAsia"/>
        </w:rPr>
        <w:t xml:space="preserve">), set the benchmark for current scientific and technical best practices for conserving plant genetic resources, and support key </w:t>
      </w:r>
      <w:r w:rsidRPr="00676AA2">
        <w:rPr>
          <w:rStyle w:val="MTextChar"/>
          <w:rFonts w:eastAsiaTheme="minorEastAsia"/>
        </w:rPr>
        <w:lastRenderedPageBreak/>
        <w:t>international policy instruments for the conservation and use of plant genetic resources. These voluntary standards have been endorsed by the FAO Commission on Genetic Resources for Food and Agriculture at its Fourteenth Regular Session (</w:t>
      </w:r>
      <w:hyperlink r:id="rId14" w:history="1">
        <w:r w:rsidRPr="007F0E7F">
          <w:rPr>
            <w:rStyle w:val="Hyperlink"/>
            <w:sz w:val="21"/>
            <w:szCs w:val="21"/>
          </w:rPr>
          <w:t>http://www.fao.org/docrep/meeting/028/mg538e.pdf</w:t>
        </w:r>
      </w:hyperlink>
      <w:r w:rsidRPr="00676AA2">
        <w:rPr>
          <w:rStyle w:val="MTextChar"/>
          <w:rFonts w:eastAsiaTheme="minorEastAsia"/>
        </w:rPr>
        <w:t xml:space="preserv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34381DA" w14:textId="117E49DE"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are sourced from officially appointed National Focal Points (NFP</w:t>
      </w:r>
      <w:r w:rsidR="000569D3">
        <w:rPr>
          <w:rFonts w:eastAsia="Times New Roman" w:cs="Times New Roman"/>
          <w:color w:val="4A4A4A"/>
          <w:sz w:val="21"/>
          <w:szCs w:val="21"/>
          <w:lang w:eastAsia="en-GB"/>
        </w:rPr>
        <w:t>s</w:t>
      </w:r>
      <w:r>
        <w:rPr>
          <w:rFonts w:eastAsia="Times New Roman" w:cs="Times New Roman"/>
          <w:color w:val="4A4A4A"/>
          <w:sz w:val="21"/>
          <w:szCs w:val="21"/>
          <w:lang w:eastAsia="en-GB"/>
        </w:rPr>
        <w:t xml:space="preserve">) (see </w:t>
      </w:r>
      <w:hyperlink r:id="rId15" w:history="1">
        <w:r>
          <w:rPr>
            <w:rStyle w:val="Hyperlink"/>
            <w:rFonts w:eastAsia="Times New Roman" w:cs="Times New Roman"/>
            <w:sz w:val="21"/>
            <w:szCs w:val="21"/>
            <w:lang w:eastAsia="en-GB"/>
          </w:rPr>
          <w:t>http://www.fao.org/agriculture/crops/thematic-sitemap/theme/seeds-pgr/gpa/national-focal-points/en/</w:t>
        </w:r>
      </w:hyperlink>
      <w:r>
        <w:rPr>
          <w:rFonts w:eastAsia="Times New Roman" w:cs="Times New Roman"/>
          <w:color w:val="4A4A4A"/>
          <w:sz w:val="21"/>
          <w:szCs w:val="21"/>
          <w:lang w:eastAsia="en-GB"/>
        </w:rPr>
        <w:t xml:space="preserve">) and regional and international agricultural research centres holding PGRFA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xml:space="preserve"> collections. Data providers report either (</w:t>
      </w:r>
      <w:proofErr w:type="spellStart"/>
      <w:r>
        <w:rPr>
          <w:rFonts w:eastAsia="Times New Roman" w:cs="Times New Roman"/>
          <w:color w:val="4A4A4A"/>
          <w:sz w:val="21"/>
          <w:szCs w:val="21"/>
          <w:lang w:eastAsia="en-GB"/>
        </w:rPr>
        <w:t>i</w:t>
      </w:r>
      <w:proofErr w:type="spellEnd"/>
      <w:r>
        <w:rPr>
          <w:rFonts w:eastAsia="Times New Roman" w:cs="Times New Roman"/>
          <w:color w:val="4A4A4A"/>
          <w:sz w:val="21"/>
          <w:szCs w:val="21"/>
          <w:lang w:eastAsia="en-GB"/>
        </w:rPr>
        <w:t>) directly to FAO by using the spreadsheet contained in document List of descriptors for reporting on the Plant Component of SDG indicator 2.5.1 (see References) accessible from the WIEWS home page (</w:t>
      </w:r>
      <w:hyperlink r:id="rId16" w:history="1">
        <w:r>
          <w:rPr>
            <w:rStyle w:val="Hyperlink"/>
            <w:rFonts w:eastAsia="Times New Roman" w:cs="Times New Roman"/>
            <w:sz w:val="21"/>
            <w:szCs w:val="21"/>
            <w:lang w:eastAsia="en-GB"/>
          </w:rPr>
          <w:t>http://www.fao.org/wiews</w:t>
        </w:r>
      </w:hyperlink>
      <w:r>
        <w:rPr>
          <w:rFonts w:eastAsia="Times New Roman" w:cs="Times New Roman"/>
          <w:color w:val="4A4A4A"/>
          <w:sz w:val="21"/>
          <w:szCs w:val="21"/>
          <w:lang w:eastAsia="en-GB"/>
        </w:rPr>
        <w:t>) or (ii) through published information systems which comply with the standard of the FAO/</w:t>
      </w:r>
      <w:proofErr w:type="spellStart"/>
      <w:r>
        <w:rPr>
          <w:rFonts w:eastAsia="Times New Roman" w:cs="Times New Roman"/>
          <w:color w:val="4A4A4A"/>
          <w:sz w:val="21"/>
          <w:szCs w:val="21"/>
          <w:lang w:eastAsia="en-GB"/>
        </w:rPr>
        <w:t>Bioversity</w:t>
      </w:r>
      <w:proofErr w:type="spellEnd"/>
      <w:r>
        <w:rPr>
          <w:rFonts w:eastAsia="Times New Roman" w:cs="Times New Roman"/>
          <w:color w:val="4A4A4A"/>
          <w:sz w:val="21"/>
          <w:szCs w:val="21"/>
          <w:lang w:eastAsia="en-GB"/>
        </w:rPr>
        <w:t xml:space="preserve"> Multi-crop Passport Descriptor List (MCPD) v. 2 (see References), e.g. EURISCO (</w:t>
      </w:r>
      <w:hyperlink r:id="rId17" w:history="1">
        <w:r>
          <w:rPr>
            <w:rStyle w:val="Hyperlink"/>
            <w:rFonts w:eastAsia="Times New Roman" w:cs="Times New Roman"/>
            <w:sz w:val="21"/>
            <w:szCs w:val="21"/>
            <w:lang w:eastAsia="en-GB"/>
          </w:rPr>
          <w:t>http://eurisco.ipk-gatersleben.de/</w:t>
        </w:r>
      </w:hyperlink>
      <w:r>
        <w:rPr>
          <w:rFonts w:eastAsia="Times New Roman" w:cs="Times New Roman"/>
          <w:color w:val="4A4A4A"/>
          <w:sz w:val="21"/>
          <w:szCs w:val="21"/>
          <w:lang w:eastAsia="en-GB"/>
        </w:rPr>
        <w:t>) and Genesys (</w:t>
      </w:r>
      <w:hyperlink r:id="rId18" w:history="1">
        <w:r>
          <w:rPr>
            <w:rStyle w:val="Hyperlink"/>
            <w:rFonts w:eastAsia="Times New Roman" w:cs="Times New Roman"/>
            <w:sz w:val="21"/>
            <w:szCs w:val="21"/>
            <w:lang w:eastAsia="en-GB"/>
          </w:rPr>
          <w:t>https://www.genesys-pgr.org</w:t>
        </w:r>
      </w:hyperlink>
      <w:r>
        <w:rPr>
          <w:rFonts w:eastAsia="Times New Roman" w:cs="Times New Roman"/>
          <w:color w:val="4A4A4A"/>
          <w:sz w:val="21"/>
          <w:szCs w:val="21"/>
          <w:lang w:eastAsia="en-GB"/>
        </w:rPr>
        <w:t xml:space="preserve">). </w:t>
      </w:r>
    </w:p>
    <w:p w14:paraId="1FD942CB" w14:textId="42CBF577" w:rsidR="00370590" w:rsidRDefault="00370590" w:rsidP="00370590">
      <w:pPr>
        <w:shd w:val="clear" w:color="auto" w:fill="FFFFFF"/>
        <w:spacing w:after="0"/>
        <w:rPr>
          <w:rFonts w:eastAsia="Times New Roman" w:cs="Times New Roman"/>
          <w:color w:val="4A4A4A"/>
          <w:sz w:val="21"/>
          <w:szCs w:val="21"/>
          <w:lang w:eastAsia="en-GB"/>
        </w:rPr>
      </w:pPr>
    </w:p>
    <w:p w14:paraId="6CE41ADE" w14:textId="40D74578"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are stored in the World Information and Early Warning System for plant genetic resources for food and agriculture (WIEWS - </w:t>
      </w:r>
      <w:hyperlink r:id="rId19" w:history="1">
        <w:r>
          <w:rPr>
            <w:rStyle w:val="Hyperlink"/>
            <w:rFonts w:eastAsia="Times New Roman" w:cs="Times New Roman"/>
            <w:sz w:val="21"/>
            <w:szCs w:val="21"/>
            <w:lang w:eastAsia="en-GB"/>
          </w:rPr>
          <w:t>http://www.fao.org/wiews</w:t>
        </w:r>
      </w:hyperlink>
      <w:r>
        <w:rPr>
          <w:rFonts w:eastAsia="Times New Roman" w:cs="Times New Roman"/>
          <w:color w:val="4A4A4A"/>
          <w:sz w:val="21"/>
          <w:szCs w:val="21"/>
          <w:lang w:eastAsia="en-GB"/>
        </w:rPr>
        <w:t xml:space="preserve">), the FAO platform established to facilitate information exchange as well as periodic assessments of the state of the world’s plant genetic resources for food and agriculture.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155C649" w14:textId="70B7320B" w:rsidR="00370590" w:rsidRDefault="00370590" w:rsidP="00FC445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indicator is related to a monitoring framework endorsed by the FAO Commission on Genetic Resources for Food and Agriculture in which the status and trends of plant and animal genetic resources are described through globally agreed indicators and regular country-driven assessments. Officially appointed National Focal Points report directly to FAO, using a format agreed by the FAO Commission on Genetic Resources for Food and Agriculture.</w:t>
      </w:r>
    </w:p>
    <w:p w14:paraId="22A4A361" w14:textId="77777777" w:rsidR="00370590" w:rsidRDefault="00370590" w:rsidP="007F0E7F">
      <w:pPr>
        <w:pStyle w:val="NoSpacing"/>
        <w:rPr>
          <w:lang w:eastAsia="en-GB"/>
        </w:rPr>
      </w:pPr>
    </w:p>
    <w:p w14:paraId="5823FBC8" w14:textId="3F07CC01" w:rsidR="00576CFA" w:rsidRPr="00370590" w:rsidRDefault="00370590" w:rsidP="00FC445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Sessions of the intergovernmental technical working groups on plant genetic resources for food and agriculture allow for formal consultation processes.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51AD86AC" w14:textId="571B077B" w:rsidR="00370590" w:rsidRPr="00D55171" w:rsidRDefault="00370590" w:rsidP="00D5517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collection is undertaken on an annual basis in the context of the FAO Commission on Genetic resources for Food and Agriculture.</w:t>
      </w:r>
    </w:p>
    <w:p w14:paraId="01BA862E" w14:textId="77777777" w:rsidR="00EC2915" w:rsidRPr="00D55171" w:rsidRDefault="00EC2915" w:rsidP="00D55171">
      <w:pPr>
        <w:shd w:val="clear" w:color="auto" w:fill="FFFFFF"/>
        <w:spacing w:after="0"/>
        <w:rPr>
          <w:rFonts w:eastAsia="Times New Roman" w:cs="Times New Roman"/>
          <w:color w:val="4A4A4A"/>
          <w:sz w:val="21"/>
          <w:szCs w:val="21"/>
          <w:lang w:eastAsia="en-GB"/>
        </w:rPr>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19A19405" w14:textId="0627D757" w:rsidR="00370590" w:rsidRDefault="00370590" w:rsidP="00D5517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First quarter of the year.</w:t>
      </w:r>
    </w:p>
    <w:p w14:paraId="64C749BD" w14:textId="77777777" w:rsidR="00EC2915" w:rsidRPr="00D55171" w:rsidRDefault="00EC2915" w:rsidP="00D55171">
      <w:pPr>
        <w:shd w:val="clear" w:color="auto" w:fill="FFFFFF"/>
        <w:spacing w:after="0"/>
        <w:rPr>
          <w:rFonts w:eastAsia="Times New Roman" w:cs="Times New Roman"/>
          <w:color w:val="4A4A4A"/>
          <w:sz w:val="21"/>
          <w:szCs w:val="21"/>
          <w:lang w:eastAsia="en-GB"/>
        </w:rPr>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4512F1D0" w:rsidR="00576CFA" w:rsidRPr="00370590" w:rsidRDefault="00370590" w:rsidP="00FC445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officially nominated National Focal Points and managers of regional/international </w:t>
      </w:r>
      <w:proofErr w:type="spellStart"/>
      <w:r>
        <w:rPr>
          <w:rFonts w:eastAsia="Times New Roman" w:cs="Times New Roman"/>
          <w:color w:val="4A4A4A"/>
          <w:sz w:val="21"/>
          <w:szCs w:val="21"/>
          <w:lang w:eastAsia="en-GB"/>
        </w:rPr>
        <w:t>genebanks</w:t>
      </w:r>
      <w:proofErr w:type="spellEnd"/>
      <w:r>
        <w:rPr>
          <w:rFonts w:eastAsia="Times New Roman" w:cs="Times New Roman"/>
          <w:color w:val="4A4A4A"/>
          <w:sz w:val="21"/>
          <w:szCs w:val="21"/>
          <w:lang w:eastAsia="en-GB"/>
        </w:rPr>
        <w:t xml:space="preserve">. For information by country see for plant genetic resources </w:t>
      </w:r>
      <w:hyperlink r:id="rId20" w:history="1">
        <w:r>
          <w:rPr>
            <w:rStyle w:val="Hyperlink"/>
            <w:rFonts w:eastAsia="Times New Roman" w:cs="Times New Roman"/>
            <w:sz w:val="21"/>
            <w:szCs w:val="21"/>
            <w:lang w:eastAsia="en-GB"/>
          </w:rPr>
          <w:t>http://www.fao.org/agriculture/crops/thematic-sitemap/theme/seeds-pgr/gpa/national-focal-points/en/</w:t>
        </w:r>
      </w:hyperlink>
      <w:r w:rsidR="00FC445A">
        <w:rPr>
          <w:rStyle w:val="Hyperlink"/>
          <w:rFonts w:eastAsia="Times New Roman" w:cs="Times New Roman"/>
          <w:sz w:val="21"/>
          <w:szCs w:val="21"/>
          <w:lang w:eastAsia="en-GB"/>
        </w:rPr>
        <w:t>.</w:t>
      </w:r>
      <w:r>
        <w:rPr>
          <w:rFonts w:eastAsia="Times New Roman" w:cs="Times New Roman"/>
          <w:color w:val="4A4A4A"/>
          <w:sz w:val="21"/>
          <w:szCs w:val="21"/>
          <w:lang w:eastAsia="en-GB"/>
        </w:rPr>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lastRenderedPageBreak/>
        <w:t xml:space="preserve">3.f. Data compilers </w:t>
      </w:r>
      <w:r>
        <w:rPr>
          <w:color w:val="B4B4B4"/>
          <w:sz w:val="20"/>
        </w:rPr>
        <w:t>(COMPILING_ORG)</w:t>
      </w:r>
    </w:p>
    <w:p w14:paraId="605E8F9D" w14:textId="59E50219" w:rsidR="00576CFA" w:rsidRPr="00A96255" w:rsidRDefault="00370590" w:rsidP="00576CFA">
      <w:pPr>
        <w:pStyle w:val="MText"/>
      </w:pPr>
      <w:r>
        <w:t>Food and Agriculture Organization of the United Nations (FAO)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02D3A2AA" w:rsidR="00EC2915" w:rsidRDefault="00EE5054" w:rsidP="00D07D64">
      <w:pPr>
        <w:pStyle w:val="MText"/>
      </w:pPr>
      <w:r>
        <w:t xml:space="preserve">The National </w:t>
      </w:r>
      <w:r w:rsidR="00FC445A">
        <w:t xml:space="preserve">Focal Points for Plant </w:t>
      </w:r>
      <w:r>
        <w:t xml:space="preserve">Genetic Resources are responsible for the provision of national data </w:t>
      </w:r>
      <w:r w:rsidR="00FC445A">
        <w:t xml:space="preserve">on </w:t>
      </w:r>
      <w:r>
        <w:t xml:space="preserve">the indicator. Their Terms of Reference have been </w:t>
      </w:r>
      <w:r w:rsidR="00D07D64">
        <w:t xml:space="preserve">detailed in Circular State Letters asking country to report through their National Focal Points (see </w:t>
      </w:r>
      <w:hyperlink r:id="rId21" w:history="1">
        <w:r w:rsidR="00D07D64" w:rsidRPr="00627CB5">
          <w:rPr>
            <w:rStyle w:val="Hyperlink"/>
          </w:rPr>
          <w:t>http://www.fao.org/agriculture/crops/thematic-sitemap/theme/seeds-pgr/gpa/national-focal-points/en/</w:t>
        </w:r>
      </w:hyperlink>
      <w:r w:rsidR="00D07D64">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CFD2CC4"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Genetic resources for food and agriculture provide the building blocks of food security and, directly or indirectly, support the livelihoods of every person on earth. As the conservation and accessibility to these resources are of vital importance, medium- or long- term conservation facilities (</w:t>
      </w:r>
      <w:proofErr w:type="spellStart"/>
      <w:r>
        <w:rPr>
          <w:rFonts w:eastAsia="Times New Roman" w:cs="Times New Roman"/>
          <w:color w:val="4A4A4A"/>
          <w:sz w:val="21"/>
          <w:szCs w:val="21"/>
          <w:lang w:eastAsia="en-GB"/>
        </w:rPr>
        <w:t>genebanks</w:t>
      </w:r>
      <w:proofErr w:type="spellEnd"/>
      <w:r>
        <w:rPr>
          <w:rFonts w:eastAsia="Times New Roman" w:cs="Times New Roman"/>
          <w:color w:val="4A4A4A"/>
          <w:sz w:val="21"/>
          <w:szCs w:val="21"/>
          <w:lang w:eastAsia="en-GB"/>
        </w:rPr>
        <w:t xml:space="preserve">) to preserve and make these resources and their associated information accessible for breeding and research have been established at country, regional and global levels. Inventories of </w:t>
      </w:r>
      <w:proofErr w:type="spellStart"/>
      <w:r>
        <w:rPr>
          <w:rFonts w:eastAsia="Times New Roman" w:cs="Times New Roman"/>
          <w:color w:val="4A4A4A"/>
          <w:sz w:val="21"/>
          <w:szCs w:val="21"/>
          <w:lang w:eastAsia="en-GB"/>
        </w:rPr>
        <w:t>genebank</w:t>
      </w:r>
      <w:proofErr w:type="spellEnd"/>
      <w:r>
        <w:rPr>
          <w:rFonts w:eastAsia="Times New Roman" w:cs="Times New Roman"/>
          <w:color w:val="4A4A4A"/>
          <w:sz w:val="21"/>
          <w:szCs w:val="21"/>
          <w:lang w:eastAsia="en-GB"/>
        </w:rPr>
        <w:t xml:space="preserve"> holdings provide a dynamic measure of the existing plant and animal diversity and its level of preservation. Data relevant to this indicator facilitate the monitoring of diversity secured and accessible through </w:t>
      </w:r>
      <w:proofErr w:type="spellStart"/>
      <w:r>
        <w:rPr>
          <w:rFonts w:eastAsia="Times New Roman" w:cs="Times New Roman"/>
          <w:color w:val="4A4A4A"/>
          <w:sz w:val="21"/>
          <w:szCs w:val="21"/>
          <w:lang w:eastAsia="en-GB"/>
        </w:rPr>
        <w:t>genebanks</w:t>
      </w:r>
      <w:proofErr w:type="spellEnd"/>
      <w:r>
        <w:rPr>
          <w:rFonts w:eastAsia="Times New Roman" w:cs="Times New Roman"/>
          <w:color w:val="4A4A4A"/>
          <w:sz w:val="21"/>
          <w:szCs w:val="21"/>
          <w:lang w:eastAsia="en-GB"/>
        </w:rPr>
        <w:t xml:space="preserve"> and support the development and updating of strategies for the conservation and sustainable use of genetic resources.</w:t>
      </w:r>
    </w:p>
    <w:p w14:paraId="37AB0B15" w14:textId="77777777" w:rsidR="00370590" w:rsidRDefault="00370590" w:rsidP="00370590">
      <w:pPr>
        <w:shd w:val="clear" w:color="auto" w:fill="FFFFFF"/>
        <w:spacing w:after="0"/>
        <w:rPr>
          <w:rFonts w:eastAsia="Times New Roman" w:cs="Times New Roman"/>
          <w:color w:val="4A4A4A"/>
          <w:sz w:val="21"/>
          <w:szCs w:val="21"/>
          <w:lang w:eastAsia="en-GB"/>
        </w:rPr>
      </w:pPr>
    </w:p>
    <w:p w14:paraId="37D50117"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is related to a monitoring framework endorsed by the FAO Commission on Genetic Resources for Food and Agriculture in which the status and trends of plant and animal genetic resources are described through globally agreed indicators and regular country-driven assessments. </w:t>
      </w:r>
    </w:p>
    <w:p w14:paraId="0197AEBE" w14:textId="77777777" w:rsidR="00370590" w:rsidRDefault="00370590" w:rsidP="00370590">
      <w:pPr>
        <w:shd w:val="clear" w:color="auto" w:fill="FFFFFF"/>
        <w:spacing w:after="0"/>
        <w:rPr>
          <w:rFonts w:eastAsia="Times New Roman" w:cs="Times New Roman"/>
          <w:color w:val="4A4A4A"/>
          <w:sz w:val="21"/>
          <w:szCs w:val="21"/>
          <w:lang w:eastAsia="en-GB"/>
        </w:rPr>
      </w:pPr>
    </w:p>
    <w:p w14:paraId="33176B44"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number of materials conserved under medium- or long-term storage conditions provides an indirect measurement of the total genetic diversity, which are managed to secure for future use. Overall, positive variations are therefore approximated to an increase in the </w:t>
      </w:r>
      <w:proofErr w:type="spellStart"/>
      <w:proofErr w:type="gramStart"/>
      <w:r>
        <w:rPr>
          <w:rFonts w:eastAsia="Times New Roman" w:cs="Times New Roman"/>
          <w:color w:val="4A4A4A"/>
          <w:sz w:val="21"/>
          <w:szCs w:val="21"/>
          <w:lang w:eastAsia="en-GB"/>
        </w:rPr>
        <w:t>agro</w:t>
      </w:r>
      <w:proofErr w:type="spellEnd"/>
      <w:r>
        <w:rPr>
          <w:rFonts w:eastAsia="Times New Roman" w:cs="Times New Roman"/>
          <w:color w:val="4A4A4A"/>
          <w:sz w:val="21"/>
          <w:szCs w:val="21"/>
          <w:lang w:eastAsia="en-GB"/>
        </w:rPr>
        <w:t>-biodiversity</w:t>
      </w:r>
      <w:proofErr w:type="gramEnd"/>
      <w:r>
        <w:rPr>
          <w:rFonts w:eastAsia="Times New Roman" w:cs="Times New Roman"/>
          <w:color w:val="4A4A4A"/>
          <w:sz w:val="21"/>
          <w:szCs w:val="21"/>
          <w:lang w:eastAsia="en-GB"/>
        </w:rPr>
        <w:t xml:space="preserve"> secured, while negative variations to a loss of it. </w:t>
      </w:r>
    </w:p>
    <w:p w14:paraId="247AEB0B" w14:textId="77777777" w:rsidR="00370590" w:rsidRDefault="00370590" w:rsidP="00370590">
      <w:pPr>
        <w:shd w:val="clear" w:color="auto" w:fill="FFFFFF"/>
        <w:spacing w:after="0"/>
        <w:rPr>
          <w:rFonts w:eastAsia="Times New Roman" w:cs="Times New Roman"/>
          <w:color w:val="4A4A4A"/>
          <w:sz w:val="21"/>
          <w:szCs w:val="21"/>
          <w:lang w:eastAsia="en-GB"/>
        </w:rPr>
      </w:pPr>
    </w:p>
    <w:p w14:paraId="0AD7EEA2" w14:textId="418E517F" w:rsidR="00576CFA" w:rsidRP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Caution needs to be paid in the reporting and interpretation of the indicator. In the case of plant genetic resources, an uncontrolled addition of accessions that are in fact duplicates of samples already conserved and accounted for, or, </w:t>
      </w:r>
      <w:r>
        <w:rPr>
          <w:rFonts w:eastAsia="Times New Roman" w:cs="Times New Roman"/>
          <w:i/>
          <w:color w:val="4A4A4A"/>
          <w:sz w:val="21"/>
          <w:szCs w:val="21"/>
          <w:lang w:eastAsia="en-GB"/>
        </w:rPr>
        <w:t>vice versa</w:t>
      </w:r>
      <w:r>
        <w:rPr>
          <w:rFonts w:eastAsia="Times New Roman" w:cs="Times New Roman"/>
          <w:color w:val="4A4A4A"/>
          <w:sz w:val="21"/>
          <w:szCs w:val="21"/>
          <w:lang w:eastAsia="en-GB"/>
        </w:rPr>
        <w:t xml:space="preserve">, the deletion from the reported collections of redundant duplicates may lead to wrong interpretations. </w:t>
      </w:r>
      <w:proofErr w:type="gramStart"/>
      <w:r>
        <w:rPr>
          <w:rFonts w:eastAsia="Times New Roman" w:cs="Times New Roman"/>
          <w:color w:val="4A4A4A"/>
          <w:sz w:val="21"/>
          <w:szCs w:val="21"/>
          <w:lang w:eastAsia="en-GB"/>
        </w:rPr>
        <w:t>In order to</w:t>
      </w:r>
      <w:proofErr w:type="gramEnd"/>
      <w:r>
        <w:rPr>
          <w:rFonts w:eastAsia="Times New Roman" w:cs="Times New Roman"/>
          <w:color w:val="4A4A4A"/>
          <w:sz w:val="21"/>
          <w:szCs w:val="21"/>
          <w:lang w:eastAsia="en-GB"/>
        </w:rPr>
        <w:t xml:space="preserve"> avoid duplicate counting at the national level, primarily base collections should be reported. An active collection could be reported, only when, in the absence of a base collection, it also serves the function of the base </w:t>
      </w:r>
      <w:r w:rsidR="00263058">
        <w:rPr>
          <w:rFonts w:eastAsia="Times New Roman" w:cs="Times New Roman"/>
          <w:color w:val="4A4A4A"/>
          <w:sz w:val="21"/>
          <w:szCs w:val="21"/>
          <w:lang w:eastAsia="en-GB"/>
        </w:rPr>
        <w:t>collection. Another</w:t>
      </w:r>
      <w:r>
        <w:rPr>
          <w:rFonts w:eastAsia="Times New Roman" w:cs="Times New Roman"/>
          <w:color w:val="4A4A4A"/>
          <w:sz w:val="21"/>
          <w:szCs w:val="21"/>
          <w:lang w:eastAsia="en-GB"/>
        </w:rPr>
        <w:t xml:space="preserve"> example that needs to be monitored both while reporting and interpreting the results include the grouping or splitting of accessions, as in both cases the variation in the accounted number does not reflect a variation in the genetic diversity conserved and secured. Therefore, it is crucial that reporting countries and regional/international centres together with the accession level information requested </w:t>
      </w:r>
      <w:proofErr w:type="gramStart"/>
      <w:r>
        <w:rPr>
          <w:rFonts w:eastAsia="Times New Roman" w:cs="Times New Roman"/>
          <w:color w:val="4A4A4A"/>
          <w:sz w:val="21"/>
          <w:szCs w:val="21"/>
          <w:lang w:eastAsia="en-GB"/>
        </w:rPr>
        <w:t>explain also</w:t>
      </w:r>
      <w:proofErr w:type="gramEnd"/>
      <w:r>
        <w:rPr>
          <w:rFonts w:eastAsia="Times New Roman" w:cs="Times New Roman"/>
          <w:color w:val="4A4A4A"/>
          <w:sz w:val="21"/>
          <w:szCs w:val="21"/>
          <w:lang w:eastAsia="en-GB"/>
        </w:rPr>
        <w:t xml:space="preserve"> the reason for the decrease or increase in the number of accessions, in particular when this does not reflect a real loss or gain in the genetic diversity conserved and secured.</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3B11BB4" w14:textId="337BD9E8"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Broadly, two issues are of concern in using the “number of accessions” as an indicator of diversity in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xml:space="preserve"> collections:</w:t>
      </w:r>
    </w:p>
    <w:p w14:paraId="2C80939F" w14:textId="31637B10" w:rsidR="00370590" w:rsidRDefault="00370590" w:rsidP="00370590">
      <w:pPr>
        <w:shd w:val="clear" w:color="auto" w:fill="FFFFFF"/>
        <w:spacing w:after="0"/>
        <w:rPr>
          <w:rFonts w:eastAsia="Times New Roman" w:cs="Times New Roman"/>
          <w:color w:val="4A4A4A"/>
          <w:sz w:val="21"/>
          <w:szCs w:val="21"/>
          <w:lang w:eastAsia="en-GB"/>
        </w:rPr>
      </w:pPr>
    </w:p>
    <w:p w14:paraId="5BABFC53" w14:textId="0BD95BDE"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Undetected duplicates of accessions may contribute to an increase of the indicator, as each accession is a managed unit, kept and recorded as distinct. The detection of such duplicates will therefore result in a reduction in the number of </w:t>
      </w:r>
      <w:r w:rsidR="00817E09">
        <w:rPr>
          <w:rFonts w:eastAsia="Times New Roman" w:cs="Times New Roman"/>
          <w:color w:val="4A4A4A"/>
          <w:sz w:val="21"/>
          <w:szCs w:val="21"/>
          <w:lang w:eastAsia="en-GB"/>
        </w:rPr>
        <w:t>accessions</w:t>
      </w:r>
      <w:r>
        <w:rPr>
          <w:rFonts w:eastAsia="Times New Roman" w:cs="Times New Roman"/>
          <w:color w:val="4A4A4A"/>
          <w:sz w:val="21"/>
          <w:szCs w:val="21"/>
          <w:lang w:eastAsia="en-GB"/>
        </w:rPr>
        <w:t xml:space="preserve"> previously reported. This can occur at different levels, for example within </w:t>
      </w:r>
      <w:proofErr w:type="spellStart"/>
      <w:r>
        <w:rPr>
          <w:rFonts w:eastAsia="Times New Roman" w:cs="Times New Roman"/>
          <w:color w:val="4A4A4A"/>
          <w:sz w:val="21"/>
          <w:szCs w:val="21"/>
          <w:lang w:eastAsia="en-GB"/>
        </w:rPr>
        <w:t>genebank</w:t>
      </w:r>
      <w:proofErr w:type="spellEnd"/>
      <w:r>
        <w:rPr>
          <w:rFonts w:eastAsia="Times New Roman" w:cs="Times New Roman"/>
          <w:color w:val="4A4A4A"/>
          <w:sz w:val="21"/>
          <w:szCs w:val="21"/>
          <w:lang w:eastAsia="en-GB"/>
        </w:rPr>
        <w:t xml:space="preserve"> collections </w:t>
      </w:r>
      <w:proofErr w:type="gramStart"/>
      <w:r>
        <w:rPr>
          <w:rFonts w:eastAsia="Times New Roman" w:cs="Times New Roman"/>
          <w:color w:val="4A4A4A"/>
          <w:sz w:val="21"/>
          <w:szCs w:val="21"/>
          <w:lang w:eastAsia="en-GB"/>
        </w:rPr>
        <w:t>and also</w:t>
      </w:r>
      <w:proofErr w:type="gramEnd"/>
      <w:r>
        <w:rPr>
          <w:rFonts w:eastAsia="Times New Roman" w:cs="Times New Roman"/>
          <w:color w:val="4A4A4A"/>
          <w:sz w:val="21"/>
          <w:szCs w:val="21"/>
          <w:lang w:eastAsia="en-GB"/>
        </w:rPr>
        <w:t xml:space="preserve"> at international level.</w:t>
      </w:r>
    </w:p>
    <w:p w14:paraId="6FFBD384" w14:textId="0FCFF120" w:rsidR="00370590" w:rsidRDefault="00370590" w:rsidP="00370590">
      <w:pPr>
        <w:shd w:val="clear" w:color="auto" w:fill="FFFFFF"/>
        <w:spacing w:after="0"/>
        <w:rPr>
          <w:rFonts w:eastAsia="Times New Roman" w:cs="Times New Roman"/>
          <w:color w:val="4A4A4A"/>
          <w:sz w:val="21"/>
          <w:szCs w:val="21"/>
          <w:lang w:eastAsia="en-GB"/>
        </w:rPr>
      </w:pPr>
    </w:p>
    <w:p w14:paraId="2AEE6737" w14:textId="329CC9CD"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 loss of viability of the material(s) conserved that is not promptly detected may similarly not be reflected in the number of accessions, contributing to an overestimate of the actual number of accessions.</w:t>
      </w:r>
    </w:p>
    <w:p w14:paraId="16FA70FD" w14:textId="43F6797E" w:rsidR="00370590" w:rsidRDefault="00370590" w:rsidP="00370590">
      <w:pPr>
        <w:shd w:val="clear" w:color="auto" w:fill="FFFFFF"/>
        <w:spacing w:after="0"/>
        <w:rPr>
          <w:rFonts w:eastAsia="Times New Roman" w:cs="Times New Roman"/>
          <w:color w:val="4A4A4A"/>
          <w:sz w:val="21"/>
          <w:szCs w:val="21"/>
          <w:lang w:eastAsia="en-GB"/>
        </w:rPr>
      </w:pPr>
    </w:p>
    <w:p w14:paraId="20CD62BE" w14:textId="7928C54D"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Additional information could be provided by other indicators measuring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xml:space="preserve"> conservation, which are part of the monitoring of the implementation of the Global Plan of Action for PGRFA under the FAO Commission on Genetic Resources for Food and Agriculture.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C089CAF" w14:textId="5B375A44"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plant component of the indicator is calculated as the total number of unique accessions of plant genetic resources secured in medium to long term conservation facilities. This should include all the accessions in base collections, and unique accessions stored in medium term conservation facilities, as active collections, only when these accessions are considered to become part of the national base collections. Base collections may include both seed, field, cryo-preserved or </w:t>
      </w:r>
      <w:r>
        <w:rPr>
          <w:rFonts w:eastAsia="Times New Roman" w:cs="Times New Roman"/>
          <w:i/>
          <w:color w:val="4A4A4A"/>
          <w:sz w:val="21"/>
          <w:szCs w:val="21"/>
          <w:lang w:eastAsia="en-GB"/>
        </w:rPr>
        <w:t>in vitro</w:t>
      </w:r>
      <w:r>
        <w:rPr>
          <w:rFonts w:eastAsia="Times New Roman" w:cs="Times New Roman"/>
          <w:color w:val="4A4A4A"/>
          <w:sz w:val="21"/>
          <w:szCs w:val="21"/>
          <w:lang w:eastAsia="en-GB"/>
        </w:rPr>
        <w:t xml:space="preserve"> collections depending on the species conserved and the available facilities in the country.</w:t>
      </w:r>
    </w:p>
    <w:p w14:paraId="016FB142" w14:textId="77777777" w:rsidR="00370590" w:rsidRDefault="00370590" w:rsidP="00370590">
      <w:pPr>
        <w:shd w:val="clear" w:color="auto" w:fill="FFFFFF"/>
        <w:spacing w:after="0"/>
        <w:rPr>
          <w:rFonts w:eastAsia="Times New Roman" w:cs="Times New Roman"/>
          <w:color w:val="4A4A4A"/>
          <w:sz w:val="21"/>
          <w:szCs w:val="21"/>
          <w:lang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66BB4209" w:rsidR="00F719A8" w:rsidRDefault="006E7BEF" w:rsidP="00576CFA">
      <w:pPr>
        <w:pStyle w:val="MText"/>
      </w:pPr>
      <w:r>
        <w:t>There is no validation process in place.</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4D149D50" w14:textId="5E72F95B" w:rsidR="00F86DE6" w:rsidRPr="00A96255" w:rsidRDefault="006E7BEF" w:rsidP="00576CFA">
      <w:pPr>
        <w:pStyle w:val="MText"/>
      </w:pPr>
      <w:r w:rsidRPr="006E7BEF">
        <w:t xml:space="preserve"> </w:t>
      </w: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226BD7BB" w14:textId="2E3499A6" w:rsidR="00370590" w:rsidRPr="002A4CD1" w:rsidRDefault="00370590" w:rsidP="00370590">
      <w:pPr>
        <w:numPr>
          <w:ilvl w:val="0"/>
          <w:numId w:val="5"/>
        </w:numPr>
        <w:shd w:val="clear" w:color="auto" w:fill="FFFFFF"/>
        <w:spacing w:after="0" w:line="240" w:lineRule="auto"/>
        <w:ind w:left="495"/>
        <w:outlineLvl w:val="4"/>
        <w:rPr>
          <w:rFonts w:eastAsia="Times New Roman" w:cs="Times New Roman"/>
          <w:b/>
          <w:bCs/>
          <w:color w:val="4A4A4A"/>
          <w:sz w:val="21"/>
          <w:szCs w:val="21"/>
          <w:lang w:eastAsia="en-GB"/>
        </w:rPr>
      </w:pPr>
      <w:r w:rsidRPr="002A4CD1">
        <w:rPr>
          <w:rFonts w:eastAsia="Times New Roman" w:cs="Times New Roman"/>
          <w:b/>
          <w:bCs/>
          <w:color w:val="4A4A4A"/>
          <w:sz w:val="21"/>
          <w:szCs w:val="21"/>
          <w:lang w:eastAsia="en-GB"/>
        </w:rPr>
        <w:t>At country level</w:t>
      </w:r>
    </w:p>
    <w:p w14:paraId="1E3FF2FC" w14:textId="70374226" w:rsidR="00370590" w:rsidRDefault="006E7BEF" w:rsidP="006E7BEF">
      <w:pPr>
        <w:shd w:val="clear" w:color="auto" w:fill="FFFFFF"/>
        <w:spacing w:after="0"/>
        <w:ind w:left="495"/>
        <w:rPr>
          <w:rFonts w:eastAsia="Times New Roman" w:cs="Times New Roman"/>
          <w:color w:val="7F7F7F" w:themeColor="text1" w:themeTint="80"/>
          <w:sz w:val="21"/>
          <w:szCs w:val="21"/>
          <w:highlight w:val="yellow"/>
          <w:lang w:eastAsia="en-GB"/>
        </w:rPr>
      </w:pPr>
      <w:r>
        <w:rPr>
          <w:rFonts w:eastAsia="Times New Roman" w:cs="Times New Roman"/>
          <w:color w:val="4A4A4A"/>
          <w:sz w:val="21"/>
          <w:szCs w:val="21"/>
          <w:lang w:eastAsia="en-GB"/>
        </w:rPr>
        <w:t>M</w:t>
      </w:r>
      <w:r w:rsidR="00370590">
        <w:rPr>
          <w:rFonts w:eastAsia="Times New Roman" w:cs="Times New Roman"/>
          <w:color w:val="4A4A4A"/>
          <w:sz w:val="21"/>
          <w:szCs w:val="21"/>
          <w:lang w:eastAsia="en-GB"/>
        </w:rPr>
        <w:t xml:space="preserve">issing values are treated as such and not replaced by estimates. </w:t>
      </w:r>
    </w:p>
    <w:p w14:paraId="16595D0E" w14:textId="77777777" w:rsidR="00370590" w:rsidRDefault="00370590" w:rsidP="00370590">
      <w:pPr>
        <w:shd w:val="clear" w:color="auto" w:fill="FFFFFF"/>
        <w:spacing w:after="0"/>
        <w:ind w:left="495"/>
        <w:rPr>
          <w:rFonts w:eastAsia="Times New Roman" w:cs="Times New Roman"/>
          <w:color w:val="4A4A4A"/>
          <w:sz w:val="21"/>
          <w:szCs w:val="21"/>
          <w:lang w:eastAsia="en-GB"/>
        </w:rPr>
      </w:pPr>
    </w:p>
    <w:p w14:paraId="7D539BB4" w14:textId="77777777" w:rsidR="00370590" w:rsidRPr="002A4CD1" w:rsidRDefault="00370590" w:rsidP="00370590">
      <w:pPr>
        <w:numPr>
          <w:ilvl w:val="0"/>
          <w:numId w:val="5"/>
        </w:numPr>
        <w:shd w:val="clear" w:color="auto" w:fill="FFFFFF"/>
        <w:spacing w:after="0" w:line="240" w:lineRule="auto"/>
        <w:ind w:left="495"/>
        <w:outlineLvl w:val="4"/>
        <w:rPr>
          <w:rFonts w:eastAsia="Times New Roman" w:cs="Times New Roman"/>
          <w:b/>
          <w:bCs/>
          <w:color w:val="4A4A4A"/>
          <w:sz w:val="21"/>
          <w:szCs w:val="21"/>
          <w:lang w:eastAsia="en-GB"/>
        </w:rPr>
      </w:pPr>
      <w:r w:rsidRPr="002A4CD1">
        <w:rPr>
          <w:rFonts w:eastAsia="Times New Roman" w:cs="Times New Roman"/>
          <w:b/>
          <w:bCs/>
          <w:color w:val="4A4A4A"/>
          <w:sz w:val="21"/>
          <w:szCs w:val="21"/>
          <w:lang w:eastAsia="en-GB"/>
        </w:rPr>
        <w:t>At regional and global levels</w:t>
      </w:r>
    </w:p>
    <w:p w14:paraId="0B893C62" w14:textId="088ADDE0" w:rsidR="00370590" w:rsidRDefault="006E7BEF" w:rsidP="00370590">
      <w:pPr>
        <w:shd w:val="clear" w:color="auto" w:fill="FFFFFF"/>
        <w:spacing w:after="0"/>
        <w:ind w:left="495"/>
        <w:rPr>
          <w:rFonts w:eastAsia="Times New Roman" w:cs="Times New Roman"/>
          <w:color w:val="4A4A4A"/>
          <w:sz w:val="21"/>
          <w:szCs w:val="21"/>
          <w:lang w:eastAsia="en-GB"/>
        </w:rPr>
      </w:pPr>
      <w:r>
        <w:rPr>
          <w:rFonts w:eastAsia="Times New Roman" w:cs="Times New Roman"/>
          <w:color w:val="4A4A4A"/>
          <w:sz w:val="21"/>
          <w:szCs w:val="21"/>
          <w:lang w:eastAsia="en-GB"/>
        </w:rPr>
        <w:t>M</w:t>
      </w:r>
      <w:r w:rsidR="00370590">
        <w:rPr>
          <w:rFonts w:eastAsia="Times New Roman" w:cs="Times New Roman"/>
          <w:color w:val="4A4A4A"/>
          <w:sz w:val="21"/>
          <w:szCs w:val="21"/>
          <w:lang w:eastAsia="en-GB"/>
        </w:rPr>
        <w:t>issing values are treated as such and not replaced by estimates.</w:t>
      </w:r>
    </w:p>
    <w:p w14:paraId="27033367" w14:textId="504C83DF" w:rsidR="00EC2915" w:rsidRPr="00A96255" w:rsidRDefault="00EC2915" w:rsidP="00370590">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5D3270F5" w:rsidR="00576CFA" w:rsidRPr="00A96255" w:rsidRDefault="0058534B" w:rsidP="00E1050F">
      <w:pPr>
        <w:pStyle w:val="MText"/>
      </w:pPr>
      <w:r>
        <w:t>A</w:t>
      </w:r>
      <w:r w:rsidR="00370590">
        <w:t>ggregates are the sum of country values.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0B35628" w14:textId="7BD51243" w:rsidR="00B9770E" w:rsidRDefault="006E7BEF" w:rsidP="003B3048">
      <w:pPr>
        <w:pStyle w:val="MText"/>
      </w:pPr>
      <w:r>
        <w:lastRenderedPageBreak/>
        <w:t>O</w:t>
      </w:r>
      <w:r w:rsidR="00370590">
        <w:t xml:space="preserve">fficially appointed National Focal Points and managers of regional or international </w:t>
      </w:r>
      <w:proofErr w:type="spellStart"/>
      <w:r w:rsidR="00370590">
        <w:t>genebanks</w:t>
      </w:r>
      <w:proofErr w:type="spellEnd"/>
      <w:r w:rsidR="00370590">
        <w:t xml:space="preserve"> are requested to provide the list of accessions conserved in medium or long term conservation facilities by filling a spreadsheet contained in document </w:t>
      </w:r>
      <w:r w:rsidR="00370590" w:rsidRPr="00676AA2">
        <w:rPr>
          <w:i/>
          <w:iCs/>
        </w:rPr>
        <w:t>List of descriptors for reporting on the Plant Component of SDG indicator 2.5.1</w:t>
      </w:r>
      <w:r w:rsidR="00370590">
        <w:t xml:space="preserve"> (see References) accessible from the </w:t>
      </w:r>
      <w:r w:rsidRPr="006E7BEF">
        <w:t>World Information and Early Warning System for plant genetic resources for food and agriculture (</w:t>
      </w:r>
      <w:r w:rsidR="00370590">
        <w:t>WIEWS</w:t>
      </w:r>
      <w:r>
        <w:t>)</w:t>
      </w:r>
      <w:r w:rsidR="00370590">
        <w:t xml:space="preserve"> home page (</w:t>
      </w:r>
      <w:hyperlink r:id="rId22" w:history="1">
        <w:r w:rsidR="00370590">
          <w:rPr>
            <w:rStyle w:val="Hyperlink"/>
            <w:rFonts w:eastAsiaTheme="majorEastAsia"/>
          </w:rPr>
          <w:t>http://www.fao.org/wiews</w:t>
        </w:r>
      </w:hyperlink>
      <w:r w:rsidR="00370590">
        <w:t xml:space="preserve">). Out of the </w:t>
      </w:r>
      <w:r w:rsidR="003B3048">
        <w:t xml:space="preserve">13 </w:t>
      </w:r>
      <w:r w:rsidR="00370590">
        <w:t>passport descriptors which can be used to characterize each accession, four are mandatory: (</w:t>
      </w:r>
      <w:proofErr w:type="spellStart"/>
      <w:r w:rsidR="00370590">
        <w:t>i</w:t>
      </w:r>
      <w:proofErr w:type="spellEnd"/>
      <w:r w:rsidR="00370590">
        <w:t xml:space="preserve">) the name of the </w:t>
      </w:r>
      <w:proofErr w:type="spellStart"/>
      <w:r w:rsidR="00370590">
        <w:t>genebank</w:t>
      </w:r>
      <w:proofErr w:type="spellEnd"/>
      <w:r w:rsidR="00370590">
        <w:t xml:space="preserve"> (or </w:t>
      </w:r>
      <w:r w:rsidR="00370590">
        <w:rPr>
          <w:i/>
        </w:rPr>
        <w:t>holding institute code</w:t>
      </w:r>
      <w:r w:rsidR="00370590">
        <w:t xml:space="preserve">); (ii) the </w:t>
      </w:r>
      <w:r w:rsidR="00370590">
        <w:rPr>
          <w:i/>
        </w:rPr>
        <w:t>accession number</w:t>
      </w:r>
      <w:r w:rsidR="00370590">
        <w:rPr>
          <w:rStyle w:val="FootnoteReference"/>
        </w:rPr>
        <w:footnoteReference w:id="2"/>
      </w:r>
      <w:r w:rsidR="00370590">
        <w:t>; (iii) the scientific name of the accession (</w:t>
      </w:r>
      <w:r w:rsidR="00370590">
        <w:rPr>
          <w:i/>
        </w:rPr>
        <w:t>name of taxon</w:t>
      </w:r>
      <w:r w:rsidR="00370590">
        <w:t xml:space="preserve">, including genus, species and lower taxonomic ranking); and (iv) the type of storage. </w:t>
      </w:r>
    </w:p>
    <w:p w14:paraId="4BC89B64" w14:textId="77777777" w:rsidR="00B9770E" w:rsidRDefault="00B9770E" w:rsidP="00370590">
      <w:pPr>
        <w:pStyle w:val="MText"/>
      </w:pPr>
    </w:p>
    <w:p w14:paraId="6E8E735B" w14:textId="2AFD2030" w:rsidR="00370590" w:rsidRDefault="00370590" w:rsidP="00370590">
      <w:pPr>
        <w:pStyle w:val="MText"/>
      </w:pPr>
      <w:r>
        <w:t xml:space="preserve">Reporting on the remaining descriptors is highly recommended, as it allows the analysis of changes in different types of diversity concerned, including changes in the type and origin of the material secured (e.g. </w:t>
      </w:r>
      <w:r>
        <w:rPr>
          <w:i/>
        </w:rPr>
        <w:t>biological status</w:t>
      </w:r>
      <w:r>
        <w:t xml:space="preserve">; </w:t>
      </w:r>
      <w:r>
        <w:rPr>
          <w:i/>
        </w:rPr>
        <w:t>country of origin</w:t>
      </w:r>
      <w:r>
        <w:t xml:space="preserve">; </w:t>
      </w:r>
      <w:r>
        <w:rPr>
          <w:i/>
        </w:rPr>
        <w:t>locations of safety duplications</w:t>
      </w:r>
      <w:r>
        <w:t xml:space="preserve">; etc.) and better describes the composition of the secured materials. The descriptors have been agreed by the FAO Commission on Genetic Resources for Food and Agriculture (see question 6.2 in the </w:t>
      </w:r>
      <w:r w:rsidRPr="00676AA2">
        <w:rPr>
          <w:i/>
          <w:iCs/>
        </w:rPr>
        <w:t>Reporting format for monitoring the implementation of the Second global Plan of Action for Plant Genetic Resources for Food and Agriculture</w:t>
      </w:r>
      <w:r>
        <w:t xml:space="preserve"> </w:t>
      </w:r>
      <w:hyperlink r:id="rId23" w:history="1">
        <w:r>
          <w:rPr>
            <w:rStyle w:val="Hyperlink"/>
            <w:rFonts w:eastAsiaTheme="majorEastAsia"/>
          </w:rPr>
          <w:t>http://www.fao.org/3/a-mm294e.pdf</w:t>
        </w:r>
      </w:hyperlink>
      <w:r>
        <w:t xml:space="preserve">). </w:t>
      </w:r>
      <w:proofErr w:type="spellStart"/>
      <w:r>
        <w:t>Genebank</w:t>
      </w:r>
      <w:proofErr w:type="spellEnd"/>
      <w:r>
        <w:t xml:space="preserve"> holdings are counted based on the list of accessions reported.</w:t>
      </w:r>
      <w:r w:rsidR="006E7BEF">
        <w:t xml:space="preserve"> </w:t>
      </w:r>
      <w:r w:rsidR="006E7BEF" w:rsidRPr="006E7BEF">
        <w:t>National Focal Points are invited to provide a brief analysis to highlight and explain changes occurred since the previous report.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367BAAF" w14:textId="7316BD1C" w:rsidR="00F86DE6" w:rsidRPr="00A96255" w:rsidRDefault="006E7BEF" w:rsidP="006E7BEF">
      <w:pPr>
        <w:pStyle w:val="MText"/>
      </w:pPr>
      <w:r w:rsidRPr="006E7BEF">
        <w:t xml:space="preserve"> </w:t>
      </w:r>
      <w:r>
        <w:t xml:space="preserve">FAO provides regular training to National </w:t>
      </w:r>
      <w:r w:rsidR="00263058">
        <w:t>Focal Points</w:t>
      </w:r>
      <w:r>
        <w:t xml:space="preserve"> related to data collection </w:t>
      </w:r>
      <w:r w:rsidR="00263058">
        <w:t>and reporting</w:t>
      </w:r>
      <w:r>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5469AC7" w14:textId="4068E3C2" w:rsidR="00F64B41" w:rsidRDefault="006E7BEF" w:rsidP="00370590">
      <w:pPr>
        <w:pStyle w:val="MText"/>
      </w:pPr>
      <w:r w:rsidRPr="00C11BDF">
        <w:t>FAO is responsible for the quality of the internal statistical processes used to compile the published datasets.</w:t>
      </w:r>
    </w:p>
    <w:p w14:paraId="111E0BAF" w14:textId="77777777" w:rsidR="00370590" w:rsidRDefault="00370590" w:rsidP="00370590">
      <w:pPr>
        <w:pStyle w:val="MText"/>
      </w:pPr>
    </w:p>
    <w:p w14:paraId="48B2FBA3" w14:textId="52EEFD9C" w:rsidR="00370590" w:rsidRPr="007C57B7" w:rsidRDefault="00370590" w:rsidP="00370590">
      <w:pPr>
        <w:pStyle w:val="MText"/>
        <w:rPr>
          <w:lang w:val="en-US"/>
        </w:rPr>
      </w:pPr>
      <w:r>
        <w:t xml:space="preserve">FAO 2014. </w:t>
      </w:r>
      <w:proofErr w:type="spellStart"/>
      <w:r>
        <w:t>Genebank</w:t>
      </w:r>
      <w:proofErr w:type="spellEnd"/>
      <w:r>
        <w:t xml:space="preserve"> Standards for Plant Genetic Resources for Food and Agriculture. </w:t>
      </w:r>
      <w:r w:rsidRPr="007C57B7">
        <w:rPr>
          <w:lang w:val="en-US"/>
        </w:rPr>
        <w:t>Rome. (</w:t>
      </w:r>
      <w:hyperlink r:id="rId24" w:history="1">
        <w:r w:rsidRPr="007C57B7">
          <w:rPr>
            <w:rStyle w:val="Hyperlink"/>
            <w:rFonts w:eastAsiaTheme="majorEastAsia"/>
            <w:lang w:val="en-US"/>
          </w:rPr>
          <w:t>http://www.fao.org/3/a-i3704e.pdf</w:t>
        </w:r>
      </w:hyperlink>
      <w:r w:rsidRPr="007C57B7">
        <w:rPr>
          <w:lang w:val="en-US"/>
        </w:rPr>
        <w:t>)</w:t>
      </w:r>
    </w:p>
    <w:p w14:paraId="03EF3244" w14:textId="7A7E8556"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455C6FF3" w:rsidR="00576CFA" w:rsidRPr="00A96255" w:rsidRDefault="00FD504D" w:rsidP="00EF463D">
      <w:pPr>
        <w:pStyle w:val="MText"/>
      </w:pPr>
      <w:r>
        <w:t xml:space="preserve">Each second year FAO is organizing a global National Coordinators’ Workshops to assess and discuss the collection of data the indicator is based on. The indicators itself is automatically calculated in DAD-IS. </w:t>
      </w:r>
      <w:r w:rsidR="00C84C19">
        <w:t>Meetings are held as necessary with National Focal Points</w:t>
      </w:r>
      <w:r w:rsidR="00C84C19" w:rsidRPr="00C84C19">
        <w:t xml:space="preserve"> </w:t>
      </w:r>
      <w:r w:rsidR="00C84C19">
        <w:t>to assess and discuss data for the indicator and their collection processes.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370590" w:rsidRDefault="00D51E7C" w:rsidP="00576CFA">
      <w:pPr>
        <w:pStyle w:val="MText"/>
        <w:rPr>
          <w:b/>
          <w:bCs/>
        </w:rPr>
      </w:pPr>
      <w:r w:rsidRPr="00370590">
        <w:rPr>
          <w:b/>
          <w:bCs/>
        </w:rPr>
        <w:t>Data availability:</w:t>
      </w:r>
    </w:p>
    <w:p w14:paraId="11626C56" w14:textId="2BB592FE"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data collected as part of the first monitoring cycle of the implementation of the Second Global Plan of Action for PGRFA serve as baseline (number of accessions as of June 2014). </w:t>
      </w:r>
    </w:p>
    <w:p w14:paraId="07E2CBFA" w14:textId="6FD4E772" w:rsidR="00370590" w:rsidRDefault="00370590" w:rsidP="00370590">
      <w:pPr>
        <w:shd w:val="clear" w:color="auto" w:fill="FFFFFF"/>
        <w:spacing w:after="0"/>
        <w:rPr>
          <w:rFonts w:eastAsia="Times New Roman" w:cs="Times New Roman"/>
          <w:color w:val="4A4A4A"/>
          <w:sz w:val="21"/>
          <w:szCs w:val="21"/>
          <w:lang w:eastAsia="en-GB"/>
        </w:rPr>
      </w:pPr>
    </w:p>
    <w:p w14:paraId="22B7FA28" w14:textId="5340A35A" w:rsidR="00370590" w:rsidRDefault="007F0E7F" w:rsidP="00C84C1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Data for over 100 </w:t>
      </w:r>
      <w:r w:rsidR="00370590">
        <w:rPr>
          <w:rFonts w:eastAsia="Times New Roman" w:cs="Times New Roman"/>
          <w:color w:val="4A4A4A"/>
          <w:sz w:val="21"/>
          <w:szCs w:val="21"/>
          <w:lang w:eastAsia="en-GB"/>
        </w:rPr>
        <w:t>countries and 17 international/regional centres are being published. The data collection is carried out annually in January. Continued efforts are made to improve the coverage of countries and international/regional centres, as well as the quality of the information.</w:t>
      </w:r>
    </w:p>
    <w:p w14:paraId="07049D30" w14:textId="77777777" w:rsidR="00370590" w:rsidRPr="007F0E7F" w:rsidRDefault="00370590" w:rsidP="007F0E7F">
      <w:pPr>
        <w:pStyle w:val="NoSpacing"/>
      </w:pPr>
    </w:p>
    <w:p w14:paraId="107B8E51"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760C013A" w14:textId="23F08A6D" w:rsidR="00D51E7C" w:rsidRPr="00C019E5" w:rsidRDefault="00370590" w:rsidP="00576CFA">
      <w:pPr>
        <w:pStyle w:val="MText"/>
        <w:rPr>
          <w:highlight w:val="cyan"/>
        </w:rPr>
      </w:pPr>
      <w:r>
        <w:t xml:space="preserve">Data are available in WIEWS </w:t>
      </w:r>
      <w:r w:rsidR="007F0E7F">
        <w:t>since 2014 with either a two-year or one-year periodicity.</w:t>
      </w:r>
    </w:p>
    <w:p w14:paraId="526D302B"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41DDBAB6" w14:textId="25EF327F" w:rsidR="00370590" w:rsidRDefault="007F0E7F"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Not applicable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0A3D31A6"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68A65850"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There are no internationally estimated data. Data on this indicator are all produced by countries and regional or international centres.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A0C2DE9" w14:textId="6A9E488B"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National Focal Points for the monitoring of the Second Global Plan of Action for Plant Genetic Resources for Food and Agriculture and the preparation of country reports for The Third Report on the State of the World's Plant Genetic Resources for Food and Agriculture</w:t>
      </w:r>
      <w:r w:rsidR="003A3270">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hyperlink r:id="rId25" w:history="1">
        <w:r>
          <w:rPr>
            <w:rStyle w:val="Hyperlink"/>
            <w:rFonts w:eastAsia="Times New Roman" w:cs="Times New Roman"/>
            <w:sz w:val="21"/>
            <w:szCs w:val="21"/>
            <w:lang w:eastAsia="en-GB"/>
          </w:rPr>
          <w:t>http://www.fao.org/agriculture/crops/thematic-sitemap/theme/seeds-pgr/gpa/national-focal-points/en/</w:t>
        </w:r>
      </w:hyperlink>
    </w:p>
    <w:p w14:paraId="49AC69F6" w14:textId="77777777" w:rsidR="00B9770E" w:rsidRDefault="00B9770E" w:rsidP="00370590">
      <w:pPr>
        <w:shd w:val="clear" w:color="auto" w:fill="FFFFFF"/>
        <w:spacing w:after="0"/>
        <w:rPr>
          <w:rFonts w:eastAsia="Times New Roman" w:cs="Times New Roman"/>
          <w:color w:val="4A4A4A"/>
          <w:sz w:val="21"/>
          <w:szCs w:val="21"/>
          <w:lang w:eastAsia="en-GB"/>
        </w:rPr>
      </w:pPr>
    </w:p>
    <w:p w14:paraId="004A214F" w14:textId="1B796065"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List of descriptors for reporting on the Plant Component of SDG indicator 2.5.1, FAO 2017</w:t>
      </w:r>
      <w:r w:rsidR="00B9770E">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hyperlink r:id="rId26" w:history="1">
        <w:r>
          <w:rPr>
            <w:rStyle w:val="Hyperlink"/>
            <w:rFonts w:eastAsia="Times New Roman" w:cs="Times New Roman"/>
            <w:sz w:val="21"/>
            <w:szCs w:val="21"/>
            <w:lang w:eastAsia="en-GB"/>
          </w:rPr>
          <w:t>http://www.fao.org/fileadmin/user_upload/wiews/docs/SDG_251_data_requirement_sheet_table_EN.docx</w:t>
        </w:r>
      </w:hyperlink>
      <w:r>
        <w:rPr>
          <w:rFonts w:eastAsia="Times New Roman" w:cs="Times New Roman"/>
          <w:color w:val="4A4A4A"/>
          <w:sz w:val="21"/>
          <w:szCs w:val="21"/>
          <w:lang w:eastAsia="en-GB"/>
        </w:rPr>
        <w:t xml:space="preserve"> </w:t>
      </w:r>
    </w:p>
    <w:p w14:paraId="582B982A" w14:textId="77777777" w:rsidR="00B9770E" w:rsidRDefault="00B9770E" w:rsidP="00370590">
      <w:pPr>
        <w:shd w:val="clear" w:color="auto" w:fill="FFFFFF"/>
        <w:spacing w:after="0"/>
        <w:rPr>
          <w:rFonts w:eastAsia="Times New Roman" w:cs="Times New Roman"/>
          <w:color w:val="4A4A4A"/>
          <w:sz w:val="21"/>
          <w:szCs w:val="21"/>
          <w:lang w:eastAsia="en-GB"/>
        </w:rPr>
      </w:pPr>
    </w:p>
    <w:p w14:paraId="36EC8920" w14:textId="5551EA44"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Second Global Plan of Action for Plant Genetic Resources for Food and Agriculture</w:t>
      </w:r>
      <w:r w:rsidR="00B9770E">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hyperlink r:id="rId27" w:history="1">
        <w:r>
          <w:rPr>
            <w:rStyle w:val="Hyperlink"/>
            <w:rFonts w:eastAsia="Times New Roman" w:cs="Times New Roman"/>
            <w:sz w:val="21"/>
            <w:szCs w:val="21"/>
            <w:lang w:eastAsia="en-GB"/>
          </w:rPr>
          <w:t>http://www.fao.org/docrep/015/i2624e/i2624e00.htm</w:t>
        </w:r>
      </w:hyperlink>
    </w:p>
    <w:p w14:paraId="2B5557A9" w14:textId="3096C820"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Second Report on the State of the World’s Plant Genetic Resources for Food and Agriculture</w:t>
      </w:r>
      <w:r w:rsidR="00B9770E">
        <w:rPr>
          <w:rFonts w:eastAsia="Times New Roman" w:cs="Times New Roman"/>
          <w:color w:val="4A4A4A"/>
          <w:sz w:val="21"/>
          <w:szCs w:val="21"/>
          <w:lang w:eastAsia="en-GB"/>
        </w:rPr>
        <w:t>.</w:t>
      </w:r>
    </w:p>
    <w:p w14:paraId="0410B7C1" w14:textId="1A73D411" w:rsidR="00370590" w:rsidRDefault="00D55171" w:rsidP="00370590">
      <w:pPr>
        <w:shd w:val="clear" w:color="auto" w:fill="FFFFFF"/>
        <w:spacing w:after="0"/>
        <w:rPr>
          <w:rStyle w:val="Hyperlink"/>
          <w:rFonts w:eastAsia="Times New Roman" w:cs="Times New Roman"/>
          <w:sz w:val="21"/>
          <w:szCs w:val="21"/>
          <w:lang w:eastAsia="en-GB"/>
        </w:rPr>
      </w:pPr>
      <w:hyperlink r:id="rId28" w:history="1">
        <w:r w:rsidR="00370590">
          <w:rPr>
            <w:rStyle w:val="Hyperlink"/>
            <w:rFonts w:eastAsia="Times New Roman" w:cs="Times New Roman"/>
            <w:sz w:val="21"/>
            <w:szCs w:val="21"/>
            <w:lang w:eastAsia="en-GB"/>
          </w:rPr>
          <w:t>http://www.fao.org/docrep/013/i1500e/i1500e00.htm</w:t>
        </w:r>
      </w:hyperlink>
    </w:p>
    <w:p w14:paraId="689B4DB1" w14:textId="77777777" w:rsidR="00B9770E" w:rsidRDefault="00B9770E" w:rsidP="00370590">
      <w:pPr>
        <w:shd w:val="clear" w:color="auto" w:fill="FFFFFF"/>
        <w:spacing w:after="0"/>
        <w:rPr>
          <w:rFonts w:eastAsia="Times New Roman" w:cs="Times New Roman"/>
          <w:color w:val="4A4A4A"/>
          <w:sz w:val="21"/>
          <w:szCs w:val="21"/>
          <w:lang w:eastAsia="en-GB"/>
        </w:rPr>
      </w:pPr>
    </w:p>
    <w:p w14:paraId="106613EC" w14:textId="02D14027" w:rsidR="00370590" w:rsidRDefault="00370590" w:rsidP="00370590">
      <w:pPr>
        <w:shd w:val="clear" w:color="auto" w:fill="FFFFFF"/>
        <w:spacing w:after="0"/>
        <w:rPr>
          <w:rFonts w:eastAsia="Times New Roman" w:cs="Times New Roman"/>
          <w:color w:val="4A4A4A"/>
          <w:sz w:val="21"/>
          <w:szCs w:val="21"/>
          <w:lang w:eastAsia="en-GB"/>
        </w:rPr>
      </w:pPr>
      <w:proofErr w:type="spellStart"/>
      <w:r>
        <w:rPr>
          <w:rFonts w:eastAsia="Times New Roman" w:cs="Times New Roman"/>
          <w:color w:val="4A4A4A"/>
          <w:sz w:val="21"/>
          <w:szCs w:val="21"/>
          <w:lang w:eastAsia="en-GB"/>
        </w:rPr>
        <w:t>Genebank</w:t>
      </w:r>
      <w:proofErr w:type="spellEnd"/>
      <w:r>
        <w:rPr>
          <w:rFonts w:eastAsia="Times New Roman" w:cs="Times New Roman"/>
          <w:color w:val="4A4A4A"/>
          <w:sz w:val="21"/>
          <w:szCs w:val="21"/>
          <w:lang w:eastAsia="en-GB"/>
        </w:rPr>
        <w:t xml:space="preserve"> Standards for Plant Genetic Resources for Food and Agriculture, FAO, 2014</w:t>
      </w:r>
      <w:r w:rsidR="00B9770E">
        <w:rPr>
          <w:rFonts w:eastAsia="Times New Roman" w:cs="Times New Roman"/>
          <w:color w:val="4A4A4A"/>
          <w:sz w:val="21"/>
          <w:szCs w:val="21"/>
          <w:lang w:eastAsia="en-GB"/>
        </w:rPr>
        <w:t>.</w:t>
      </w:r>
    </w:p>
    <w:p w14:paraId="3717100A" w14:textId="29005E03" w:rsidR="00370590" w:rsidRDefault="00D55171" w:rsidP="00370590">
      <w:pPr>
        <w:shd w:val="clear" w:color="auto" w:fill="FFFFFF"/>
        <w:spacing w:after="0"/>
        <w:rPr>
          <w:rStyle w:val="Hyperlink"/>
          <w:rFonts w:eastAsia="Times New Roman" w:cs="Times New Roman"/>
          <w:sz w:val="21"/>
          <w:szCs w:val="21"/>
          <w:lang w:eastAsia="en-GB"/>
        </w:rPr>
      </w:pPr>
      <w:hyperlink r:id="rId29" w:history="1">
        <w:r w:rsidR="00370590">
          <w:rPr>
            <w:rStyle w:val="Hyperlink"/>
            <w:rFonts w:eastAsia="Times New Roman" w:cs="Times New Roman"/>
            <w:sz w:val="21"/>
            <w:szCs w:val="21"/>
            <w:lang w:eastAsia="en-GB"/>
          </w:rPr>
          <w:t>http://www.fao.org/documents/card/en/c/7b79ee93-0f3c-5f58-9adc-5d4ef063f9c7/</w:t>
        </w:r>
      </w:hyperlink>
    </w:p>
    <w:p w14:paraId="0E236359" w14:textId="77777777" w:rsidR="00B9770E" w:rsidRDefault="00B9770E" w:rsidP="00370590">
      <w:pPr>
        <w:shd w:val="clear" w:color="auto" w:fill="FFFFFF"/>
        <w:spacing w:after="0"/>
        <w:rPr>
          <w:rFonts w:eastAsia="Times New Roman" w:cs="Times New Roman"/>
          <w:color w:val="4A4A4A"/>
          <w:sz w:val="21"/>
          <w:szCs w:val="21"/>
          <w:lang w:eastAsia="en-GB"/>
        </w:rPr>
      </w:pPr>
    </w:p>
    <w:p w14:paraId="0ACF182B"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Targets and Indicators for Plant Genetic Resources for Food and Agriculture, In: Report of the Fourteenth Regular Session of the Commission on Genetic Resources for Food and Agriculture, </w:t>
      </w:r>
    </w:p>
    <w:p w14:paraId="45DED681" w14:textId="42951083" w:rsidR="00370590" w:rsidRDefault="00370590" w:rsidP="00370590">
      <w:pPr>
        <w:shd w:val="clear" w:color="auto" w:fill="FFFFFF"/>
        <w:spacing w:after="0"/>
        <w:rPr>
          <w:rStyle w:val="Hyperlink"/>
          <w:rFonts w:eastAsia="Times New Roman" w:cs="Times New Roman"/>
          <w:sz w:val="21"/>
          <w:szCs w:val="21"/>
          <w:lang w:eastAsia="en-GB"/>
        </w:rPr>
      </w:pPr>
      <w:r>
        <w:rPr>
          <w:rFonts w:eastAsia="Times New Roman" w:cs="Times New Roman"/>
          <w:color w:val="4A4A4A"/>
          <w:sz w:val="21"/>
          <w:szCs w:val="21"/>
          <w:lang w:eastAsia="en-GB"/>
        </w:rPr>
        <w:t>CGRFA-14/13/Report, Appendix C</w:t>
      </w:r>
      <w:r w:rsidR="00B9770E">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hyperlink r:id="rId30" w:history="1">
        <w:r>
          <w:rPr>
            <w:rStyle w:val="Hyperlink"/>
            <w:rFonts w:eastAsia="Times New Roman" w:cs="Times New Roman"/>
            <w:sz w:val="21"/>
            <w:szCs w:val="21"/>
            <w:lang w:eastAsia="en-GB"/>
          </w:rPr>
          <w:t>http://www.fao.org/docrep/meeting/028/mg538e.pdf</w:t>
        </w:r>
      </w:hyperlink>
    </w:p>
    <w:p w14:paraId="3AC0E891" w14:textId="77777777" w:rsidR="00B9770E" w:rsidRDefault="00B9770E" w:rsidP="00370590">
      <w:pPr>
        <w:shd w:val="clear" w:color="auto" w:fill="FFFFFF"/>
        <w:spacing w:after="0"/>
        <w:rPr>
          <w:rFonts w:eastAsia="Times New Roman" w:cs="Times New Roman"/>
          <w:color w:val="4A4A4A"/>
          <w:sz w:val="21"/>
          <w:szCs w:val="21"/>
          <w:lang w:eastAsia="en-GB"/>
        </w:rPr>
      </w:pPr>
    </w:p>
    <w:p w14:paraId="10D7E523" w14:textId="6BA75B50"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Reporting Format for Monitoring the Implementation of the Second Global Plan of Action for Plant Genetic Resources for Food and Agriculture, CGRFA-15/15/Inf.9</w:t>
      </w:r>
      <w:r w:rsidR="00B9770E">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hyperlink r:id="rId31" w:history="1">
        <w:r>
          <w:rPr>
            <w:rStyle w:val="Hyperlink"/>
            <w:rFonts w:eastAsia="Times New Roman" w:cs="Times New Roman"/>
            <w:sz w:val="21"/>
            <w:szCs w:val="21"/>
            <w:lang w:eastAsia="en-GB"/>
          </w:rPr>
          <w:t>http://www.fao.org/3/a-mm294e.pdf</w:t>
        </w:r>
      </w:hyperlink>
    </w:p>
    <w:p w14:paraId="3D69657F" w14:textId="77777777" w:rsidR="00B9770E" w:rsidRDefault="00B9770E" w:rsidP="00370590">
      <w:pPr>
        <w:shd w:val="clear" w:color="auto" w:fill="FFFFFF"/>
        <w:spacing w:after="0"/>
        <w:rPr>
          <w:rFonts w:eastAsia="Times New Roman" w:cs="Times New Roman"/>
          <w:color w:val="4A4A4A"/>
          <w:sz w:val="21"/>
          <w:szCs w:val="21"/>
          <w:lang w:eastAsia="en-GB"/>
        </w:rPr>
      </w:pPr>
    </w:p>
    <w:p w14:paraId="457E3420" w14:textId="19BA7D9A"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FAO/</w:t>
      </w:r>
      <w:proofErr w:type="spellStart"/>
      <w:r>
        <w:rPr>
          <w:rFonts w:eastAsia="Times New Roman" w:cs="Times New Roman"/>
          <w:color w:val="4A4A4A"/>
          <w:sz w:val="21"/>
          <w:szCs w:val="21"/>
          <w:lang w:eastAsia="en-GB"/>
        </w:rPr>
        <w:t>Bioversity</w:t>
      </w:r>
      <w:proofErr w:type="spellEnd"/>
      <w:r>
        <w:rPr>
          <w:rFonts w:eastAsia="Times New Roman" w:cs="Times New Roman"/>
          <w:color w:val="4A4A4A"/>
          <w:sz w:val="21"/>
          <w:szCs w:val="21"/>
          <w:lang w:eastAsia="en-GB"/>
        </w:rPr>
        <w:t xml:space="preserve"> Multi-Crop Passport Descriptor (MCPD) v. 2</w:t>
      </w:r>
      <w:r w:rsidR="00B9770E">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p>
    <w:p w14:paraId="15A2833F" w14:textId="77777777" w:rsidR="00370590" w:rsidRDefault="00D55171" w:rsidP="00370590">
      <w:pPr>
        <w:shd w:val="clear" w:color="auto" w:fill="FFFFFF"/>
        <w:spacing w:after="0"/>
        <w:rPr>
          <w:rFonts w:eastAsia="Times New Roman" w:cs="Times New Roman"/>
          <w:color w:val="4A4A4A"/>
          <w:sz w:val="21"/>
          <w:szCs w:val="21"/>
          <w:lang w:eastAsia="en-GB"/>
        </w:rPr>
      </w:pPr>
      <w:hyperlink r:id="rId32" w:history="1">
        <w:r w:rsidR="00370590">
          <w:rPr>
            <w:rStyle w:val="Hyperlink"/>
            <w:rFonts w:eastAsia="Times New Roman" w:cs="Times New Roman"/>
            <w:sz w:val="21"/>
            <w:szCs w:val="21"/>
            <w:lang w:eastAsia="en-GB"/>
          </w:rPr>
          <w:t>http://www.bioversityinternational.org/fileadmin/user_upload/online_library/publications/pdfs/FAO-Bioversity_multi_crop_passport_descriptors_V_2_Final_rev_1526.pdf</w:t>
        </w:r>
      </w:hyperlink>
    </w:p>
    <w:p w14:paraId="1691D6A4" w14:textId="77777777" w:rsidR="00370590" w:rsidRDefault="00370590" w:rsidP="00370590">
      <w:pPr>
        <w:shd w:val="clear" w:color="auto" w:fill="FFFFFF"/>
        <w:spacing w:after="0"/>
        <w:rPr>
          <w:rFonts w:eastAsia="Times New Roman" w:cs="Times New Roman"/>
          <w:color w:val="4A4A4A"/>
          <w:sz w:val="21"/>
          <w:szCs w:val="21"/>
          <w:lang w:eastAsia="en-GB"/>
        </w:rPr>
      </w:pPr>
    </w:p>
    <w:p w14:paraId="384B0992" w14:textId="36889691" w:rsidR="00186795" w:rsidRDefault="00186795" w:rsidP="00370590">
      <w:pPr>
        <w:pStyle w:val="MText"/>
      </w:pPr>
    </w:p>
    <w:sectPr w:rsidR="00186795">
      <w:headerReference w:type="default" r:id="rId3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4DD6D" w14:textId="77777777" w:rsidR="00157AFF" w:rsidRDefault="00157AFF" w:rsidP="00573C0B">
      <w:pPr>
        <w:spacing w:after="0" w:line="240" w:lineRule="auto"/>
      </w:pPr>
      <w:r>
        <w:separator/>
      </w:r>
    </w:p>
  </w:endnote>
  <w:endnote w:type="continuationSeparator" w:id="0">
    <w:p w14:paraId="35FC3EAA" w14:textId="77777777" w:rsidR="00157AFF" w:rsidRDefault="00157AFF" w:rsidP="00573C0B">
      <w:pPr>
        <w:spacing w:after="0" w:line="240" w:lineRule="auto"/>
      </w:pPr>
      <w:r>
        <w:continuationSeparator/>
      </w:r>
    </w:p>
  </w:endnote>
  <w:endnote w:type="continuationNotice" w:id="1">
    <w:p w14:paraId="03913E29" w14:textId="77777777" w:rsidR="00157AFF" w:rsidRDefault="00157A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5E04A" w14:textId="77777777" w:rsidR="00157AFF" w:rsidRDefault="00157AFF" w:rsidP="00573C0B">
      <w:pPr>
        <w:spacing w:after="0" w:line="240" w:lineRule="auto"/>
      </w:pPr>
      <w:r>
        <w:separator/>
      </w:r>
    </w:p>
  </w:footnote>
  <w:footnote w:type="continuationSeparator" w:id="0">
    <w:p w14:paraId="67450BE0" w14:textId="77777777" w:rsidR="00157AFF" w:rsidRDefault="00157AFF" w:rsidP="00573C0B">
      <w:pPr>
        <w:spacing w:after="0" w:line="240" w:lineRule="auto"/>
      </w:pPr>
      <w:r>
        <w:continuationSeparator/>
      </w:r>
    </w:p>
  </w:footnote>
  <w:footnote w:type="continuationNotice" w:id="1">
    <w:p w14:paraId="2530AEBC" w14:textId="77777777" w:rsidR="00157AFF" w:rsidRDefault="00157AFF">
      <w:pPr>
        <w:spacing w:after="0" w:line="240" w:lineRule="auto"/>
      </w:pPr>
    </w:p>
  </w:footnote>
  <w:footnote w:id="2">
    <w:p w14:paraId="282A9CA4" w14:textId="77777777" w:rsidR="004A4CC2" w:rsidRDefault="004A4C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1BE5D04"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3D4103">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6925915">
    <w:abstractNumId w:val="2"/>
  </w:num>
  <w:num w:numId="2" w16cid:durableId="1032072704">
    <w:abstractNumId w:val="0"/>
  </w:num>
  <w:num w:numId="3" w16cid:durableId="769665961">
    <w:abstractNumId w:val="3"/>
  </w:num>
  <w:num w:numId="4" w16cid:durableId="1806240186">
    <w:abstractNumId w:val="1"/>
  </w:num>
  <w:num w:numId="5" w16cid:durableId="373241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n-GB" w:vendorID="64" w:dllVersion="6" w:nlCheck="1" w:checkStyle="1"/>
  <w:activeWritingStyle w:appName="MSWord" w:lang="es-ES" w:vendorID="64" w:dllVersion="6" w:nlCheck="1" w:checkStyle="0"/>
  <w:activeWritingStyle w:appName="MSWord" w:lang="en-US" w:vendorID="64" w:dllVersion="6" w:nlCheck="1" w:checkStyle="1"/>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569D3"/>
    <w:rsid w:val="00071F07"/>
    <w:rsid w:val="0007759D"/>
    <w:rsid w:val="000777AB"/>
    <w:rsid w:val="00077F46"/>
    <w:rsid w:val="00090FB1"/>
    <w:rsid w:val="00096186"/>
    <w:rsid w:val="000A72E4"/>
    <w:rsid w:val="000B0E2F"/>
    <w:rsid w:val="000B2430"/>
    <w:rsid w:val="000B595C"/>
    <w:rsid w:val="000D0B30"/>
    <w:rsid w:val="000E21F1"/>
    <w:rsid w:val="000F703E"/>
    <w:rsid w:val="00117292"/>
    <w:rsid w:val="00120E86"/>
    <w:rsid w:val="00124EDE"/>
    <w:rsid w:val="00125DE9"/>
    <w:rsid w:val="001332E0"/>
    <w:rsid w:val="001344B1"/>
    <w:rsid w:val="00134DE7"/>
    <w:rsid w:val="00157AFF"/>
    <w:rsid w:val="00185354"/>
    <w:rsid w:val="001854DC"/>
    <w:rsid w:val="00186795"/>
    <w:rsid w:val="00194D09"/>
    <w:rsid w:val="001A7D5C"/>
    <w:rsid w:val="001B60AA"/>
    <w:rsid w:val="001B63C8"/>
    <w:rsid w:val="001C1972"/>
    <w:rsid w:val="001C421F"/>
    <w:rsid w:val="001C43F0"/>
    <w:rsid w:val="001D360D"/>
    <w:rsid w:val="00256B0E"/>
    <w:rsid w:val="00261A8D"/>
    <w:rsid w:val="00263058"/>
    <w:rsid w:val="00283C1C"/>
    <w:rsid w:val="00291A00"/>
    <w:rsid w:val="00291A11"/>
    <w:rsid w:val="002A315C"/>
    <w:rsid w:val="002A3342"/>
    <w:rsid w:val="002A4CD1"/>
    <w:rsid w:val="002A64BA"/>
    <w:rsid w:val="002B4989"/>
    <w:rsid w:val="002C2510"/>
    <w:rsid w:val="002D714E"/>
    <w:rsid w:val="002E53C3"/>
    <w:rsid w:val="002F1468"/>
    <w:rsid w:val="002F5F0C"/>
    <w:rsid w:val="003265EB"/>
    <w:rsid w:val="0034329E"/>
    <w:rsid w:val="00343FAA"/>
    <w:rsid w:val="00347F5E"/>
    <w:rsid w:val="00353C98"/>
    <w:rsid w:val="00370590"/>
    <w:rsid w:val="00371A20"/>
    <w:rsid w:val="003821B4"/>
    <w:rsid w:val="00382CF3"/>
    <w:rsid w:val="00387D52"/>
    <w:rsid w:val="003A3270"/>
    <w:rsid w:val="003A7CEA"/>
    <w:rsid w:val="003B3048"/>
    <w:rsid w:val="003D4103"/>
    <w:rsid w:val="003E0896"/>
    <w:rsid w:val="003F0BD3"/>
    <w:rsid w:val="003F278A"/>
    <w:rsid w:val="003F38A2"/>
    <w:rsid w:val="003F7A02"/>
    <w:rsid w:val="00403B63"/>
    <w:rsid w:val="004135AD"/>
    <w:rsid w:val="00422EA5"/>
    <w:rsid w:val="00422EFA"/>
    <w:rsid w:val="0042791F"/>
    <w:rsid w:val="004456ED"/>
    <w:rsid w:val="0048045A"/>
    <w:rsid w:val="004814EF"/>
    <w:rsid w:val="004841B8"/>
    <w:rsid w:val="004930F2"/>
    <w:rsid w:val="004A4CC2"/>
    <w:rsid w:val="004B0F1C"/>
    <w:rsid w:val="004E67B5"/>
    <w:rsid w:val="004F2EE6"/>
    <w:rsid w:val="00502DBA"/>
    <w:rsid w:val="005040C4"/>
    <w:rsid w:val="00507637"/>
    <w:rsid w:val="00507852"/>
    <w:rsid w:val="00514DBF"/>
    <w:rsid w:val="00550921"/>
    <w:rsid w:val="00563712"/>
    <w:rsid w:val="00573631"/>
    <w:rsid w:val="00573C0B"/>
    <w:rsid w:val="00576CFA"/>
    <w:rsid w:val="0058534B"/>
    <w:rsid w:val="0058556D"/>
    <w:rsid w:val="00592AF2"/>
    <w:rsid w:val="005947AD"/>
    <w:rsid w:val="00594DDC"/>
    <w:rsid w:val="00597748"/>
    <w:rsid w:val="005979E8"/>
    <w:rsid w:val="005A0CDB"/>
    <w:rsid w:val="005D0AF4"/>
    <w:rsid w:val="005E2D1F"/>
    <w:rsid w:val="005E406E"/>
    <w:rsid w:val="005E54BD"/>
    <w:rsid w:val="005F6CCA"/>
    <w:rsid w:val="006045F3"/>
    <w:rsid w:val="006104AF"/>
    <w:rsid w:val="00621893"/>
    <w:rsid w:val="006351E1"/>
    <w:rsid w:val="006447B1"/>
    <w:rsid w:val="00662775"/>
    <w:rsid w:val="00673EF5"/>
    <w:rsid w:val="00676AA2"/>
    <w:rsid w:val="006852FC"/>
    <w:rsid w:val="006B40AB"/>
    <w:rsid w:val="006B5DC5"/>
    <w:rsid w:val="006C140B"/>
    <w:rsid w:val="006C4BFD"/>
    <w:rsid w:val="006C7D30"/>
    <w:rsid w:val="006E3C08"/>
    <w:rsid w:val="006E7BEF"/>
    <w:rsid w:val="00700ACF"/>
    <w:rsid w:val="00712487"/>
    <w:rsid w:val="007530CA"/>
    <w:rsid w:val="00756D68"/>
    <w:rsid w:val="007578D9"/>
    <w:rsid w:val="00757E8A"/>
    <w:rsid w:val="00763E43"/>
    <w:rsid w:val="00764EB5"/>
    <w:rsid w:val="00777A95"/>
    <w:rsid w:val="00782416"/>
    <w:rsid w:val="007A0C12"/>
    <w:rsid w:val="007B0364"/>
    <w:rsid w:val="007C57B7"/>
    <w:rsid w:val="007D0981"/>
    <w:rsid w:val="007D1929"/>
    <w:rsid w:val="007F0E7F"/>
    <w:rsid w:val="007F5F40"/>
    <w:rsid w:val="00803CF1"/>
    <w:rsid w:val="008104BB"/>
    <w:rsid w:val="008156D8"/>
    <w:rsid w:val="00817E09"/>
    <w:rsid w:val="00817E32"/>
    <w:rsid w:val="008249C5"/>
    <w:rsid w:val="008526F9"/>
    <w:rsid w:val="0085285E"/>
    <w:rsid w:val="00853023"/>
    <w:rsid w:val="008534D4"/>
    <w:rsid w:val="0086009D"/>
    <w:rsid w:val="00881E28"/>
    <w:rsid w:val="00894C4B"/>
    <w:rsid w:val="008A12E3"/>
    <w:rsid w:val="008A42FA"/>
    <w:rsid w:val="008B0AC7"/>
    <w:rsid w:val="008C2335"/>
    <w:rsid w:val="008C67C1"/>
    <w:rsid w:val="008D1D39"/>
    <w:rsid w:val="008F07D2"/>
    <w:rsid w:val="00917851"/>
    <w:rsid w:val="00917F65"/>
    <w:rsid w:val="009202A8"/>
    <w:rsid w:val="009311E7"/>
    <w:rsid w:val="00942694"/>
    <w:rsid w:val="009A7E3A"/>
    <w:rsid w:val="009B1265"/>
    <w:rsid w:val="009B4A15"/>
    <w:rsid w:val="009B5693"/>
    <w:rsid w:val="009C61A2"/>
    <w:rsid w:val="009C78E4"/>
    <w:rsid w:val="009D687E"/>
    <w:rsid w:val="009F6DE7"/>
    <w:rsid w:val="00A10583"/>
    <w:rsid w:val="00A30849"/>
    <w:rsid w:val="00A37FCB"/>
    <w:rsid w:val="00A54863"/>
    <w:rsid w:val="00A61D74"/>
    <w:rsid w:val="00A8688B"/>
    <w:rsid w:val="00A91163"/>
    <w:rsid w:val="00A9286F"/>
    <w:rsid w:val="00A96255"/>
    <w:rsid w:val="00AB285B"/>
    <w:rsid w:val="00AF5552"/>
    <w:rsid w:val="00AF5CB4"/>
    <w:rsid w:val="00AF5ED1"/>
    <w:rsid w:val="00AF71D6"/>
    <w:rsid w:val="00B022B5"/>
    <w:rsid w:val="00B216EE"/>
    <w:rsid w:val="00B3175F"/>
    <w:rsid w:val="00B31E2C"/>
    <w:rsid w:val="00B329B0"/>
    <w:rsid w:val="00B402D8"/>
    <w:rsid w:val="00B4237C"/>
    <w:rsid w:val="00B42FE8"/>
    <w:rsid w:val="00B52AFD"/>
    <w:rsid w:val="00B54077"/>
    <w:rsid w:val="00B8087E"/>
    <w:rsid w:val="00B91BC4"/>
    <w:rsid w:val="00B9770E"/>
    <w:rsid w:val="00BB2169"/>
    <w:rsid w:val="00BB646E"/>
    <w:rsid w:val="00BD1BA1"/>
    <w:rsid w:val="00C00BAC"/>
    <w:rsid w:val="00C019E5"/>
    <w:rsid w:val="00C11BDF"/>
    <w:rsid w:val="00C35BC4"/>
    <w:rsid w:val="00C37BB1"/>
    <w:rsid w:val="00C43F5B"/>
    <w:rsid w:val="00C4451C"/>
    <w:rsid w:val="00C605F3"/>
    <w:rsid w:val="00C84C19"/>
    <w:rsid w:val="00C84F59"/>
    <w:rsid w:val="00CB4371"/>
    <w:rsid w:val="00CC516D"/>
    <w:rsid w:val="00CD264E"/>
    <w:rsid w:val="00D07D64"/>
    <w:rsid w:val="00D24330"/>
    <w:rsid w:val="00D33C41"/>
    <w:rsid w:val="00D40056"/>
    <w:rsid w:val="00D51E7C"/>
    <w:rsid w:val="00D54F29"/>
    <w:rsid w:val="00D55171"/>
    <w:rsid w:val="00D7020C"/>
    <w:rsid w:val="00D70AD9"/>
    <w:rsid w:val="00D72152"/>
    <w:rsid w:val="00D72694"/>
    <w:rsid w:val="00D8471A"/>
    <w:rsid w:val="00D94BA5"/>
    <w:rsid w:val="00D9510F"/>
    <w:rsid w:val="00DA615C"/>
    <w:rsid w:val="00DA6E33"/>
    <w:rsid w:val="00DB177D"/>
    <w:rsid w:val="00DC11C7"/>
    <w:rsid w:val="00DD1BC6"/>
    <w:rsid w:val="00DE5DC3"/>
    <w:rsid w:val="00E00D8A"/>
    <w:rsid w:val="00E1050F"/>
    <w:rsid w:val="00E11604"/>
    <w:rsid w:val="00E11D92"/>
    <w:rsid w:val="00E130A0"/>
    <w:rsid w:val="00E210C4"/>
    <w:rsid w:val="00E21274"/>
    <w:rsid w:val="00E23DB7"/>
    <w:rsid w:val="00E46D96"/>
    <w:rsid w:val="00E52CCA"/>
    <w:rsid w:val="00E65CFA"/>
    <w:rsid w:val="00E66409"/>
    <w:rsid w:val="00E81D5B"/>
    <w:rsid w:val="00E976B9"/>
    <w:rsid w:val="00EA05D3"/>
    <w:rsid w:val="00EB19AD"/>
    <w:rsid w:val="00EB2F31"/>
    <w:rsid w:val="00EB6493"/>
    <w:rsid w:val="00EC2915"/>
    <w:rsid w:val="00ED05A9"/>
    <w:rsid w:val="00ED1BA0"/>
    <w:rsid w:val="00EE5054"/>
    <w:rsid w:val="00EF463D"/>
    <w:rsid w:val="00F17257"/>
    <w:rsid w:val="00F21766"/>
    <w:rsid w:val="00F34D24"/>
    <w:rsid w:val="00F37A7C"/>
    <w:rsid w:val="00F4130B"/>
    <w:rsid w:val="00F50422"/>
    <w:rsid w:val="00F556A2"/>
    <w:rsid w:val="00F64B41"/>
    <w:rsid w:val="00F719A8"/>
    <w:rsid w:val="00F86DE6"/>
    <w:rsid w:val="00F878B9"/>
    <w:rsid w:val="00F91FC4"/>
    <w:rsid w:val="00FA4EA3"/>
    <w:rsid w:val="00FB004C"/>
    <w:rsid w:val="00FB24E8"/>
    <w:rsid w:val="00FB3B2B"/>
    <w:rsid w:val="00FC0D59"/>
    <w:rsid w:val="00FC18DA"/>
    <w:rsid w:val="00FC3917"/>
    <w:rsid w:val="00FC445A"/>
    <w:rsid w:val="00FD504D"/>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otnoteReference">
    <w:name w:val="footnote reference"/>
    <w:aliases w:val="16 Point,Superscript 6 Point,Referencia nota al pie,EN Footnote Reference,Times 10 Point,Exposant 3 Point,Footnote symbol,Footnote reference number,note TESI,stylish,SUPERS,number,no...,Footnote,Footnote Reference/,Ref,de nota al pie"/>
    <w:basedOn w:val="DefaultParagraphFont"/>
    <w:uiPriority w:val="99"/>
    <w:semiHidden/>
    <w:unhideWhenUsed/>
    <w:rsid w:val="00370590"/>
    <w:rPr>
      <w:vertAlign w:val="superscript"/>
    </w:rPr>
  </w:style>
  <w:style w:type="paragraph" w:styleId="NoSpacing">
    <w:name w:val="No Spacing"/>
    <w:uiPriority w:val="1"/>
    <w:qFormat/>
    <w:rsid w:val="000569D3"/>
    <w:pPr>
      <w:spacing w:after="0" w:line="240" w:lineRule="auto"/>
    </w:pPr>
  </w:style>
  <w:style w:type="character" w:styleId="FollowedHyperlink">
    <w:name w:val="FollowedHyperlink"/>
    <w:basedOn w:val="DefaultParagraphFont"/>
    <w:uiPriority w:val="99"/>
    <w:semiHidden/>
    <w:unhideWhenUsed/>
    <w:rsid w:val="003B3048"/>
    <w:rPr>
      <w:color w:val="800080" w:themeColor="followedHyperlink"/>
      <w:u w:val="single"/>
    </w:rPr>
  </w:style>
  <w:style w:type="paragraph" w:styleId="Revision">
    <w:name w:val="Revision"/>
    <w:hidden/>
    <w:uiPriority w:val="99"/>
    <w:semiHidden/>
    <w:rsid w:val="003F38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0999">
      <w:bodyDiv w:val="1"/>
      <w:marLeft w:val="0"/>
      <w:marRight w:val="0"/>
      <w:marTop w:val="0"/>
      <w:marBottom w:val="0"/>
      <w:divBdr>
        <w:top w:val="none" w:sz="0" w:space="0" w:color="auto"/>
        <w:left w:val="none" w:sz="0" w:space="0" w:color="auto"/>
        <w:bottom w:val="none" w:sz="0" w:space="0" w:color="auto"/>
        <w:right w:val="none" w:sz="0" w:space="0" w:color="auto"/>
      </w:divBdr>
    </w:div>
    <w:div w:id="43914153">
      <w:bodyDiv w:val="1"/>
      <w:marLeft w:val="0"/>
      <w:marRight w:val="0"/>
      <w:marTop w:val="0"/>
      <w:marBottom w:val="0"/>
      <w:divBdr>
        <w:top w:val="none" w:sz="0" w:space="0" w:color="auto"/>
        <w:left w:val="none" w:sz="0" w:space="0" w:color="auto"/>
        <w:bottom w:val="none" w:sz="0" w:space="0" w:color="auto"/>
        <w:right w:val="none" w:sz="0" w:space="0" w:color="auto"/>
      </w:divBdr>
    </w:div>
    <w:div w:id="128282092">
      <w:bodyDiv w:val="1"/>
      <w:marLeft w:val="0"/>
      <w:marRight w:val="0"/>
      <w:marTop w:val="0"/>
      <w:marBottom w:val="0"/>
      <w:divBdr>
        <w:top w:val="none" w:sz="0" w:space="0" w:color="auto"/>
        <w:left w:val="none" w:sz="0" w:space="0" w:color="auto"/>
        <w:bottom w:val="none" w:sz="0" w:space="0" w:color="auto"/>
        <w:right w:val="none" w:sz="0" w:space="0" w:color="auto"/>
      </w:divBdr>
    </w:div>
    <w:div w:id="227767429">
      <w:bodyDiv w:val="1"/>
      <w:marLeft w:val="0"/>
      <w:marRight w:val="0"/>
      <w:marTop w:val="0"/>
      <w:marBottom w:val="0"/>
      <w:divBdr>
        <w:top w:val="none" w:sz="0" w:space="0" w:color="auto"/>
        <w:left w:val="none" w:sz="0" w:space="0" w:color="auto"/>
        <w:bottom w:val="none" w:sz="0" w:space="0" w:color="auto"/>
        <w:right w:val="none" w:sz="0" w:space="0" w:color="auto"/>
      </w:divBdr>
    </w:div>
    <w:div w:id="294141149">
      <w:bodyDiv w:val="1"/>
      <w:marLeft w:val="0"/>
      <w:marRight w:val="0"/>
      <w:marTop w:val="0"/>
      <w:marBottom w:val="0"/>
      <w:divBdr>
        <w:top w:val="none" w:sz="0" w:space="0" w:color="auto"/>
        <w:left w:val="none" w:sz="0" w:space="0" w:color="auto"/>
        <w:bottom w:val="none" w:sz="0" w:space="0" w:color="auto"/>
        <w:right w:val="none" w:sz="0" w:space="0" w:color="auto"/>
      </w:divBdr>
    </w:div>
    <w:div w:id="332030422">
      <w:bodyDiv w:val="1"/>
      <w:marLeft w:val="0"/>
      <w:marRight w:val="0"/>
      <w:marTop w:val="0"/>
      <w:marBottom w:val="0"/>
      <w:divBdr>
        <w:top w:val="none" w:sz="0" w:space="0" w:color="auto"/>
        <w:left w:val="none" w:sz="0" w:space="0" w:color="auto"/>
        <w:bottom w:val="none" w:sz="0" w:space="0" w:color="auto"/>
        <w:right w:val="none" w:sz="0" w:space="0" w:color="auto"/>
      </w:divBdr>
    </w:div>
    <w:div w:id="350884957">
      <w:bodyDiv w:val="1"/>
      <w:marLeft w:val="0"/>
      <w:marRight w:val="0"/>
      <w:marTop w:val="0"/>
      <w:marBottom w:val="0"/>
      <w:divBdr>
        <w:top w:val="none" w:sz="0" w:space="0" w:color="auto"/>
        <w:left w:val="none" w:sz="0" w:space="0" w:color="auto"/>
        <w:bottom w:val="none" w:sz="0" w:space="0" w:color="auto"/>
        <w:right w:val="none" w:sz="0" w:space="0" w:color="auto"/>
      </w:divBdr>
    </w:div>
    <w:div w:id="507406328">
      <w:bodyDiv w:val="1"/>
      <w:marLeft w:val="0"/>
      <w:marRight w:val="0"/>
      <w:marTop w:val="0"/>
      <w:marBottom w:val="0"/>
      <w:divBdr>
        <w:top w:val="none" w:sz="0" w:space="0" w:color="auto"/>
        <w:left w:val="none" w:sz="0" w:space="0" w:color="auto"/>
        <w:bottom w:val="none" w:sz="0" w:space="0" w:color="auto"/>
        <w:right w:val="none" w:sz="0" w:space="0" w:color="auto"/>
      </w:divBdr>
    </w:div>
    <w:div w:id="545138813">
      <w:bodyDiv w:val="1"/>
      <w:marLeft w:val="0"/>
      <w:marRight w:val="0"/>
      <w:marTop w:val="0"/>
      <w:marBottom w:val="0"/>
      <w:divBdr>
        <w:top w:val="none" w:sz="0" w:space="0" w:color="auto"/>
        <w:left w:val="none" w:sz="0" w:space="0" w:color="auto"/>
        <w:bottom w:val="none" w:sz="0" w:space="0" w:color="auto"/>
        <w:right w:val="none" w:sz="0" w:space="0" w:color="auto"/>
      </w:divBdr>
    </w:div>
    <w:div w:id="558245044">
      <w:bodyDiv w:val="1"/>
      <w:marLeft w:val="0"/>
      <w:marRight w:val="0"/>
      <w:marTop w:val="0"/>
      <w:marBottom w:val="0"/>
      <w:divBdr>
        <w:top w:val="none" w:sz="0" w:space="0" w:color="auto"/>
        <w:left w:val="none" w:sz="0" w:space="0" w:color="auto"/>
        <w:bottom w:val="none" w:sz="0" w:space="0" w:color="auto"/>
        <w:right w:val="none" w:sz="0" w:space="0" w:color="auto"/>
      </w:divBdr>
    </w:div>
    <w:div w:id="560210795">
      <w:bodyDiv w:val="1"/>
      <w:marLeft w:val="0"/>
      <w:marRight w:val="0"/>
      <w:marTop w:val="0"/>
      <w:marBottom w:val="0"/>
      <w:divBdr>
        <w:top w:val="none" w:sz="0" w:space="0" w:color="auto"/>
        <w:left w:val="none" w:sz="0" w:space="0" w:color="auto"/>
        <w:bottom w:val="none" w:sz="0" w:space="0" w:color="auto"/>
        <w:right w:val="none" w:sz="0" w:space="0" w:color="auto"/>
      </w:divBdr>
    </w:div>
    <w:div w:id="844394930">
      <w:bodyDiv w:val="1"/>
      <w:marLeft w:val="0"/>
      <w:marRight w:val="0"/>
      <w:marTop w:val="0"/>
      <w:marBottom w:val="0"/>
      <w:divBdr>
        <w:top w:val="none" w:sz="0" w:space="0" w:color="auto"/>
        <w:left w:val="none" w:sz="0" w:space="0" w:color="auto"/>
        <w:bottom w:val="none" w:sz="0" w:space="0" w:color="auto"/>
        <w:right w:val="none" w:sz="0" w:space="0" w:color="auto"/>
      </w:divBdr>
    </w:div>
    <w:div w:id="101234332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74523979">
      <w:bodyDiv w:val="1"/>
      <w:marLeft w:val="0"/>
      <w:marRight w:val="0"/>
      <w:marTop w:val="0"/>
      <w:marBottom w:val="0"/>
      <w:divBdr>
        <w:top w:val="none" w:sz="0" w:space="0" w:color="auto"/>
        <w:left w:val="none" w:sz="0" w:space="0" w:color="auto"/>
        <w:bottom w:val="none" w:sz="0" w:space="0" w:color="auto"/>
        <w:right w:val="none" w:sz="0" w:space="0" w:color="auto"/>
      </w:divBdr>
    </w:div>
    <w:div w:id="1556895538">
      <w:bodyDiv w:val="1"/>
      <w:marLeft w:val="0"/>
      <w:marRight w:val="0"/>
      <w:marTop w:val="0"/>
      <w:marBottom w:val="0"/>
      <w:divBdr>
        <w:top w:val="none" w:sz="0" w:space="0" w:color="auto"/>
        <w:left w:val="none" w:sz="0" w:space="0" w:color="auto"/>
        <w:bottom w:val="none" w:sz="0" w:space="0" w:color="auto"/>
        <w:right w:val="none" w:sz="0" w:space="0" w:color="auto"/>
      </w:divBdr>
    </w:div>
    <w:div w:id="1637487912">
      <w:bodyDiv w:val="1"/>
      <w:marLeft w:val="0"/>
      <w:marRight w:val="0"/>
      <w:marTop w:val="0"/>
      <w:marBottom w:val="0"/>
      <w:divBdr>
        <w:top w:val="none" w:sz="0" w:space="0" w:color="auto"/>
        <w:left w:val="none" w:sz="0" w:space="0" w:color="auto"/>
        <w:bottom w:val="none" w:sz="0" w:space="0" w:color="auto"/>
        <w:right w:val="none" w:sz="0" w:space="0" w:color="auto"/>
      </w:divBdr>
    </w:div>
    <w:div w:id="164392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documents/card/en/c/7b79ee93-0f3c-5f58-9adc-5d4ef063f9c7/" TargetMode="External"/><Relationship Id="rId18" Type="http://schemas.openxmlformats.org/officeDocument/2006/relationships/hyperlink" Target="https://www.genesys-pgr.org" TargetMode="External"/><Relationship Id="rId26" Type="http://schemas.openxmlformats.org/officeDocument/2006/relationships/hyperlink" Target="http://www.fao.org/fileadmin/user_upload/wiews/docs/SDG_251_data_requirement_sheet_table_EN.docx" TargetMode="External"/><Relationship Id="rId3" Type="http://schemas.openxmlformats.org/officeDocument/2006/relationships/customXml" Target="../customXml/item3.xml"/><Relationship Id="rId21" Type="http://schemas.openxmlformats.org/officeDocument/2006/relationships/hyperlink" Target="http://www.fao.org/agriculture/crops/thematic-sitemap/theme/seeds-pgr/gpa/national-focal-points/en/"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fao.org/docrep/meeting/028/mg538e.pdf" TargetMode="External"/><Relationship Id="rId17" Type="http://schemas.openxmlformats.org/officeDocument/2006/relationships/hyperlink" Target="http://eurisco.ipk-gatersleben.de/" TargetMode="External"/><Relationship Id="rId25" Type="http://schemas.openxmlformats.org/officeDocument/2006/relationships/hyperlink" Target="http://www.fao.org/agriculture/crops/thematic-sitemap/theme/seeds-pgr/gpa/national-focal-points/en/"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fao.org/wiews" TargetMode="External"/><Relationship Id="rId20" Type="http://schemas.openxmlformats.org/officeDocument/2006/relationships/hyperlink" Target="http://www.fao.org/agriculture/crops/thematic-sitemap/theme/seeds-pgr/gpa/national-focal-points/en/" TargetMode="External"/><Relationship Id="rId29" Type="http://schemas.openxmlformats.org/officeDocument/2006/relationships/hyperlink" Target="http://www.fao.org/documents/card/en/c/7b79ee93-0f3c-5f58-9adc-5d4ef063f9c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documents/card/en/c/7b79ee93-0f3c-5f58-9adc-5d4ef063f9c7/" TargetMode="External"/><Relationship Id="rId24" Type="http://schemas.openxmlformats.org/officeDocument/2006/relationships/hyperlink" Target="http://www.fao.org/3/a-i3704e.pdf" TargetMode="External"/><Relationship Id="rId32" Type="http://schemas.openxmlformats.org/officeDocument/2006/relationships/hyperlink" Target="http://www.bioversityinternational.org/fileadmin/user_upload/online_library/publications/pdfs/FAO-Bioversity_multi_crop_passport_descriptors_V_2_Final_rev_1526.pdf" TargetMode="External"/><Relationship Id="rId5" Type="http://schemas.openxmlformats.org/officeDocument/2006/relationships/numbering" Target="numbering.xml"/><Relationship Id="rId15" Type="http://schemas.openxmlformats.org/officeDocument/2006/relationships/hyperlink" Target="http://www.fao.org/agriculture/crops/thematic-sitemap/theme/seeds-pgr/gpa/national-focal-points/en/" TargetMode="External"/><Relationship Id="rId23" Type="http://schemas.openxmlformats.org/officeDocument/2006/relationships/hyperlink" Target="http://www.fao.org/3/a-mm294e.pdf" TargetMode="External"/><Relationship Id="rId28" Type="http://schemas.openxmlformats.org/officeDocument/2006/relationships/hyperlink" Target="http://www.fao.org/docrep/013/i1500e/i1500e00.ht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fao.org/wiews" TargetMode="External"/><Relationship Id="rId31" Type="http://schemas.openxmlformats.org/officeDocument/2006/relationships/hyperlink" Target="http://www.fao.org/3/a-mm294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docrep/meeting/028/mg538e.pdf" TargetMode="External"/><Relationship Id="rId22" Type="http://schemas.openxmlformats.org/officeDocument/2006/relationships/hyperlink" Target="http://www.fao.org/wiews" TargetMode="External"/><Relationship Id="rId27" Type="http://schemas.openxmlformats.org/officeDocument/2006/relationships/hyperlink" Target="http://www.fao.org/docrep/015/i2624e/i2624e00.htm" TargetMode="External"/><Relationship Id="rId30" Type="http://schemas.openxmlformats.org/officeDocument/2006/relationships/hyperlink" Target="http://www.fao.org/docrep/meeting/028/mg538e.pdf"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79811C8-6D6B-4A93-9DB4-2F135E3EB542}"/>
      </w:docPartPr>
      <w:docPartBody>
        <w:p w:rsidR="00BC4843" w:rsidRDefault="00472BA0">
          <w:r w:rsidRPr="00FD7EA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BA0"/>
    <w:rsid w:val="00472BA0"/>
    <w:rsid w:val="00BC48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2B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039AA6A7-47CE-4A81-A621-B257E211D07D}">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3015</Words>
  <Characters>17190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4</cp:revision>
  <cp:lastPrinted>2016-07-16T14:25:00Z</cp:lastPrinted>
  <dcterms:created xsi:type="dcterms:W3CDTF">2024-05-28T19:30:00Z</dcterms:created>
  <dcterms:modified xsi:type="dcterms:W3CDTF">2024-07-25T19:01:00Z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