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10E90F2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F277C">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30CD9D0" w14:textId="77777777" w:rsidR="004279C3" w:rsidRDefault="004279C3" w:rsidP="004279C3">
      <w:pPr>
        <w:pStyle w:val="MIndHeader"/>
        <w:rPr>
          <w:rStyle w:val="eop"/>
          <w:rFonts w:ascii="Calibri" w:hAnsi="Calibri" w:cs="Calibri"/>
          <w:color w:val="333333"/>
          <w:sz w:val="21"/>
          <w:szCs w:val="21"/>
        </w:rPr>
      </w:pPr>
      <w:r w:rsidRPr="00BE2517">
        <w:rPr>
          <w:rStyle w:val="normaltextrun"/>
          <w:rFonts w:ascii="Calibri" w:hAnsi="Calibri" w:cs="Calibri"/>
          <w:color w:val="333333"/>
          <w:sz w:val="21"/>
          <w:szCs w:val="21"/>
          <w:shd w:val="clear" w:color="auto" w:fill="F5F5F5"/>
        </w:rPr>
        <w:t>Goal 3: Ensure healthy lives and promote well-being for all at all ages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1CC89260" w14:textId="77777777" w:rsidR="00AB6A1D" w:rsidRDefault="00AB6A1D" w:rsidP="00AB6A1D">
      <w:pPr>
        <w:pStyle w:val="MIndHeader"/>
        <w:rPr>
          <w:rStyle w:val="eop"/>
          <w:rFonts w:ascii="Calibri" w:hAnsi="Calibri" w:cs="Calibri"/>
          <w:color w:val="333333"/>
          <w:sz w:val="21"/>
          <w:szCs w:val="21"/>
        </w:rPr>
      </w:pPr>
      <w:r w:rsidRPr="00BE2517">
        <w:rPr>
          <w:rStyle w:val="normaltextrun"/>
          <w:rFonts w:ascii="Calibri" w:hAnsi="Calibri" w:cs="Calibri"/>
          <w:color w:val="333333"/>
          <w:sz w:val="21"/>
          <w:szCs w:val="21"/>
          <w:shd w:val="clear" w:color="auto" w:fill="F5F5F5"/>
        </w:rPr>
        <w:t>Target 3.3: By 2030, end the epidemics of AIDS, tuberculosis, malaria and neglected tropical diseases and combat hepatitis, water-borne diseases and other communicable diseases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282A3FBE" w14:textId="77777777" w:rsidR="009F1E3E" w:rsidRDefault="009F1E3E" w:rsidP="009F1E3E">
      <w:pPr>
        <w:pStyle w:val="MIndHeader"/>
        <w:rPr>
          <w:color w:val="333333"/>
          <w:sz w:val="21"/>
          <w:szCs w:val="21"/>
        </w:rPr>
      </w:pPr>
      <w:r w:rsidRPr="00242247">
        <w:rPr>
          <w:color w:val="333333"/>
          <w:sz w:val="21"/>
          <w:szCs w:val="21"/>
        </w:rPr>
        <w:t>Indicator 3.3.3: Malaria incidence per 1,000 population</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0486DF44" w14:textId="3C51493C" w:rsidR="00C65082" w:rsidRPr="00A96255" w:rsidRDefault="00153341" w:rsidP="00D24330">
      <w:pPr>
        <w:pStyle w:val="MGTHeader"/>
      </w:pPr>
      <w:r w:rsidRPr="00727B90">
        <w:rPr>
          <w:rStyle w:val="MGTHeaderChar"/>
        </w:rPr>
        <w:t>SH_STA_MALR - Malaria incidence per 1,000 population at risk [3.3.3]</w:t>
      </w:r>
    </w:p>
    <w:p w14:paraId="157DACE7" w14:textId="77777777" w:rsidR="00D24330" w:rsidRPr="00727B90" w:rsidRDefault="00D24330" w:rsidP="00D24330">
      <w:pPr>
        <w:pStyle w:val="MIndHeader"/>
      </w:pPr>
      <w:r w:rsidRPr="00727B90">
        <w:t xml:space="preserve">0.e. Metadata update </w:t>
      </w:r>
      <w:r w:rsidRPr="00727B90">
        <w:rPr>
          <w:color w:val="B4B4B4"/>
          <w:sz w:val="20"/>
        </w:rPr>
        <w:t>(META_LAST_UPDATE)</w:t>
      </w:r>
    </w:p>
    <w:sdt>
      <w:sdtPr>
        <w:id w:val="1186480725"/>
        <w:placeholder>
          <w:docPart w:val="DefaultPlaceholder_-1854013437"/>
        </w:placeholder>
        <w:date w:fullDate="2025-03-28T00:00:00Z">
          <w:dateFormat w:val="yyyy-MM-dd"/>
          <w:lid w:val="en-US"/>
          <w:storeMappedDataAs w:val="dateTime"/>
          <w:calendar w:val="gregorian"/>
        </w:date>
      </w:sdtPr>
      <w:sdtEndPr/>
      <w:sdtContent>
        <w:p w14:paraId="03424B60" w14:textId="06A4EE12" w:rsidR="00D24330" w:rsidRPr="00A96255" w:rsidRDefault="00160D5A" w:rsidP="00C65082">
          <w:pPr>
            <w:pStyle w:val="MGTHeader"/>
          </w:pPr>
          <w:r>
            <w:rPr>
              <w:lang w:val="en-US"/>
            </w:rPr>
            <w:t>2025-03-28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ECC6AE7" w14:textId="77777777" w:rsidR="00E855AC" w:rsidRDefault="00E855AC" w:rsidP="00727B90">
      <w:pPr>
        <w:pStyle w:val="MGTHeader"/>
      </w:pPr>
    </w:p>
    <w:p w14:paraId="077BC49E" w14:textId="1160849E"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2D94A41A" w14:textId="628D35A2" w:rsidR="008E5FBE" w:rsidRPr="00501FAD" w:rsidRDefault="008E5FBE" w:rsidP="008E5FBE">
      <w:pPr>
        <w:pStyle w:val="MGTHeader"/>
        <w:rPr>
          <w:rStyle w:val="eop"/>
        </w:rPr>
      </w:pPr>
      <w:r w:rsidRPr="00501FAD">
        <w:rPr>
          <w:rStyle w:val="normaltextrun"/>
        </w:rPr>
        <w:t xml:space="preserve">Global Malaria Programme at World Health </w:t>
      </w:r>
      <w:r w:rsidR="00FF0874" w:rsidRPr="00501FAD">
        <w:rPr>
          <w:rStyle w:val="normaltextrun"/>
        </w:rPr>
        <w:t>Organization (</w:t>
      </w:r>
      <w:r w:rsidRPr="00501FAD">
        <w:rPr>
          <w:rStyle w:val="normaltextrun"/>
        </w:rPr>
        <w:t>WHO)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20082DA2" w:rsidR="00F719A8" w:rsidRDefault="00BA6AAE" w:rsidP="00CD4054">
      <w:pPr>
        <w:pStyle w:val="MText"/>
      </w:pPr>
      <w:r w:rsidRPr="00501FAD">
        <w:t>Global Malaria Programme at World Health Organization (WHO)</w:t>
      </w:r>
    </w:p>
    <w:p w14:paraId="27917BB3" w14:textId="7B437D6B" w:rsidR="00576CFA" w:rsidRPr="00A96255" w:rsidRDefault="00727B90" w:rsidP="00576CFA">
      <w:pPr>
        <w:pStyle w:val="MText"/>
      </w:pPr>
      <w:dir w:val="ltr">
        <w:r w:rsidR="00F13E44">
          <w:t>‬</w:t>
        </w:r>
        <w:r w:rsidR="00F13E44">
          <w:t>‬</w:t>
        </w:r>
        <w:r w:rsidR="00A93E64">
          <w:t>‬</w:t>
        </w:r>
        <w:r>
          <w:t>‬</w:t>
        </w:r>
      </w:di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E56DA2A" w14:textId="77777777" w:rsidR="00E22EBB" w:rsidRDefault="00E22EBB" w:rsidP="00E22EBB">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24FC5873" w14:textId="77777777" w:rsidR="00E22EBB" w:rsidRDefault="00E22EBB" w:rsidP="00E22EBB">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Incidence of malaria is defined as the number of new cases of malaria per 1</w:t>
      </w:r>
      <w:r>
        <w:rPr>
          <w:rStyle w:val="normaltextrun"/>
          <w:color w:val="4A4A4A"/>
          <w:sz w:val="21"/>
          <w:szCs w:val="21"/>
          <w:lang w:val="en-GB"/>
        </w:rPr>
        <w:t>,</w:t>
      </w:r>
      <w:r>
        <w:rPr>
          <w:rStyle w:val="normaltextrun"/>
          <w:rFonts w:ascii="Calibri" w:hAnsi="Calibri" w:cs="Calibri"/>
          <w:color w:val="4A4A4A"/>
          <w:sz w:val="21"/>
          <w:szCs w:val="21"/>
          <w:lang w:val="en-GB"/>
        </w:rPr>
        <w:t>000 people at risk each year</w:t>
      </w:r>
      <w:r>
        <w:rPr>
          <w:rStyle w:val="normaltextrun"/>
          <w:color w:val="4A4A4A"/>
          <w:sz w:val="21"/>
          <w:szCs w:val="21"/>
          <w:lang w:val="en-GB"/>
        </w:rPr>
        <w:t xml:space="preserve">. </w:t>
      </w:r>
    </w:p>
    <w:p w14:paraId="7FD9E96C" w14:textId="77777777" w:rsidR="00E22EBB" w:rsidRDefault="00E22EBB" w:rsidP="00E22EBB">
      <w:pPr>
        <w:pStyle w:val="paragraph"/>
        <w:shd w:val="clear" w:color="auto" w:fill="FFFFFF"/>
        <w:spacing w:before="0" w:beforeAutospacing="0" w:after="0" w:afterAutospacing="0"/>
        <w:textAlignment w:val="baseline"/>
        <w:rPr>
          <w:sz w:val="21"/>
          <w:szCs w:val="21"/>
        </w:rPr>
      </w:pPr>
    </w:p>
    <w:p w14:paraId="65DCD688" w14:textId="77777777" w:rsidR="00E22EBB" w:rsidRDefault="00E22EBB" w:rsidP="00E22EBB">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b/>
          <w:bCs/>
          <w:color w:val="4A4A4A"/>
          <w:sz w:val="21"/>
          <w:szCs w:val="21"/>
          <w:lang w:val="en-GB"/>
        </w:rPr>
        <w:t>Concepts:</w:t>
      </w:r>
    </w:p>
    <w:p w14:paraId="6E54D3D6" w14:textId="215264B9" w:rsidR="00EC2915" w:rsidRDefault="00E22EBB">
      <w:pPr>
        <w:pStyle w:val="MText"/>
        <w:rPr>
          <w:rStyle w:val="normaltextrun"/>
          <w:rFonts w:ascii="Calibri" w:hAnsi="Calibri"/>
        </w:rPr>
      </w:pPr>
      <w:bookmarkStart w:id="5" w:name="_Hlk93606301"/>
      <w:r w:rsidRPr="00DB7C05">
        <w:rPr>
          <w:rStyle w:val="normaltextrun"/>
          <w:rFonts w:ascii="Calibri" w:hAnsi="Calibri"/>
        </w:rPr>
        <w:t>A case of malaria is defined as the occurrence of malaria infection in a person in whom the presence of malaria parasites in the blood has been confirmed by a diagnostic test. The population considered is the population at risk of the disease.</w:t>
      </w:r>
    </w:p>
    <w:p w14:paraId="43D10E74" w14:textId="77777777" w:rsidR="00F32574" w:rsidRPr="00DB7C05" w:rsidRDefault="00F32574" w:rsidP="00727B90">
      <w:pPr>
        <w:pStyle w:val="MText"/>
      </w:pPr>
    </w:p>
    <w:bookmarkEnd w:id="5"/>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47566E26" w:rsidR="00EC2915" w:rsidRDefault="003B32A8" w:rsidP="003B32A8">
      <w:pPr>
        <w:pStyle w:val="MText"/>
      </w:pPr>
      <w:r>
        <w:t xml:space="preserve">Cases per 1000 population at risk. </w:t>
      </w:r>
    </w:p>
    <w:p w14:paraId="107AF69F" w14:textId="77777777" w:rsidR="00F32574" w:rsidRPr="00A96255" w:rsidRDefault="00F32574" w:rsidP="003B32A8">
      <w:pPr>
        <w:pStyle w:val="MText"/>
      </w:pPr>
    </w:p>
    <w:p w14:paraId="651AA7AC" w14:textId="5144B8C4" w:rsidR="00DA615C" w:rsidRPr="00A96255" w:rsidRDefault="008B0AC7" w:rsidP="00F719A8">
      <w:pPr>
        <w:pStyle w:val="MHeader2"/>
      </w:pPr>
      <w:r w:rsidRPr="00A96255">
        <w:lastRenderedPageBreak/>
        <w:t xml:space="preserve">2.c. Classifications </w:t>
      </w:r>
      <w:r>
        <w:rPr>
          <w:color w:val="B4B4B4"/>
          <w:sz w:val="20"/>
        </w:rPr>
        <w:t>(CLASS_SYSTEM)</w:t>
      </w:r>
    </w:p>
    <w:p w14:paraId="3D384BA8" w14:textId="489962CC" w:rsidR="00EC2915" w:rsidRDefault="00BB2E4B" w:rsidP="00BB2E4B">
      <w:pPr>
        <w:pStyle w:val="MText"/>
      </w:pPr>
      <w:r>
        <w:t>N.A.</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CFD9CAC" w14:textId="336A0A96" w:rsidR="00F636A0" w:rsidRDefault="00F636A0" w:rsidP="00727B90">
      <w:pPr>
        <w:pStyle w:val="paragraph"/>
        <w:shd w:val="clear" w:color="auto" w:fill="FFFFFF"/>
        <w:spacing w:before="0" w:beforeAutospacing="0" w:after="0" w:afterAutospacing="0"/>
        <w:jc w:val="both"/>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xml:space="preserve">Cases reported by the NMCP are obtained from each country surveillance system. This includes among others information on the number of suspected cases, number of tested cases, number of positive cases by method of detection and by species as well as number of health facilities that report those cases. This information is summarized in a DHIS2 application developed for this purpose. Data for representative household surveys are publicly available and included National Demographic Household Surveys (DHS) or Malaria Indicator Survey (MIS). </w:t>
      </w:r>
    </w:p>
    <w:p w14:paraId="3018A8D8" w14:textId="77777777" w:rsidR="00EC2915" w:rsidRPr="00727B90" w:rsidRDefault="00EC2915" w:rsidP="00576CFA">
      <w:pPr>
        <w:pStyle w:val="MText"/>
        <w:rPr>
          <w:lang w:val="en-US"/>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2FBE141F" w:rsidR="00EC2915" w:rsidRDefault="003202CB" w:rsidP="003202CB">
      <w:pPr>
        <w:pStyle w:val="MText"/>
        <w:rPr>
          <w:rStyle w:val="normaltextrun"/>
          <w:rFonts w:ascii="Calibri" w:hAnsi="Calibri" w:cs="Calibri"/>
          <w:shd w:val="clear" w:color="auto" w:fill="FFFFFF"/>
        </w:rPr>
      </w:pPr>
      <w:r>
        <w:rPr>
          <w:rStyle w:val="normaltextrun"/>
          <w:rFonts w:ascii="Calibri" w:hAnsi="Calibri" w:cs="Calibri"/>
          <w:shd w:val="clear" w:color="auto" w:fill="FFFFFF"/>
        </w:rPr>
        <w:t>The official counterpart for each country is the National Malaria Control Program at the Ministry of Health.</w:t>
      </w:r>
    </w:p>
    <w:p w14:paraId="25A1991F" w14:textId="77777777" w:rsidR="00F32574" w:rsidRPr="00A96255" w:rsidRDefault="00F32574" w:rsidP="003202CB">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2284291F" w:rsidR="00EC2915" w:rsidRDefault="00AA13B4" w:rsidP="00AA13B4">
      <w:pPr>
        <w:pStyle w:val="MText"/>
        <w:rPr>
          <w:rStyle w:val="normaltextrun"/>
          <w:rFonts w:ascii="Calibri" w:hAnsi="Calibri" w:cs="Calibri"/>
          <w:shd w:val="clear" w:color="auto" w:fill="FFFFFF"/>
        </w:rPr>
      </w:pPr>
      <w:r>
        <w:rPr>
          <w:rStyle w:val="normaltextrun"/>
          <w:rFonts w:ascii="Calibri" w:hAnsi="Calibri" w:cs="Calibri"/>
          <w:shd w:val="clear" w:color="auto" w:fill="FFFFFF"/>
        </w:rPr>
        <w:t>Data is collected every year.</w:t>
      </w:r>
    </w:p>
    <w:p w14:paraId="738358A7" w14:textId="77777777" w:rsidR="00F32574" w:rsidRPr="00727B90" w:rsidRDefault="00F32574" w:rsidP="00AA13B4">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51EC14BA" w:rsidR="00EC2915" w:rsidRDefault="001E4AE7" w:rsidP="001E4AE7">
      <w:pPr>
        <w:pStyle w:val="MText"/>
        <w:rPr>
          <w:rStyle w:val="normaltextrun"/>
          <w:rFonts w:ascii="Calibri" w:hAnsi="Calibri" w:cs="Calibri"/>
          <w:shd w:val="clear" w:color="auto" w:fill="FFFFFF"/>
        </w:rPr>
      </w:pPr>
      <w:r>
        <w:rPr>
          <w:rStyle w:val="normaltextrun"/>
          <w:rFonts w:ascii="Calibri" w:hAnsi="Calibri" w:cs="Calibri"/>
          <w:shd w:val="clear" w:color="auto" w:fill="FFFFFF"/>
        </w:rPr>
        <w:t>Data is released yearly.</w:t>
      </w:r>
    </w:p>
    <w:p w14:paraId="7E27A7D6" w14:textId="77777777" w:rsidR="00F32574" w:rsidRPr="00727B90" w:rsidRDefault="00F32574" w:rsidP="001E4AE7">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5BDF9FA4" w:rsidR="00EC2915" w:rsidRDefault="00201C5C" w:rsidP="00201C5C">
      <w:pPr>
        <w:pStyle w:val="MText"/>
        <w:rPr>
          <w:rStyle w:val="normaltextrun"/>
          <w:rFonts w:ascii="Calibri" w:hAnsi="Calibri" w:cs="Calibri"/>
          <w:shd w:val="clear" w:color="auto" w:fill="FFFFFF"/>
        </w:rPr>
      </w:pPr>
      <w:r>
        <w:rPr>
          <w:rStyle w:val="normaltextrun"/>
          <w:rFonts w:ascii="Calibri" w:hAnsi="Calibri" w:cs="Calibri"/>
          <w:shd w:val="clear" w:color="auto" w:fill="FFFFFF"/>
        </w:rPr>
        <w:t>The National Malaria Control Program is the responsible to collect the information at each country.</w:t>
      </w:r>
    </w:p>
    <w:p w14:paraId="4F0D30B3" w14:textId="77777777" w:rsidR="00F32574" w:rsidRPr="00727B90" w:rsidRDefault="00F32574" w:rsidP="00201C5C">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77287796" w:rsidR="00EC2915" w:rsidRDefault="00B4187E">
      <w:pPr>
        <w:pStyle w:val="MText"/>
        <w:jc w:val="both"/>
        <w:rPr>
          <w:rStyle w:val="normaltextrun"/>
          <w:rFonts w:ascii="Calibri" w:hAnsi="Calibri" w:cs="Calibri"/>
          <w:shd w:val="clear" w:color="auto" w:fill="FFFFFF"/>
        </w:rPr>
      </w:pPr>
      <w:r w:rsidRPr="00B4187E">
        <w:rPr>
          <w:rStyle w:val="normaltextrun"/>
          <w:rFonts w:ascii="Calibri" w:hAnsi="Calibri" w:cs="Calibri"/>
          <w:shd w:val="clear" w:color="auto" w:fill="FFFFFF"/>
        </w:rPr>
        <w:t xml:space="preserve">Strategic Information for Response </w:t>
      </w:r>
      <w:r w:rsidR="002745F8">
        <w:rPr>
          <w:rStyle w:val="normaltextrun"/>
          <w:rFonts w:ascii="Calibri" w:hAnsi="Calibri" w:cs="Calibri"/>
          <w:shd w:val="clear" w:color="auto" w:fill="FFFFFF"/>
        </w:rPr>
        <w:t>Unit</w:t>
      </w:r>
      <w:r w:rsidR="00A05B71">
        <w:rPr>
          <w:rStyle w:val="normaltextrun"/>
          <w:rFonts w:ascii="Calibri" w:hAnsi="Calibri" w:cs="Calibri"/>
          <w:shd w:val="clear" w:color="auto" w:fill="FFFFFF"/>
        </w:rPr>
        <w:t xml:space="preserve"> of the Global Malaria Control Programme is the responsible to compile and process all the relevant information. National estimates for some countries are estimated in collaboration with the Malaria Atlas Project</w:t>
      </w:r>
      <w:r w:rsidR="002745F8">
        <w:rPr>
          <w:rStyle w:val="normaltextrun"/>
          <w:rFonts w:ascii="Calibri" w:hAnsi="Calibri" w:cs="Calibri"/>
          <w:shd w:val="clear" w:color="auto" w:fill="FFFFFF"/>
        </w:rPr>
        <w:t xml:space="preserve"> (MAP)</w:t>
      </w:r>
      <w:r w:rsidR="00A05B71">
        <w:rPr>
          <w:rStyle w:val="normaltextrun"/>
          <w:rFonts w:ascii="Calibri" w:hAnsi="Calibri" w:cs="Calibri"/>
          <w:shd w:val="clear" w:color="auto" w:fill="FFFFFF"/>
        </w:rPr>
        <w:t xml:space="preserve"> which has been designated a WHO collaborating centre in geospatial disease modelling.</w:t>
      </w:r>
    </w:p>
    <w:p w14:paraId="6B2AB716" w14:textId="77777777" w:rsidR="00F32574" w:rsidRPr="00727B90" w:rsidRDefault="00F32574" w:rsidP="00727B90">
      <w:pPr>
        <w:pStyle w:val="MText"/>
        <w:jc w:val="both"/>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224865F7" w:rsidR="00F719A8" w:rsidRDefault="003A7FC5">
      <w:pPr>
        <w:pStyle w:val="MText"/>
        <w:jc w:val="both"/>
        <w:rPr>
          <w:lang w:val="en-US"/>
        </w:rPr>
      </w:pPr>
      <w:r w:rsidRPr="00696BD7">
        <w:t>The Global technical strategy and targets for malaria 2016–2030 </w:t>
      </w:r>
      <w:r w:rsidRPr="00130ACD">
        <w:rPr>
          <w:lang w:val="en-US"/>
        </w:rPr>
        <w:t xml:space="preserve">was adopted by </w:t>
      </w:r>
      <w:r w:rsidRPr="00696BD7">
        <w:t xml:space="preserve">The 68 World Health </w:t>
      </w:r>
      <w:r w:rsidRPr="002745F8">
        <w:t>Assembly</w:t>
      </w:r>
      <w:r w:rsidR="004A7E69">
        <w:t xml:space="preserve"> </w:t>
      </w:r>
      <w:r w:rsidRPr="002745F8">
        <w:t>(</w:t>
      </w:r>
      <w:hyperlink r:id="rId12" w:history="1">
        <w:r w:rsidRPr="002745F8">
          <w:rPr>
            <w:rStyle w:val="Hyperlink"/>
          </w:rPr>
          <w:t>https://apps.who.int/iris/bitstream/handle/10665/253469/A68_R1_REC1-en.pdf?sequence=1&amp;isAllowed=y</w:t>
        </w:r>
      </w:hyperlink>
      <w:r w:rsidRPr="002745F8">
        <w:t>).</w:t>
      </w:r>
      <w:r w:rsidRPr="00696BD7">
        <w:t xml:space="preserve"> The Assembly </w:t>
      </w:r>
      <w:r w:rsidRPr="00130ACD">
        <w:rPr>
          <w:lang w:val="en-US"/>
        </w:rPr>
        <w:t>requested WHO to monitor the progress toward the GTS milestones and targets. The World Malaria Report is the process by which the GTS is monitored by country, WHO region and globally.</w:t>
      </w:r>
    </w:p>
    <w:p w14:paraId="0CF96DD2" w14:textId="77777777" w:rsidR="004A7E69" w:rsidRPr="00A96255" w:rsidRDefault="004A7E69" w:rsidP="00727B90">
      <w:pPr>
        <w:pStyle w:val="MText"/>
        <w:jc w:val="both"/>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0EE47ACF" w:rsidR="00576CFA" w:rsidRDefault="00041579">
      <w:pPr>
        <w:pStyle w:val="paragraph"/>
        <w:shd w:val="clear" w:color="auto" w:fill="FFFFFF"/>
        <w:spacing w:before="0" w:beforeAutospacing="0" w:after="0" w:afterAutospacing="0"/>
        <w:jc w:val="both"/>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lastRenderedPageBreak/>
        <w:t>To measure trends in malaria morbidity and to identify locations where the risk of disease is highest. With this information, programmes can respond to unusual trends, such as epidemics, and direct resources to the populations most in need. These data also serve to inform global resource allocation for malaria such as when defining eligibility criteria for Global Fund finance.</w:t>
      </w:r>
    </w:p>
    <w:p w14:paraId="48F01EE1" w14:textId="77777777" w:rsidR="004A7E69" w:rsidRPr="00041579" w:rsidRDefault="004A7E69" w:rsidP="00727B90">
      <w:pPr>
        <w:pStyle w:val="paragraph"/>
        <w:shd w:val="clear" w:color="auto" w:fill="FFFFFF"/>
        <w:spacing w:before="0" w:beforeAutospacing="0" w:after="0" w:afterAutospacing="0"/>
        <w:jc w:val="both"/>
        <w:textAlignment w:val="baseline"/>
        <w:rPr>
          <w:sz w:val="21"/>
          <w:szCs w:val="21"/>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FC47390" w14:textId="77777777" w:rsidR="00B10CF3" w:rsidRDefault="00090DBF" w:rsidP="00B10CF3">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The estimated incidence can differ from the incidence reported by a Ministry of Health which can be affected by:</w:t>
      </w:r>
    </w:p>
    <w:p w14:paraId="222F633B" w14:textId="7A6BAB4A" w:rsidR="00B10CF3" w:rsidRDefault="00E40EDA" w:rsidP="00727B90">
      <w:pPr>
        <w:pStyle w:val="paragraph"/>
        <w:numPr>
          <w:ilvl w:val="0"/>
          <w:numId w:val="10"/>
        </w:numPr>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T</w:t>
      </w:r>
      <w:r w:rsidR="00090DBF">
        <w:rPr>
          <w:rStyle w:val="normaltextrun"/>
          <w:rFonts w:ascii="Calibri" w:hAnsi="Calibri" w:cs="Calibri"/>
          <w:color w:val="4A4A4A"/>
          <w:sz w:val="21"/>
          <w:szCs w:val="21"/>
          <w:lang w:val="en-GB"/>
        </w:rPr>
        <w:t>he completeness of reporting: the number of reported cases can be lower than the estimated cases if the percentage of health facilities reporting in a month is less than 100%</w:t>
      </w:r>
    </w:p>
    <w:p w14:paraId="69E29550" w14:textId="0F973736" w:rsidR="00B10CF3" w:rsidRPr="00727B90" w:rsidRDefault="00B10CF3" w:rsidP="00727B90">
      <w:pPr>
        <w:pStyle w:val="paragraph"/>
        <w:numPr>
          <w:ilvl w:val="0"/>
          <w:numId w:val="10"/>
        </w:numPr>
        <w:shd w:val="clear" w:color="auto" w:fill="FFFFFF"/>
        <w:spacing w:before="0" w:beforeAutospacing="0" w:after="0" w:afterAutospacing="0"/>
        <w:textAlignment w:val="baseline"/>
        <w:rPr>
          <w:rStyle w:val="normaltextrun"/>
        </w:rPr>
      </w:pPr>
      <w:r w:rsidRPr="00B10CF3">
        <w:rPr>
          <w:rStyle w:val="normaltextrun"/>
          <w:rFonts w:ascii="Calibri" w:hAnsi="Calibri" w:cs="Calibri"/>
          <w:color w:val="4A4A4A"/>
          <w:sz w:val="21"/>
          <w:szCs w:val="21"/>
          <w:lang w:val="en-GB"/>
        </w:rPr>
        <w:t>T</w:t>
      </w:r>
      <w:r w:rsidR="00090DBF" w:rsidRPr="00B10CF3">
        <w:rPr>
          <w:rStyle w:val="normaltextrun"/>
          <w:rFonts w:ascii="Calibri" w:hAnsi="Calibri" w:cs="Calibri"/>
          <w:color w:val="4A4A4A"/>
          <w:sz w:val="21"/>
          <w:szCs w:val="21"/>
          <w:lang w:val="en-GB"/>
        </w:rPr>
        <w:t>he extent of malaria diagnostic testing (the number of slides examined or RDTs performed)</w:t>
      </w:r>
    </w:p>
    <w:p w14:paraId="6682E512" w14:textId="372DD9E0" w:rsidR="00B10CF3" w:rsidRPr="00727B90" w:rsidRDefault="00B10CF3" w:rsidP="00727B90">
      <w:pPr>
        <w:pStyle w:val="paragraph"/>
        <w:numPr>
          <w:ilvl w:val="0"/>
          <w:numId w:val="10"/>
        </w:numPr>
        <w:shd w:val="clear" w:color="auto" w:fill="FFFFFF"/>
        <w:spacing w:before="0" w:beforeAutospacing="0" w:after="0" w:afterAutospacing="0"/>
        <w:textAlignment w:val="baseline"/>
        <w:rPr>
          <w:rStyle w:val="normaltextrun"/>
        </w:rPr>
      </w:pPr>
      <w:r w:rsidRPr="00B10CF3">
        <w:rPr>
          <w:rStyle w:val="normaltextrun"/>
          <w:rFonts w:ascii="Calibri" w:hAnsi="Calibri" w:cs="Calibri"/>
          <w:color w:val="4A4A4A"/>
          <w:sz w:val="21"/>
          <w:szCs w:val="21"/>
          <w:lang w:val="en-GB"/>
        </w:rPr>
        <w:t>T</w:t>
      </w:r>
      <w:r w:rsidR="00090DBF" w:rsidRPr="00B10CF3">
        <w:rPr>
          <w:rStyle w:val="normaltextrun"/>
          <w:rFonts w:ascii="Calibri" w:hAnsi="Calibri" w:cs="Calibri"/>
          <w:color w:val="4A4A4A"/>
          <w:sz w:val="21"/>
          <w:szCs w:val="21"/>
          <w:lang w:val="en-GB"/>
        </w:rPr>
        <w:t>he use of private health facilities which are usually not included in reporting systems</w:t>
      </w:r>
      <w:r w:rsidR="00090DBF" w:rsidRPr="00B10CF3">
        <w:rPr>
          <w:rStyle w:val="normaltextrun"/>
          <w:color w:val="4A4A4A"/>
          <w:sz w:val="21"/>
          <w:szCs w:val="21"/>
          <w:lang w:val="en-GB"/>
        </w:rPr>
        <w:t>.</w:t>
      </w:r>
    </w:p>
    <w:p w14:paraId="398C00AE" w14:textId="750C363F" w:rsidR="00EC2915" w:rsidRPr="00727B90" w:rsidRDefault="00B10CF3">
      <w:pPr>
        <w:pStyle w:val="paragraph"/>
        <w:numPr>
          <w:ilvl w:val="0"/>
          <w:numId w:val="10"/>
        </w:numPr>
        <w:shd w:val="clear" w:color="auto" w:fill="FFFFFF"/>
        <w:spacing w:before="0" w:beforeAutospacing="0" w:after="0" w:afterAutospacing="0"/>
        <w:textAlignment w:val="baseline"/>
        <w:rPr>
          <w:rStyle w:val="normaltextrun"/>
          <w:sz w:val="21"/>
          <w:szCs w:val="21"/>
        </w:rPr>
      </w:pPr>
      <w:r w:rsidRPr="00B10CF3">
        <w:rPr>
          <w:rStyle w:val="normaltextrun"/>
          <w:rFonts w:ascii="Calibri" w:hAnsi="Calibri" w:cs="Calibri"/>
          <w:color w:val="4A4A4A"/>
          <w:sz w:val="21"/>
          <w:szCs w:val="21"/>
          <w:lang w:val="en-GB"/>
        </w:rPr>
        <w:t>T</w:t>
      </w:r>
      <w:r w:rsidR="00090DBF" w:rsidRPr="00B10CF3">
        <w:rPr>
          <w:rStyle w:val="normaltextrun"/>
          <w:rFonts w:ascii="Calibri" w:hAnsi="Calibri" w:cs="Calibri"/>
          <w:color w:val="4A4A4A"/>
          <w:sz w:val="21"/>
          <w:szCs w:val="21"/>
          <w:lang w:val="en-GB"/>
        </w:rPr>
        <w:t>he indicator is estimated only where malaria transmission occurs</w:t>
      </w:r>
      <w:r w:rsidR="00090DBF" w:rsidRPr="00B10CF3">
        <w:rPr>
          <w:rStyle w:val="normaltextrun"/>
          <w:color w:val="4A4A4A"/>
          <w:sz w:val="21"/>
          <w:szCs w:val="21"/>
          <w:lang w:val="en-GB"/>
        </w:rPr>
        <w:t>.</w:t>
      </w:r>
    </w:p>
    <w:p w14:paraId="7341A3FB" w14:textId="77777777" w:rsidR="004A7E69" w:rsidRPr="00B10CF3" w:rsidRDefault="004A7E69" w:rsidP="00727B90">
      <w:pPr>
        <w:pStyle w:val="paragraph"/>
        <w:shd w:val="clear" w:color="auto" w:fill="FFFFFF"/>
        <w:spacing w:before="0" w:beforeAutospacing="0" w:after="0" w:afterAutospacing="0"/>
        <w:ind w:left="360"/>
        <w:textAlignment w:val="baseline"/>
        <w:rPr>
          <w:sz w:val="21"/>
          <w:szCs w:val="21"/>
        </w:rPr>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A89839E" w14:textId="7C47A9A6" w:rsidR="00576CFA" w:rsidRDefault="00D626E9">
      <w:pPr>
        <w:shd w:val="clear" w:color="auto" w:fill="FFFFFF"/>
        <w:spacing w:after="0" w:line="240" w:lineRule="auto"/>
        <w:jc w:val="both"/>
        <w:textAlignment w:val="baseline"/>
        <w:rPr>
          <w:rFonts w:ascii="Calibri" w:eastAsia="Times New Roman" w:hAnsi="Calibri" w:cs="Calibri"/>
          <w:color w:val="4A4A4A"/>
          <w:sz w:val="21"/>
          <w:szCs w:val="21"/>
          <w:shd w:val="clear" w:color="auto" w:fill="FFFFFF"/>
          <w:lang w:eastAsia="en-US"/>
        </w:rPr>
      </w:pPr>
      <w:r w:rsidRPr="004D46B2">
        <w:rPr>
          <w:rFonts w:ascii="Calibri" w:eastAsia="Times New Roman" w:hAnsi="Calibri" w:cs="Calibri"/>
          <w:color w:val="4A4A4A"/>
          <w:sz w:val="21"/>
          <w:szCs w:val="21"/>
          <w:shd w:val="clear" w:color="auto" w:fill="FFFFFF"/>
          <w:lang w:eastAsia="en-US"/>
        </w:rPr>
        <w:t xml:space="preserve">Malaria </w:t>
      </w:r>
      <w:r w:rsidRPr="00CB5DDC">
        <w:rPr>
          <w:rFonts w:ascii="Calibri" w:eastAsia="Times New Roman" w:hAnsi="Calibri" w:cs="Calibri"/>
          <w:color w:val="4A4A4A"/>
          <w:sz w:val="21"/>
          <w:szCs w:val="21"/>
          <w:shd w:val="clear" w:color="auto" w:fill="FFFFFF"/>
          <w:lang w:eastAsia="en-US"/>
        </w:rPr>
        <w:t>incidence</w:t>
      </w:r>
      <w:r>
        <w:rPr>
          <w:rFonts w:ascii="Calibri" w:eastAsia="Times New Roman" w:hAnsi="Calibri" w:cs="Calibri"/>
          <w:color w:val="4A4A4A"/>
          <w:sz w:val="21"/>
          <w:szCs w:val="21"/>
          <w:shd w:val="clear" w:color="auto" w:fill="FFFFFF"/>
          <w:lang w:eastAsia="en-US"/>
        </w:rPr>
        <w:t xml:space="preserve"> </w:t>
      </w:r>
      <w:r w:rsidRPr="00CB5DDC">
        <w:rPr>
          <w:rFonts w:ascii="Calibri" w:eastAsia="Times New Roman" w:hAnsi="Calibri" w:cs="Calibri"/>
          <w:color w:val="4A4A4A"/>
          <w:sz w:val="21"/>
          <w:szCs w:val="21"/>
          <w:shd w:val="clear" w:color="auto" w:fill="FFFFFF"/>
          <w:lang w:eastAsia="en-US"/>
        </w:rPr>
        <w:t>(1)</w:t>
      </w:r>
      <w:r>
        <w:rPr>
          <w:rFonts w:ascii="Calibri" w:eastAsia="Times New Roman" w:hAnsi="Calibri" w:cs="Calibri"/>
          <w:color w:val="4A4A4A"/>
          <w:sz w:val="21"/>
          <w:szCs w:val="21"/>
          <w:shd w:val="clear" w:color="auto" w:fill="FFFFFF"/>
          <w:lang w:eastAsia="en-US"/>
        </w:rPr>
        <w:t xml:space="preserve"> </w:t>
      </w:r>
      <w:r w:rsidRPr="00CB5DDC">
        <w:rPr>
          <w:rFonts w:ascii="Calibri" w:eastAsia="Times New Roman" w:hAnsi="Calibri" w:cs="Calibri"/>
          <w:color w:val="4A4A4A"/>
          <w:sz w:val="21"/>
          <w:szCs w:val="21"/>
          <w:shd w:val="clear" w:color="auto" w:fill="FFFFFF"/>
          <w:lang w:eastAsia="en-US"/>
        </w:rPr>
        <w:t>is expressed</w:t>
      </w:r>
      <w:r w:rsidRPr="004D46B2">
        <w:rPr>
          <w:rFonts w:ascii="Calibri" w:eastAsia="Times New Roman" w:hAnsi="Calibri" w:cs="Calibri"/>
          <w:color w:val="4A4A4A"/>
          <w:sz w:val="21"/>
          <w:szCs w:val="21"/>
          <w:shd w:val="clear" w:color="auto" w:fill="FFFFFF"/>
          <w:lang w:eastAsia="en-US"/>
        </w:rPr>
        <w:t xml:space="preserve"> as</w:t>
      </w:r>
      <w:r>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the number of new cases per 1000 population per year with the population of a country derived from projections made by the UN Population Division and the</w:t>
      </w:r>
      <w:r>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total</w:t>
      </w:r>
      <w:r>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proportion at risk estimated by a country’s National Malaria Control Programme.</w:t>
      </w:r>
      <w:r>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 xml:space="preserve">More specifically, the country estimates what is the </w:t>
      </w:r>
      <w:r>
        <w:rPr>
          <w:rFonts w:ascii="Calibri" w:eastAsia="Times New Roman" w:hAnsi="Calibri" w:cs="Calibri"/>
          <w:color w:val="4A4A4A"/>
          <w:sz w:val="21"/>
          <w:szCs w:val="21"/>
          <w:shd w:val="clear" w:color="auto" w:fill="FFFFFF"/>
          <w:lang w:eastAsia="en-US"/>
        </w:rPr>
        <w:t xml:space="preserve">total </w:t>
      </w:r>
      <w:r w:rsidRPr="004D46B2">
        <w:rPr>
          <w:rFonts w:ascii="Calibri" w:eastAsia="Times New Roman" w:hAnsi="Calibri" w:cs="Calibri"/>
          <w:color w:val="4A4A4A"/>
          <w:sz w:val="21"/>
          <w:szCs w:val="21"/>
          <w:shd w:val="clear" w:color="auto" w:fill="FFFFFF"/>
          <w:lang w:eastAsia="en-US"/>
        </w:rPr>
        <w:t xml:space="preserve">proportion </w:t>
      </w:r>
      <w:r>
        <w:rPr>
          <w:rFonts w:ascii="Calibri" w:eastAsia="Times New Roman" w:hAnsi="Calibri" w:cs="Calibri"/>
          <w:color w:val="4A4A4A"/>
          <w:sz w:val="21"/>
          <w:szCs w:val="21"/>
          <w:shd w:val="clear" w:color="auto" w:fill="FFFFFF"/>
          <w:lang w:eastAsia="en-US"/>
        </w:rPr>
        <w:t>of the population at risk of malaria and then, for each year, t</w:t>
      </w:r>
      <w:r w:rsidRPr="004D46B2">
        <w:rPr>
          <w:rFonts w:ascii="Calibri" w:eastAsia="Times New Roman" w:hAnsi="Calibri" w:cs="Calibri"/>
          <w:color w:val="4A4A4A"/>
          <w:sz w:val="21"/>
          <w:szCs w:val="21"/>
          <w:shd w:val="clear" w:color="auto" w:fill="FFFFFF"/>
          <w:lang w:eastAsia="en-US"/>
        </w:rPr>
        <w:t>he</w:t>
      </w:r>
      <w:r>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total</w:t>
      </w:r>
      <w:r>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population at risk is estimated</w:t>
      </w:r>
      <w:r>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as</w:t>
      </w:r>
      <w:r>
        <w:rPr>
          <w:rFonts w:ascii="Calibri" w:eastAsia="Times New Roman" w:hAnsi="Calibri" w:cs="Calibri"/>
          <w:color w:val="4A4A4A"/>
          <w:sz w:val="21"/>
          <w:szCs w:val="21"/>
          <w:shd w:val="clear" w:color="auto" w:fill="FFFFFF"/>
          <w:lang w:eastAsia="en-US"/>
        </w:rPr>
        <w:t xml:space="preserve"> the</w:t>
      </w:r>
      <w:r w:rsidRPr="004D46B2">
        <w:rPr>
          <w:rFonts w:ascii="Calibri" w:eastAsia="Times New Roman" w:hAnsi="Calibri" w:cs="Calibri"/>
          <w:color w:val="4A4A4A"/>
          <w:sz w:val="21"/>
          <w:szCs w:val="21"/>
          <w:shd w:val="clear" w:color="auto" w:fill="FFFFFF"/>
          <w:lang w:eastAsia="en-US"/>
        </w:rPr>
        <w:t xml:space="preserve"> UN Population</w:t>
      </w:r>
      <w:r>
        <w:rPr>
          <w:rFonts w:ascii="Calibri" w:eastAsia="Times New Roman" w:hAnsi="Calibri" w:cs="Calibri"/>
          <w:color w:val="4A4A4A"/>
          <w:sz w:val="21"/>
          <w:szCs w:val="21"/>
          <w:shd w:val="clear" w:color="auto" w:fill="FFFFFF"/>
          <w:lang w:eastAsia="en-US"/>
        </w:rPr>
        <w:t xml:space="preserve"> for that year,</w:t>
      </w:r>
      <w:r w:rsidRPr="004D46B2">
        <w:rPr>
          <w:rFonts w:ascii="Calibri" w:eastAsia="Times New Roman" w:hAnsi="Calibri" w:cs="Calibri"/>
          <w:color w:val="4A4A4A"/>
          <w:sz w:val="21"/>
          <w:szCs w:val="21"/>
          <w:shd w:val="clear" w:color="auto" w:fill="FFFFFF"/>
          <w:lang w:eastAsia="en-US"/>
        </w:rPr>
        <w:t> </w:t>
      </w:r>
      <w:r>
        <w:rPr>
          <w:rFonts w:ascii="Calibri" w:eastAsia="Times New Roman" w:hAnsi="Calibri" w:cs="Calibri"/>
          <w:color w:val="4A4A4A"/>
          <w:sz w:val="21"/>
          <w:szCs w:val="21"/>
          <w:shd w:val="clear" w:color="auto" w:fill="FFFFFF"/>
          <w:lang w:eastAsia="en-US"/>
        </w:rPr>
        <w:t xml:space="preserve">times the proportion of the population at risk at baseline. The same proportion of the population at risk is used for the entire time series to ensure comparability of estimates through time. </w:t>
      </w:r>
    </w:p>
    <w:p w14:paraId="2FAA1AB8" w14:textId="77777777" w:rsidR="004A7E69" w:rsidRDefault="004A7E69" w:rsidP="00727B90">
      <w:pPr>
        <w:shd w:val="clear" w:color="auto" w:fill="FFFFFF"/>
        <w:spacing w:after="0" w:line="240" w:lineRule="auto"/>
        <w:jc w:val="both"/>
        <w:textAlignment w:val="baseline"/>
        <w:rPr>
          <w:rFonts w:ascii="Calibri" w:eastAsia="Times New Roman" w:hAnsi="Calibri" w:cs="Calibri"/>
          <w:color w:val="4A4A4A"/>
          <w:sz w:val="21"/>
          <w:szCs w:val="21"/>
          <w:shd w:val="clear" w:color="auto" w:fill="FFFFFF"/>
          <w:lang w:eastAsia="en-US"/>
        </w:rPr>
      </w:pPr>
    </w:p>
    <w:p w14:paraId="37C96539" w14:textId="233C647B" w:rsidR="00824E61" w:rsidRDefault="00824E61">
      <w:pPr>
        <w:shd w:val="clear" w:color="auto" w:fill="FFFFFF"/>
        <w:spacing w:after="0" w:line="240" w:lineRule="auto"/>
        <w:jc w:val="both"/>
        <w:textAlignment w:val="baseline"/>
        <w:rPr>
          <w:rFonts w:ascii="Calibri" w:hAnsi="Calibri"/>
          <w:color w:val="4A4A4A"/>
          <w:sz w:val="21"/>
          <w:shd w:val="clear" w:color="auto" w:fill="FFFFFF"/>
          <w:lang w:val="en-US"/>
        </w:rPr>
      </w:pPr>
      <w:r w:rsidRPr="00727B90">
        <w:rPr>
          <w:rFonts w:ascii="Calibri" w:hAnsi="Calibri"/>
          <w:color w:val="4A4A4A"/>
          <w:sz w:val="21"/>
          <w:shd w:val="clear" w:color="auto" w:fill="FFFFFF"/>
          <w:lang w:val="en-US"/>
        </w:rPr>
        <w:t>For each country or area, the number of malaria cases was estimated by one of the three methods described below.</w:t>
      </w:r>
    </w:p>
    <w:p w14:paraId="2CD98FA4" w14:textId="77777777" w:rsidR="004A7E69" w:rsidRPr="00727B90" w:rsidRDefault="004A7E69" w:rsidP="00727B90">
      <w:pPr>
        <w:shd w:val="clear" w:color="auto" w:fill="FFFFFF"/>
        <w:spacing w:after="0" w:line="240" w:lineRule="auto"/>
        <w:jc w:val="both"/>
        <w:textAlignment w:val="baseline"/>
        <w:rPr>
          <w:rFonts w:ascii="Calibri" w:hAnsi="Calibri"/>
          <w:color w:val="4A4A4A"/>
          <w:sz w:val="21"/>
          <w:shd w:val="clear" w:color="auto" w:fill="FFFFFF"/>
          <w:lang w:val="en-US"/>
        </w:rPr>
      </w:pPr>
    </w:p>
    <w:p w14:paraId="23356971" w14:textId="1B381FDE" w:rsidR="004E3E34" w:rsidRPr="00727B90" w:rsidRDefault="00BD07E7" w:rsidP="00D626E9">
      <w:pPr>
        <w:shd w:val="clear" w:color="auto" w:fill="FFFFFF"/>
        <w:spacing w:after="0" w:line="240" w:lineRule="auto"/>
        <w:textAlignment w:val="baseline"/>
        <w:rPr>
          <w:rFonts w:ascii="Calibri" w:hAnsi="Calibri"/>
          <w:b/>
          <w:color w:val="4A4A4A"/>
          <w:sz w:val="21"/>
          <w:shd w:val="clear" w:color="auto" w:fill="FFFFFF"/>
        </w:rPr>
      </w:pPr>
      <w:r w:rsidRPr="00727B90">
        <w:rPr>
          <w:rFonts w:ascii="Calibri" w:hAnsi="Calibri"/>
          <w:b/>
          <w:color w:val="4A4A4A"/>
          <w:sz w:val="21"/>
          <w:shd w:val="clear" w:color="auto" w:fill="FFFFFF"/>
        </w:rPr>
        <w:t>Method 1</w:t>
      </w:r>
      <w:r w:rsidR="004E3E34">
        <w:rPr>
          <w:rFonts w:ascii="Calibri" w:eastAsia="Times New Roman" w:hAnsi="Calibri" w:cs="Calibri"/>
          <w:b/>
          <w:bCs/>
          <w:color w:val="4A4A4A"/>
          <w:sz w:val="21"/>
          <w:szCs w:val="21"/>
          <w:shd w:val="clear" w:color="auto" w:fill="FFFFFF"/>
          <w:lang w:eastAsia="en-US"/>
        </w:rPr>
        <w:t>:</w:t>
      </w:r>
    </w:p>
    <w:p w14:paraId="59CED5C2" w14:textId="52FB3016" w:rsidR="00682DB6" w:rsidRPr="00727B90" w:rsidRDefault="00BD07E7" w:rsidP="00727B90">
      <w:pPr>
        <w:shd w:val="clear" w:color="auto" w:fill="FFFFFF"/>
        <w:spacing w:after="0" w:line="240" w:lineRule="auto"/>
        <w:jc w:val="both"/>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 xml:space="preserve">Method 1 was used for countries and areas outside the </w:t>
      </w:r>
      <w:r w:rsidRPr="00BD07E7">
        <w:rPr>
          <w:rFonts w:ascii="Calibri" w:eastAsia="Times New Roman" w:hAnsi="Calibri" w:cs="Calibri"/>
          <w:color w:val="4A4A4A"/>
          <w:sz w:val="21"/>
          <w:szCs w:val="21"/>
          <w:shd w:val="clear" w:color="auto" w:fill="FFFFFF"/>
          <w:lang w:eastAsia="en-US"/>
        </w:rPr>
        <w:t>World Health Organization (</w:t>
      </w:r>
      <w:r w:rsidRPr="00727B90">
        <w:rPr>
          <w:rFonts w:ascii="Calibri" w:hAnsi="Calibri"/>
          <w:color w:val="4A4A4A"/>
          <w:sz w:val="21"/>
          <w:shd w:val="clear" w:color="auto" w:fill="FFFFFF"/>
        </w:rPr>
        <w:t>WHO</w:t>
      </w:r>
      <w:r w:rsidRPr="00BD07E7">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African Region, and for low transmission countries and areas in the African Region as follows: Afghanistan, Bangladesh, the Bolivarian Republic of Venezuela, Botswana, Brazil, Cambodia, Colombia, the Dominican Republic (until 2020), Eritrea, Ethiopia, French Guiana (until 2020), the Gambia, Guatemala (until 2020), Guyana, Haiti, Honduras (until 2020), India, Indonesia, the Lao People’s Democratic Republic, Madagascar, Mauritania, Myanmar, Namibia, Nepal (until 2020), Nicaragua, Pakistan, Panama (until 2020), Papua New Guinea, Peru, the Philippines, the Plurinational State of Bolivia, Rwanda, Senegal, Solomon Islands, Timor-Leste (until 2016), Vanuatu, Viet Nam (until 2020), Yemen and Zimbabwe.</w:t>
      </w:r>
      <w:r w:rsidRPr="00BD07E7">
        <w:rPr>
          <w:rFonts w:ascii="Calibri" w:eastAsia="Times New Roman" w:hAnsi="Calibri" w:cs="Calibri"/>
          <w:color w:val="4A4A4A"/>
          <w:sz w:val="21"/>
          <w:szCs w:val="21"/>
          <w:shd w:val="clear" w:color="auto" w:fill="FFFFFF"/>
          <w:lang w:eastAsia="en-US"/>
        </w:rPr>
        <w:t xml:space="preserve"> </w:t>
      </w:r>
      <w:r w:rsidRPr="00727B90">
        <w:rPr>
          <w:rFonts w:ascii="Calibri" w:hAnsi="Calibri"/>
          <w:color w:val="4A4A4A"/>
          <w:sz w:val="21"/>
          <w:shd w:val="clear" w:color="auto" w:fill="FFFFFF"/>
        </w:rPr>
        <w:t xml:space="preserve">Estimates were made by adjusting the number of reported malaria cases for completeness of reporting, the likelihood that </w:t>
      </w:r>
      <w:r w:rsidRPr="00BD07E7">
        <w:rPr>
          <w:rFonts w:ascii="Calibri" w:eastAsia="Times New Roman" w:hAnsi="Calibri" w:cs="Calibri"/>
          <w:color w:val="4A4A4A"/>
          <w:sz w:val="21"/>
          <w:szCs w:val="21"/>
          <w:shd w:val="clear" w:color="auto" w:fill="FFFFFF"/>
          <w:lang w:eastAsia="en-US"/>
        </w:rPr>
        <w:t xml:space="preserve">presumed </w:t>
      </w:r>
      <w:r w:rsidRPr="00727B90">
        <w:rPr>
          <w:rFonts w:ascii="Calibri" w:hAnsi="Calibri"/>
          <w:color w:val="4A4A4A"/>
          <w:sz w:val="21"/>
          <w:shd w:val="clear" w:color="auto" w:fill="FFFFFF"/>
        </w:rPr>
        <w:t>cases were parasite positive, and the extent of health service use. The procedure, which is described in the World malaria report 2008</w:t>
      </w:r>
      <w:r w:rsidRPr="00BD07E7">
        <w:rPr>
          <w:rFonts w:ascii="Calibri" w:eastAsia="Times New Roman" w:hAnsi="Calibri" w:cs="Calibri"/>
          <w:color w:val="4A4A4A"/>
          <w:sz w:val="21"/>
          <w:szCs w:val="21"/>
          <w:shd w:val="clear" w:color="auto" w:fill="FFFFFF"/>
          <w:lang w:eastAsia="en-US"/>
        </w:rPr>
        <w:t xml:space="preserve"> </w:t>
      </w:r>
      <w:r w:rsidRPr="00E226D6">
        <w:rPr>
          <w:rFonts w:ascii="Calibri" w:eastAsia="Times New Roman" w:hAnsi="Calibri" w:cs="Calibri"/>
          <w:color w:val="4A4A4A"/>
          <w:sz w:val="21"/>
          <w:szCs w:val="21"/>
          <w:shd w:val="clear" w:color="auto" w:fill="FFFFFF"/>
          <w:lang w:eastAsia="en-US"/>
        </w:rPr>
        <w:t>(1),</w:t>
      </w:r>
      <w:r w:rsidRPr="00727B90">
        <w:rPr>
          <w:rFonts w:ascii="Calibri" w:hAnsi="Calibri"/>
          <w:color w:val="4A4A4A"/>
          <w:sz w:val="21"/>
          <w:shd w:val="clear" w:color="auto" w:fill="FFFFFF"/>
        </w:rPr>
        <w:t xml:space="preserve"> combines national data annually reported by </w:t>
      </w:r>
      <w:r w:rsidRPr="00BD07E7">
        <w:rPr>
          <w:rFonts w:ascii="Calibri" w:eastAsia="Times New Roman" w:hAnsi="Calibri" w:cs="Calibri"/>
          <w:color w:val="4A4A4A"/>
          <w:sz w:val="21"/>
          <w:szCs w:val="21"/>
          <w:shd w:val="clear" w:color="auto" w:fill="FFFFFF"/>
          <w:lang w:eastAsia="en-US"/>
        </w:rPr>
        <w:t>national malaria programmes (</w:t>
      </w:r>
      <w:r w:rsidRPr="00727B90">
        <w:rPr>
          <w:rFonts w:ascii="Calibri" w:hAnsi="Calibri"/>
          <w:color w:val="4A4A4A"/>
          <w:sz w:val="21"/>
          <w:shd w:val="clear" w:color="auto" w:fill="FFFFFF"/>
        </w:rPr>
        <w:t>NMPs</w:t>
      </w:r>
      <w:r w:rsidRPr="00BD07E7">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(i.e. reported cases, reporting completeness and </w:t>
      </w:r>
      <w:r w:rsidRPr="00BD07E7">
        <w:rPr>
          <w:rFonts w:ascii="Calibri" w:eastAsia="Times New Roman" w:hAnsi="Calibri" w:cs="Calibri"/>
          <w:color w:val="4A4A4A"/>
          <w:sz w:val="21"/>
          <w:szCs w:val="21"/>
          <w:shd w:val="clear" w:color="auto" w:fill="FFFFFF"/>
          <w:lang w:eastAsia="en-US"/>
        </w:rPr>
        <w:t>test positivity rates</w:t>
      </w:r>
      <w:r w:rsidRPr="00727B90">
        <w:rPr>
          <w:rFonts w:ascii="Calibri" w:hAnsi="Calibri"/>
          <w:color w:val="4A4A4A"/>
          <w:sz w:val="21"/>
          <w:shd w:val="clear" w:color="auto" w:fill="FFFFFF"/>
        </w:rPr>
        <w:t>) with data obtained from nationally representative household surveys on health service use among children aged under 5 years, which was assumed to be representative of the service use in all ages. Briefly:</w:t>
      </w:r>
    </w:p>
    <w:p w14:paraId="4DFA9945" w14:textId="7257D32D" w:rsidR="00060A9F" w:rsidRDefault="00162C48" w:rsidP="00D626E9">
      <w:pPr>
        <w:shd w:val="clear" w:color="auto" w:fill="FFFFFF"/>
        <w:spacing w:after="0" w:line="240" w:lineRule="auto"/>
        <w:textAlignment w:val="baseline"/>
        <w:rPr>
          <w:rFonts w:ascii="Calibri" w:eastAsia="Times New Roman" w:hAnsi="Calibri" w:cs="Calibri"/>
          <w:color w:val="4A4A4A"/>
          <w:sz w:val="21"/>
          <w:szCs w:val="21"/>
          <w:shd w:val="clear" w:color="auto" w:fill="FFFFFF"/>
          <w:lang w:eastAsia="en-US"/>
        </w:rPr>
      </w:pPr>
      <w:r w:rsidRPr="00727B90">
        <w:rPr>
          <w:rFonts w:ascii="Calibri" w:hAnsi="Calibri"/>
          <w:color w:val="4A4A4A"/>
          <w:sz w:val="21"/>
          <w:shd w:val="clear" w:color="auto" w:fill="FFFFFF"/>
        </w:rPr>
        <w:t>T</w:t>
      </w:r>
      <w:r w:rsidRPr="00162C48">
        <w:rPr>
          <w:rFonts w:ascii="Calibri" w:eastAsia="Times New Roman" w:hAnsi="Calibri" w:cs="Calibri"/>
          <w:color w:val="4A4A4A"/>
          <w:sz w:val="21"/>
          <w:szCs w:val="21"/>
          <w:shd w:val="clear" w:color="auto" w:fill="FFFFFF"/>
          <w:lang w:eastAsia="en-US"/>
        </w:rPr>
        <w:t xml:space="preserve"> = (</w:t>
      </w:r>
      <w:r w:rsidRPr="00727B90">
        <w:rPr>
          <w:rFonts w:ascii="Calibri" w:hAnsi="Calibri"/>
          <w:color w:val="4A4A4A"/>
          <w:sz w:val="21"/>
          <w:shd w:val="clear" w:color="auto" w:fill="FFFFFF"/>
        </w:rPr>
        <w:t xml:space="preserve">a + (c </w:t>
      </w:r>
      <w:r w:rsidRPr="00162C48">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e))/d </w:t>
      </w:r>
      <w:r w:rsidRPr="00162C48">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(1</w:t>
      </w:r>
      <w:r w:rsidRPr="00162C48">
        <w:rPr>
          <w:rFonts w:ascii="Calibri" w:eastAsia="Times New Roman" w:hAnsi="Calibri" w:cs="Calibri"/>
          <w:color w:val="4A4A4A"/>
          <w:sz w:val="21"/>
          <w:szCs w:val="21"/>
          <w:shd w:val="clear" w:color="auto" w:fill="FFFFFF"/>
          <w:lang w:eastAsia="en-US"/>
        </w:rPr>
        <w:t xml:space="preserve"> + </w:t>
      </w:r>
      <w:r w:rsidRPr="00727B90">
        <w:rPr>
          <w:rFonts w:ascii="Calibri" w:hAnsi="Calibri"/>
          <w:color w:val="4A4A4A"/>
          <w:sz w:val="21"/>
          <w:shd w:val="clear" w:color="auto" w:fill="FFFFFF"/>
        </w:rPr>
        <w:t>f/g</w:t>
      </w:r>
      <w:r w:rsidRPr="00162C48">
        <w:rPr>
          <w:rFonts w:ascii="Calibri" w:eastAsia="Times New Roman" w:hAnsi="Calibri" w:cs="Calibri"/>
          <w:color w:val="4A4A4A"/>
          <w:sz w:val="21"/>
          <w:szCs w:val="21"/>
          <w:shd w:val="clear" w:color="auto" w:fill="FFFFFF"/>
          <w:lang w:eastAsia="en-US"/>
        </w:rPr>
        <w:t xml:space="preserve"> + (</w:t>
      </w:r>
      <w:r w:rsidRPr="00727B90">
        <w:rPr>
          <w:rFonts w:ascii="Calibri" w:hAnsi="Calibri"/>
          <w:color w:val="4A4A4A"/>
          <w:sz w:val="21"/>
          <w:shd w:val="clear" w:color="auto" w:fill="FFFFFF"/>
        </w:rPr>
        <w:t>1</w:t>
      </w:r>
      <w:r w:rsidRPr="00162C48">
        <w:rPr>
          <w:rFonts w:ascii="Calibri" w:eastAsia="Times New Roman" w:hAnsi="Calibri" w:cs="Calibri"/>
          <w:color w:val="4A4A4A"/>
          <w:sz w:val="21"/>
          <w:szCs w:val="21"/>
          <w:shd w:val="clear" w:color="auto" w:fill="FFFFFF"/>
          <w:lang w:eastAsia="en-US"/>
        </w:rPr>
        <w:t xml:space="preserve"> − </w:t>
      </w:r>
      <w:r w:rsidRPr="00727B90">
        <w:rPr>
          <w:rFonts w:ascii="Calibri" w:hAnsi="Calibri"/>
          <w:color w:val="4A4A4A"/>
          <w:sz w:val="21"/>
          <w:shd w:val="clear" w:color="auto" w:fill="FFFFFF"/>
        </w:rPr>
        <w:t>g</w:t>
      </w:r>
      <w:r w:rsidRPr="00162C48">
        <w:rPr>
          <w:rFonts w:ascii="Calibri" w:eastAsia="Times New Roman" w:hAnsi="Calibri" w:cs="Calibri"/>
          <w:color w:val="4A4A4A"/>
          <w:sz w:val="21"/>
          <w:szCs w:val="21"/>
          <w:shd w:val="clear" w:color="auto" w:fill="FFFFFF"/>
          <w:lang w:eastAsia="en-US"/>
        </w:rPr>
        <w:t xml:space="preserve"> − </w:t>
      </w:r>
      <w:r w:rsidRPr="00727B90">
        <w:rPr>
          <w:rFonts w:ascii="Calibri" w:hAnsi="Calibri"/>
          <w:color w:val="4A4A4A"/>
          <w:sz w:val="21"/>
          <w:shd w:val="clear" w:color="auto" w:fill="FFFFFF"/>
        </w:rPr>
        <w:t>f)/2/g)</w:t>
      </w:r>
      <w:r w:rsidRPr="00162C48">
        <w:rPr>
          <w:rFonts w:ascii="Calibri" w:eastAsia="Times New Roman" w:hAnsi="Calibri" w:cs="Calibri"/>
          <w:color w:val="4A4A4A"/>
          <w:sz w:val="21"/>
          <w:szCs w:val="21"/>
          <w:shd w:val="clear" w:color="auto" w:fill="FFFFFF"/>
          <w:lang w:eastAsia="en-US"/>
        </w:rPr>
        <w:t xml:space="preserve"> </w:t>
      </w:r>
    </w:p>
    <w:p w14:paraId="243307B5" w14:textId="77777777" w:rsidR="001878A8" w:rsidRPr="00727B90" w:rsidRDefault="001878A8" w:rsidP="00D626E9">
      <w:pPr>
        <w:shd w:val="clear" w:color="auto" w:fill="FFFFFF"/>
        <w:spacing w:after="0" w:line="240" w:lineRule="auto"/>
        <w:textAlignment w:val="baseline"/>
        <w:rPr>
          <w:rFonts w:ascii="Calibri" w:hAnsi="Calibri"/>
          <w:color w:val="4A4A4A"/>
          <w:sz w:val="21"/>
          <w:shd w:val="clear" w:color="auto" w:fill="FFFFFF"/>
        </w:rPr>
      </w:pPr>
    </w:p>
    <w:p w14:paraId="47DAA24C" w14:textId="77777777" w:rsidR="00060A9F" w:rsidRPr="00727B90" w:rsidRDefault="00162C48" w:rsidP="00D626E9">
      <w:pPr>
        <w:shd w:val="clear" w:color="auto" w:fill="FFFFFF"/>
        <w:spacing w:after="0" w:line="240" w:lineRule="auto"/>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where:</w:t>
      </w:r>
      <w:r w:rsidRPr="00162C48">
        <w:rPr>
          <w:rFonts w:ascii="Calibri" w:eastAsia="Times New Roman" w:hAnsi="Calibri" w:cs="Calibri"/>
          <w:color w:val="4A4A4A"/>
          <w:sz w:val="21"/>
          <w:szCs w:val="21"/>
          <w:shd w:val="clear" w:color="auto" w:fill="FFFFFF"/>
          <w:lang w:eastAsia="en-US"/>
        </w:rPr>
        <w:t xml:space="preserve"> </w:t>
      </w:r>
    </w:p>
    <w:p w14:paraId="3EEFA06E" w14:textId="77777777" w:rsidR="00060A9F" w:rsidRPr="00727B90" w:rsidRDefault="00162C48" w:rsidP="00D626E9">
      <w:pPr>
        <w:shd w:val="clear" w:color="auto" w:fill="FFFFFF"/>
        <w:spacing w:after="0" w:line="240" w:lineRule="auto"/>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a is malaria cases confirmed in the public sector</w:t>
      </w:r>
      <w:r w:rsidRPr="00162C48">
        <w:rPr>
          <w:rFonts w:ascii="Calibri" w:eastAsia="Times New Roman" w:hAnsi="Calibri" w:cs="Calibri"/>
          <w:color w:val="4A4A4A"/>
          <w:sz w:val="21"/>
          <w:szCs w:val="21"/>
          <w:shd w:val="clear" w:color="auto" w:fill="FFFFFF"/>
          <w:lang w:eastAsia="en-US"/>
        </w:rPr>
        <w:t xml:space="preserve"> </w:t>
      </w:r>
    </w:p>
    <w:p w14:paraId="0498F56C" w14:textId="77777777" w:rsidR="00060A9F" w:rsidRPr="00727B90" w:rsidRDefault="00162C48" w:rsidP="00D626E9">
      <w:pPr>
        <w:shd w:val="clear" w:color="auto" w:fill="FFFFFF"/>
        <w:spacing w:after="0" w:line="240" w:lineRule="auto"/>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c is presumed cases (not tested but treated as malaria)</w:t>
      </w:r>
      <w:r w:rsidRPr="00162C48">
        <w:rPr>
          <w:rFonts w:ascii="Calibri" w:eastAsia="Times New Roman" w:hAnsi="Calibri" w:cs="Calibri"/>
          <w:color w:val="4A4A4A"/>
          <w:sz w:val="21"/>
          <w:szCs w:val="21"/>
          <w:shd w:val="clear" w:color="auto" w:fill="FFFFFF"/>
          <w:lang w:eastAsia="en-US"/>
        </w:rPr>
        <w:t xml:space="preserve"> </w:t>
      </w:r>
    </w:p>
    <w:p w14:paraId="11F24CED" w14:textId="77777777" w:rsidR="00C07250" w:rsidRPr="00727B90" w:rsidRDefault="00162C48" w:rsidP="00D626E9">
      <w:pPr>
        <w:shd w:val="clear" w:color="auto" w:fill="FFFFFF"/>
        <w:spacing w:after="0" w:line="240" w:lineRule="auto"/>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d is reporting completeness</w:t>
      </w:r>
      <w:r w:rsidRPr="00162C48">
        <w:rPr>
          <w:rFonts w:ascii="Calibri" w:eastAsia="Times New Roman" w:hAnsi="Calibri" w:cs="Calibri"/>
          <w:color w:val="4A4A4A"/>
          <w:sz w:val="21"/>
          <w:szCs w:val="21"/>
          <w:shd w:val="clear" w:color="auto" w:fill="FFFFFF"/>
          <w:lang w:eastAsia="en-US"/>
        </w:rPr>
        <w:t xml:space="preserve"> </w:t>
      </w:r>
    </w:p>
    <w:p w14:paraId="5443DC61" w14:textId="064DAA77" w:rsidR="00C07250" w:rsidRPr="00727B90" w:rsidRDefault="00162C48" w:rsidP="00D626E9">
      <w:pPr>
        <w:shd w:val="clear" w:color="auto" w:fill="FFFFFF"/>
        <w:spacing w:after="0" w:line="240" w:lineRule="auto"/>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 xml:space="preserve">e is </w:t>
      </w:r>
      <w:proofErr w:type="gramStart"/>
      <w:r w:rsidRPr="00727B90">
        <w:rPr>
          <w:rFonts w:ascii="Calibri" w:hAnsi="Calibri"/>
          <w:color w:val="4A4A4A"/>
          <w:sz w:val="21"/>
          <w:shd w:val="clear" w:color="auto" w:fill="FFFFFF"/>
        </w:rPr>
        <w:t>test</w:t>
      </w:r>
      <w:proofErr w:type="gramEnd"/>
      <w:r w:rsidRPr="00727B90">
        <w:rPr>
          <w:rFonts w:ascii="Calibri" w:hAnsi="Calibri"/>
          <w:color w:val="4A4A4A"/>
          <w:sz w:val="21"/>
          <w:shd w:val="clear" w:color="auto" w:fill="FFFFFF"/>
        </w:rPr>
        <w:t xml:space="preserve"> positivity rate (malaria positive fraction</w:t>
      </w:r>
      <w:r w:rsidRPr="00162C48">
        <w:rPr>
          <w:rFonts w:ascii="Calibri" w:eastAsia="Times New Roman" w:hAnsi="Calibri" w:cs="Calibri"/>
          <w:color w:val="4A4A4A"/>
          <w:sz w:val="21"/>
          <w:szCs w:val="21"/>
          <w:shd w:val="clear" w:color="auto" w:fill="FFFFFF"/>
          <w:lang w:eastAsia="en-US"/>
        </w:rPr>
        <w:t xml:space="preserve">) = </w:t>
      </w:r>
      <w:r w:rsidRPr="00727B90">
        <w:rPr>
          <w:rFonts w:ascii="Calibri" w:hAnsi="Calibri"/>
          <w:color w:val="4A4A4A"/>
          <w:sz w:val="21"/>
          <w:shd w:val="clear" w:color="auto" w:fill="FFFFFF"/>
        </w:rPr>
        <w:t>a/b</w:t>
      </w:r>
      <w:r w:rsidRPr="00162C48">
        <w:rPr>
          <w:rFonts w:ascii="Calibri" w:eastAsia="Times New Roman" w:hAnsi="Calibri" w:cs="Calibri"/>
          <w:color w:val="4A4A4A"/>
          <w:sz w:val="21"/>
          <w:szCs w:val="21"/>
          <w:shd w:val="clear" w:color="auto" w:fill="FFFFFF"/>
          <w:lang w:eastAsia="en-US"/>
        </w:rPr>
        <w:t xml:space="preserve">, where b is suspected cases tested </w:t>
      </w:r>
    </w:p>
    <w:p w14:paraId="2AEB8A99" w14:textId="77777777" w:rsidR="00BB289C" w:rsidRPr="00727B90" w:rsidRDefault="00162C48" w:rsidP="00D626E9">
      <w:pPr>
        <w:shd w:val="clear" w:color="auto" w:fill="FFFFFF"/>
        <w:spacing w:after="0" w:line="240" w:lineRule="auto"/>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f is the fraction seeking treatment in the private sector</w:t>
      </w:r>
      <w:r w:rsidRPr="00162C48">
        <w:rPr>
          <w:rFonts w:ascii="Calibri" w:eastAsia="Times New Roman" w:hAnsi="Calibri" w:cs="Calibri"/>
          <w:color w:val="4A4A4A"/>
          <w:sz w:val="21"/>
          <w:szCs w:val="21"/>
          <w:shd w:val="clear" w:color="auto" w:fill="FFFFFF"/>
          <w:lang w:eastAsia="en-US"/>
        </w:rPr>
        <w:t xml:space="preserve"> </w:t>
      </w:r>
    </w:p>
    <w:p w14:paraId="0C99712D" w14:textId="77777777" w:rsidR="00A11461" w:rsidRPr="00727B90" w:rsidRDefault="00162C48" w:rsidP="00D626E9">
      <w:pPr>
        <w:shd w:val="clear" w:color="auto" w:fill="FFFFFF"/>
        <w:spacing w:after="0" w:line="240" w:lineRule="auto"/>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g is the fraction seeking treatment in the public sector</w:t>
      </w:r>
      <w:r w:rsidRPr="00162C48">
        <w:rPr>
          <w:rFonts w:ascii="Calibri" w:eastAsia="Times New Roman" w:hAnsi="Calibri" w:cs="Calibri"/>
          <w:color w:val="4A4A4A"/>
          <w:sz w:val="21"/>
          <w:szCs w:val="21"/>
          <w:shd w:val="clear" w:color="auto" w:fill="FFFFFF"/>
          <w:lang w:eastAsia="en-US"/>
        </w:rPr>
        <w:t xml:space="preserve"> </w:t>
      </w:r>
    </w:p>
    <w:p w14:paraId="51C660DB" w14:textId="1D75CD38" w:rsidR="00A11461" w:rsidRPr="00727B90" w:rsidRDefault="00162C48" w:rsidP="00D626E9">
      <w:pPr>
        <w:shd w:val="clear" w:color="auto" w:fill="FFFFFF"/>
        <w:spacing w:after="0" w:line="240" w:lineRule="auto"/>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Factor to adjust for those not seeking treatment: (1</w:t>
      </w:r>
      <w:r w:rsidRPr="00162C48">
        <w:rPr>
          <w:rFonts w:ascii="Calibri" w:eastAsia="Times New Roman" w:hAnsi="Calibri" w:cs="Calibri"/>
          <w:color w:val="4A4A4A"/>
          <w:sz w:val="21"/>
          <w:szCs w:val="21"/>
          <w:shd w:val="clear" w:color="auto" w:fill="FFFFFF"/>
          <w:lang w:eastAsia="en-US"/>
        </w:rPr>
        <w:t xml:space="preserve"> – </w:t>
      </w:r>
      <w:r w:rsidRPr="00727B90">
        <w:rPr>
          <w:rFonts w:ascii="Calibri" w:hAnsi="Calibri"/>
          <w:color w:val="4A4A4A"/>
          <w:sz w:val="21"/>
          <w:shd w:val="clear" w:color="auto" w:fill="FFFFFF"/>
        </w:rPr>
        <w:t>g</w:t>
      </w:r>
      <w:r w:rsidRPr="00162C48">
        <w:rPr>
          <w:rFonts w:ascii="Calibri" w:eastAsia="Times New Roman" w:hAnsi="Calibri" w:cs="Calibri"/>
          <w:color w:val="4A4A4A"/>
          <w:sz w:val="21"/>
          <w:szCs w:val="21"/>
          <w:shd w:val="clear" w:color="auto" w:fill="FFFFFF"/>
          <w:lang w:eastAsia="en-US"/>
        </w:rPr>
        <w:t xml:space="preserve"> – </w:t>
      </w:r>
      <w:r w:rsidRPr="00727B90">
        <w:rPr>
          <w:rFonts w:ascii="Calibri" w:hAnsi="Calibri"/>
          <w:color w:val="4A4A4A"/>
          <w:sz w:val="21"/>
          <w:shd w:val="clear" w:color="auto" w:fill="FFFFFF"/>
        </w:rPr>
        <w:t>f)</w:t>
      </w:r>
      <w:r w:rsidRPr="00162C48">
        <w:rPr>
          <w:rFonts w:ascii="Calibri" w:eastAsia="Times New Roman" w:hAnsi="Calibri" w:cs="Calibri"/>
          <w:color w:val="4A4A4A"/>
          <w:sz w:val="21"/>
          <w:szCs w:val="21"/>
          <w:shd w:val="clear" w:color="auto" w:fill="FFFFFF"/>
          <w:lang w:eastAsia="en-US"/>
        </w:rPr>
        <w:t xml:space="preserve"> </w:t>
      </w:r>
    </w:p>
    <w:p w14:paraId="25EB9191" w14:textId="4B4EB0E3" w:rsidR="00A11461" w:rsidRPr="00727B90" w:rsidRDefault="00162C48" w:rsidP="00A11461">
      <w:pPr>
        <w:shd w:val="clear" w:color="auto" w:fill="FFFFFF"/>
        <w:spacing w:after="0" w:line="240" w:lineRule="auto"/>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Cases in the public sector:</w:t>
      </w:r>
      <w:r w:rsidR="00A11461" w:rsidRPr="00727B90">
        <w:rPr>
          <w:rFonts w:ascii="Calibri" w:hAnsi="Calibri"/>
          <w:color w:val="4A4A4A"/>
          <w:sz w:val="21"/>
          <w:shd w:val="clear" w:color="auto" w:fill="FFFFFF"/>
        </w:rPr>
        <w:t xml:space="preserve"> </w:t>
      </w:r>
      <w:r w:rsidRPr="00727B90">
        <w:rPr>
          <w:rFonts w:ascii="Calibri" w:hAnsi="Calibri"/>
          <w:color w:val="4A4A4A"/>
          <w:sz w:val="21"/>
          <w:shd w:val="clear" w:color="auto" w:fill="FFFFFF"/>
        </w:rPr>
        <w:t xml:space="preserve">(a + (c </w:t>
      </w:r>
      <w:r w:rsidRPr="00162C48">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e))/d</w:t>
      </w:r>
      <w:r w:rsidRPr="00162C48">
        <w:rPr>
          <w:rFonts w:ascii="Calibri" w:eastAsia="Times New Roman" w:hAnsi="Calibri" w:cs="Calibri"/>
          <w:color w:val="4A4A4A"/>
          <w:sz w:val="21"/>
          <w:szCs w:val="21"/>
          <w:shd w:val="clear" w:color="auto" w:fill="FFFFFF"/>
          <w:lang w:eastAsia="en-US"/>
        </w:rPr>
        <w:t xml:space="preserve"> </w:t>
      </w:r>
    </w:p>
    <w:p w14:paraId="72BC4F65" w14:textId="7BD654F5" w:rsidR="00A11461" w:rsidRDefault="00162C48" w:rsidP="00A11461">
      <w:pPr>
        <w:shd w:val="clear" w:color="auto" w:fill="FFFFFF"/>
        <w:spacing w:after="0" w:line="240" w:lineRule="auto"/>
        <w:textAlignment w:val="baseline"/>
        <w:rPr>
          <w:rFonts w:ascii="Calibri" w:eastAsia="Times New Roman" w:hAnsi="Calibri" w:cs="Calibri"/>
          <w:color w:val="4A4A4A"/>
          <w:sz w:val="21"/>
          <w:szCs w:val="21"/>
          <w:shd w:val="clear" w:color="auto" w:fill="FFFFFF"/>
          <w:lang w:eastAsia="en-US"/>
        </w:rPr>
      </w:pPr>
      <w:r w:rsidRPr="00727B90">
        <w:rPr>
          <w:rFonts w:ascii="Calibri" w:hAnsi="Calibri"/>
          <w:color w:val="4A4A4A"/>
          <w:sz w:val="21"/>
          <w:shd w:val="clear" w:color="auto" w:fill="FFFFFF"/>
        </w:rPr>
        <w:lastRenderedPageBreak/>
        <w:t xml:space="preserve">Cases in the private sector: (a + (c </w:t>
      </w:r>
      <w:r w:rsidRPr="00162C48">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e))/d </w:t>
      </w:r>
      <w:r w:rsidRPr="00162C48">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f/g</w:t>
      </w:r>
      <w:r w:rsidRPr="00162C48">
        <w:rPr>
          <w:rFonts w:ascii="Calibri" w:eastAsia="Times New Roman" w:hAnsi="Calibri" w:cs="Calibri"/>
          <w:color w:val="4A4A4A"/>
          <w:sz w:val="21"/>
          <w:szCs w:val="21"/>
          <w:shd w:val="clear" w:color="auto" w:fill="FFFFFF"/>
          <w:lang w:eastAsia="en-US"/>
        </w:rPr>
        <w:t xml:space="preserve"> </w:t>
      </w:r>
    </w:p>
    <w:p w14:paraId="4DB62680" w14:textId="77777777" w:rsidR="004A7E69" w:rsidRPr="00727B90" w:rsidRDefault="004A7E69" w:rsidP="00A11461">
      <w:pPr>
        <w:shd w:val="clear" w:color="auto" w:fill="FFFFFF"/>
        <w:spacing w:after="0" w:line="240" w:lineRule="auto"/>
        <w:textAlignment w:val="baseline"/>
        <w:rPr>
          <w:rFonts w:ascii="Calibri" w:hAnsi="Calibri"/>
          <w:color w:val="4A4A4A"/>
          <w:sz w:val="21"/>
          <w:shd w:val="clear" w:color="auto" w:fill="FFFFFF"/>
        </w:rPr>
      </w:pPr>
    </w:p>
    <w:p w14:paraId="6C3D97A8" w14:textId="051E8457" w:rsidR="00162C48" w:rsidRDefault="00162C48">
      <w:pPr>
        <w:shd w:val="clear" w:color="auto" w:fill="FFFFFF"/>
        <w:spacing w:after="0" w:line="240" w:lineRule="auto"/>
        <w:jc w:val="both"/>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 xml:space="preserve">To estimate the uncertainty around the number of cases, the test positivity rate was assumed to have a normal distribution centred on the test positivity rate value and standard deviation – defined as 0.244 × </w:t>
      </w:r>
      <w:r w:rsidRPr="00162C48">
        <w:rPr>
          <w:rFonts w:ascii="Calibri" w:eastAsia="Times New Roman" w:hAnsi="Calibri" w:cs="Calibri"/>
          <w:color w:val="4A4A4A"/>
          <w:sz w:val="21"/>
          <w:szCs w:val="21"/>
          <w:shd w:val="clear" w:color="auto" w:fill="FFFFFF"/>
          <w:lang w:eastAsia="en-US"/>
        </w:rPr>
        <w:t>e0</w:t>
      </w:r>
      <w:r w:rsidRPr="00727B90">
        <w:rPr>
          <w:rFonts w:ascii="Calibri" w:hAnsi="Calibri"/>
          <w:color w:val="4A4A4A"/>
          <w:sz w:val="21"/>
          <w:shd w:val="clear" w:color="auto" w:fill="FFFFFF"/>
        </w:rPr>
        <w:t>.5547 and truncated to be in the range 0, 1. Reporting completeness (d</w:t>
      </w:r>
      <w:r w:rsidRPr="00162C48">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was assumed to have one of three distributions, depending on the value reported by the NMP. If the value was reported as a range greater than 80%, the distribution was assumed to be triangular, with limits of 0.8 and</w:t>
      </w:r>
      <w:r w:rsidR="007B3292" w:rsidRPr="00727B90">
        <w:rPr>
          <w:rFonts w:ascii="Calibri" w:hAnsi="Calibri"/>
          <w:color w:val="4A4A4A"/>
          <w:sz w:val="21"/>
          <w:shd w:val="clear" w:color="auto" w:fill="FFFFFF"/>
        </w:rPr>
        <w:t xml:space="preserve"> 1.0, and the peak at 0.</w:t>
      </w:r>
      <w:r w:rsidR="007B3292" w:rsidRPr="007B3292">
        <w:rPr>
          <w:rFonts w:ascii="Calibri" w:eastAsia="Times New Roman" w:hAnsi="Calibri" w:cs="Calibri"/>
          <w:color w:val="4A4A4A"/>
          <w:sz w:val="21"/>
          <w:szCs w:val="21"/>
          <w:shd w:val="clear" w:color="auto" w:fill="FFFFFF"/>
          <w:lang w:eastAsia="en-US"/>
        </w:rPr>
        <w:t>95.</w:t>
      </w:r>
      <w:r w:rsidR="007B3292" w:rsidRPr="00727B90">
        <w:rPr>
          <w:rFonts w:ascii="Calibri" w:hAnsi="Calibri"/>
          <w:color w:val="4A4A4A"/>
          <w:sz w:val="21"/>
          <w:shd w:val="clear" w:color="auto" w:fill="FFFFFF"/>
        </w:rPr>
        <w:t xml:space="preserve"> If the reporting completeness was reported as a value and was more than 80%, a beta distribution was assumed, with a mean value of the reported value (maximum of 95%) and confidence intervals (CIs) of 5% around the mean value. </w:t>
      </w:r>
      <w:r w:rsidR="007B3292" w:rsidRPr="007B3292">
        <w:rPr>
          <w:rFonts w:ascii="Calibri" w:eastAsia="Times New Roman" w:hAnsi="Calibri" w:cs="Calibri"/>
          <w:color w:val="4A4A4A"/>
          <w:sz w:val="21"/>
          <w:szCs w:val="21"/>
          <w:shd w:val="clear" w:color="auto" w:fill="FFFFFF"/>
          <w:lang w:eastAsia="en-US"/>
        </w:rPr>
        <w:t>If the value or range</w:t>
      </w:r>
      <w:r w:rsidR="007B3292" w:rsidRPr="00727B90">
        <w:rPr>
          <w:rFonts w:ascii="Calibri" w:hAnsi="Calibri"/>
          <w:color w:val="4A4A4A"/>
          <w:sz w:val="21"/>
          <w:shd w:val="clear" w:color="auto" w:fill="FFFFFF"/>
        </w:rPr>
        <w:t xml:space="preserve"> was more than 50% but less than or equal to 80%, the distribution was assumed to be rectangular, with limits of 0.5 and 0.8</w:t>
      </w:r>
      <w:r w:rsidR="007B3292" w:rsidRPr="007B3292">
        <w:rPr>
          <w:rFonts w:ascii="Calibri" w:eastAsia="Times New Roman" w:hAnsi="Calibri" w:cs="Calibri"/>
          <w:color w:val="4A4A4A"/>
          <w:sz w:val="21"/>
          <w:szCs w:val="21"/>
          <w:shd w:val="clear" w:color="auto" w:fill="FFFFFF"/>
          <w:lang w:eastAsia="en-US"/>
        </w:rPr>
        <w:t>, and the peak at 0.8.</w:t>
      </w:r>
      <w:r w:rsidR="007B3292" w:rsidRPr="00727B90">
        <w:rPr>
          <w:rFonts w:ascii="Calibri" w:hAnsi="Calibri"/>
          <w:color w:val="4A4A4A"/>
          <w:sz w:val="21"/>
          <w:shd w:val="clear" w:color="auto" w:fill="FFFFFF"/>
        </w:rPr>
        <w:t xml:space="preserve"> Finally, if the value</w:t>
      </w:r>
      <w:r w:rsidR="007B3292" w:rsidRPr="007B3292">
        <w:rPr>
          <w:rFonts w:ascii="Calibri" w:eastAsia="Times New Roman" w:hAnsi="Calibri" w:cs="Calibri"/>
          <w:color w:val="4A4A4A"/>
          <w:sz w:val="21"/>
          <w:szCs w:val="21"/>
          <w:shd w:val="clear" w:color="auto" w:fill="FFFFFF"/>
          <w:lang w:eastAsia="en-US"/>
        </w:rPr>
        <w:t xml:space="preserve"> or range</w:t>
      </w:r>
      <w:r w:rsidR="007B3292" w:rsidRPr="00727B90">
        <w:rPr>
          <w:rFonts w:ascii="Calibri" w:hAnsi="Calibri"/>
          <w:color w:val="4A4A4A"/>
          <w:sz w:val="21"/>
          <w:shd w:val="clear" w:color="auto" w:fill="FFFFFF"/>
        </w:rPr>
        <w:t xml:space="preserve"> was less than or equal to 50%, the distribution was assumed to be triangular, with limits of 0 and 0.5, and the peak at 0.5 (</w:t>
      </w:r>
      <w:r w:rsidR="007B3292" w:rsidRPr="007B3292">
        <w:rPr>
          <w:rFonts w:ascii="Calibri" w:eastAsia="Times New Roman" w:hAnsi="Calibri" w:cs="Calibri"/>
          <w:color w:val="4A4A4A"/>
          <w:sz w:val="21"/>
          <w:szCs w:val="21"/>
          <w:shd w:val="clear" w:color="auto" w:fill="FFFFFF"/>
          <w:lang w:eastAsia="en-US"/>
        </w:rPr>
        <w:t xml:space="preserve">2). </w:t>
      </w:r>
      <w:r w:rsidR="007B3292" w:rsidRPr="00727B90">
        <w:rPr>
          <w:rFonts w:ascii="Calibri" w:hAnsi="Calibri"/>
          <w:color w:val="4A4A4A"/>
          <w:sz w:val="21"/>
          <w:shd w:val="clear" w:color="auto" w:fill="FFFFFF"/>
        </w:rPr>
        <w:t>The fraction of children brought for care in the public sector and in the private sector was assumed to have a beta distribution, with the mean value being the estimated value in the survey and the standard deviation being calculated from the range of the estimated 95% CIs. The fraction of children not brought for care was assumed to have a rectangular distribution, with the lower limit being 0 and the upper limit calculated as 1 minus the proportion that were brought for care in the public and private sectors. The three distributions (fraction seeking treatment in the public sector, fraction seeking treatment in the private sector only and fraction not seeking treatment) were constrained to add up to 1.</w:t>
      </w:r>
    </w:p>
    <w:p w14:paraId="30878547" w14:textId="77777777" w:rsidR="00922499" w:rsidRPr="00727B90" w:rsidRDefault="00922499" w:rsidP="00727B90">
      <w:pPr>
        <w:shd w:val="clear" w:color="auto" w:fill="FFFFFF"/>
        <w:spacing w:after="0" w:line="240" w:lineRule="auto"/>
        <w:jc w:val="both"/>
        <w:textAlignment w:val="baseline"/>
        <w:rPr>
          <w:rFonts w:ascii="Calibri" w:hAnsi="Calibri"/>
          <w:color w:val="4A4A4A"/>
          <w:sz w:val="21"/>
          <w:shd w:val="clear" w:color="auto" w:fill="FFFFFF"/>
        </w:rPr>
      </w:pPr>
    </w:p>
    <w:p w14:paraId="6C511302" w14:textId="00FC7B22" w:rsidR="00EC2C67" w:rsidRDefault="00DD4EA2">
      <w:pPr>
        <w:shd w:val="clear" w:color="auto" w:fill="FFFFFF"/>
        <w:spacing w:after="0" w:line="240" w:lineRule="auto"/>
        <w:jc w:val="both"/>
        <w:textAlignment w:val="baseline"/>
        <w:rPr>
          <w:rFonts w:ascii="Calibri" w:eastAsia="Times New Roman" w:hAnsi="Calibri" w:cs="Calibri"/>
          <w:color w:val="4A4A4A"/>
          <w:sz w:val="21"/>
          <w:szCs w:val="21"/>
          <w:shd w:val="clear" w:color="auto" w:fill="FFFFFF"/>
          <w:lang w:eastAsia="en-US"/>
        </w:rPr>
      </w:pPr>
      <w:r w:rsidRPr="00727B90">
        <w:rPr>
          <w:rFonts w:ascii="Calibri" w:hAnsi="Calibri"/>
          <w:color w:val="4A4A4A"/>
          <w:sz w:val="21"/>
          <w:shd w:val="clear" w:color="auto" w:fill="FFFFFF"/>
        </w:rPr>
        <w:t xml:space="preserve">Sector-specific care seeking fractions were linearly interpolated between the years that had a survey and were extrapolated for the years before the first or after the last survey. The parameters used to propagate uncertainty around these fractions were also imputed in a similar way or, if there was no value for any year in the country or area, were imputed as a mixture of the distributions of the region for that year. CIs were obtained from 10 000 draws of the convoluted distributions. The data were analysed using R statistical software, using the </w:t>
      </w:r>
      <w:proofErr w:type="spellStart"/>
      <w:r w:rsidRPr="00727B90">
        <w:rPr>
          <w:rFonts w:ascii="Calibri" w:hAnsi="Calibri"/>
          <w:color w:val="4A4A4A"/>
          <w:sz w:val="21"/>
          <w:shd w:val="clear" w:color="auto" w:fill="FFFFFF"/>
        </w:rPr>
        <w:t>convdistr</w:t>
      </w:r>
      <w:proofErr w:type="spellEnd"/>
      <w:r w:rsidRPr="00727B90">
        <w:rPr>
          <w:rFonts w:ascii="Calibri" w:hAnsi="Calibri"/>
          <w:color w:val="4A4A4A"/>
          <w:sz w:val="21"/>
          <w:shd w:val="clear" w:color="auto" w:fill="FFFFFF"/>
        </w:rPr>
        <w:t xml:space="preserve"> R package to propagate uncertainty and manage distributions</w:t>
      </w:r>
      <w:r w:rsidRPr="00DD4EA2">
        <w:rPr>
          <w:rFonts w:ascii="Calibri" w:eastAsia="Times New Roman" w:hAnsi="Calibri" w:cs="Calibri"/>
          <w:color w:val="4A4A4A"/>
          <w:sz w:val="21"/>
          <w:szCs w:val="21"/>
          <w:shd w:val="clear" w:color="auto" w:fill="FFFFFF"/>
          <w:lang w:eastAsia="en-US"/>
        </w:rPr>
        <w:t xml:space="preserve"> </w:t>
      </w:r>
      <w:r w:rsidRPr="00E226D6">
        <w:rPr>
          <w:rFonts w:ascii="Calibri" w:eastAsia="Times New Roman" w:hAnsi="Calibri" w:cs="Calibri"/>
          <w:color w:val="4A4A4A"/>
          <w:sz w:val="21"/>
          <w:szCs w:val="21"/>
          <w:shd w:val="clear" w:color="auto" w:fill="FFFFFF"/>
          <w:lang w:eastAsia="en-US"/>
        </w:rPr>
        <w:t>(</w:t>
      </w:r>
      <w:r w:rsidR="00330F0C" w:rsidRPr="00E226D6">
        <w:rPr>
          <w:rFonts w:ascii="Calibri" w:eastAsia="Times New Roman" w:hAnsi="Calibri" w:cs="Calibri"/>
          <w:color w:val="4A4A4A"/>
          <w:sz w:val="21"/>
          <w:szCs w:val="21"/>
          <w:shd w:val="clear" w:color="auto" w:fill="FFFFFF"/>
          <w:lang w:eastAsia="en-US"/>
        </w:rPr>
        <w:t>2</w:t>
      </w:r>
      <w:r w:rsidRPr="00E226D6">
        <w:rPr>
          <w:rFonts w:ascii="Calibri" w:eastAsia="Times New Roman" w:hAnsi="Calibri" w:cs="Calibri"/>
          <w:color w:val="4A4A4A"/>
          <w:sz w:val="21"/>
          <w:szCs w:val="21"/>
          <w:shd w:val="clear" w:color="auto" w:fill="FFFFFF"/>
          <w:lang w:eastAsia="en-US"/>
        </w:rPr>
        <w:t>).</w:t>
      </w:r>
      <w:r w:rsidRPr="00DD4EA2">
        <w:rPr>
          <w:rFonts w:ascii="Calibri" w:eastAsia="Times New Roman" w:hAnsi="Calibri" w:cs="Calibri"/>
          <w:color w:val="4A4A4A"/>
          <w:sz w:val="21"/>
          <w:szCs w:val="21"/>
          <w:shd w:val="clear" w:color="auto" w:fill="FFFFFF"/>
          <w:lang w:eastAsia="en-US"/>
        </w:rPr>
        <w:t xml:space="preserve"> </w:t>
      </w:r>
    </w:p>
    <w:p w14:paraId="673AAA63" w14:textId="77777777" w:rsidR="00922499" w:rsidRPr="00727B90" w:rsidRDefault="00922499" w:rsidP="00727B90">
      <w:pPr>
        <w:shd w:val="clear" w:color="auto" w:fill="FFFFFF"/>
        <w:spacing w:after="0" w:line="240" w:lineRule="auto"/>
        <w:jc w:val="both"/>
        <w:textAlignment w:val="baseline"/>
        <w:rPr>
          <w:rFonts w:ascii="Calibri" w:hAnsi="Calibri"/>
          <w:color w:val="4A4A4A"/>
          <w:sz w:val="21"/>
          <w:shd w:val="clear" w:color="auto" w:fill="FFFFFF"/>
        </w:rPr>
      </w:pPr>
    </w:p>
    <w:p w14:paraId="1F2C92C9" w14:textId="45CA5C63" w:rsidR="00FA06E2" w:rsidRDefault="00DD4EA2">
      <w:pPr>
        <w:shd w:val="clear" w:color="auto" w:fill="FFFFFF"/>
        <w:spacing w:after="0" w:line="240" w:lineRule="auto"/>
        <w:jc w:val="both"/>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 xml:space="preserve">For India, the values were obtained at subnational level using the same methodology. An additional adjustment was applied in several states in India between 2020 and 2022, to control for the reductions in reported testing rates associated with disruptions in health services related to the COVID-19 pandemic. The states with reductions in testing rates below those expected (defined as a change in testing rates of more than 10% observed between 2018 and 2019) in 2020 were Bihar, Chandigarh, Chhattisgarh, Dadra </w:t>
      </w:r>
      <w:r w:rsidRPr="00DD4EA2">
        <w:rPr>
          <w:rFonts w:ascii="Calibri" w:eastAsia="Times New Roman" w:hAnsi="Calibri" w:cs="Calibri"/>
          <w:color w:val="4A4A4A"/>
          <w:sz w:val="21"/>
          <w:szCs w:val="21"/>
          <w:shd w:val="clear" w:color="auto" w:fill="FFFFFF"/>
          <w:lang w:eastAsia="en-US"/>
        </w:rPr>
        <w:t>and</w:t>
      </w:r>
      <w:r w:rsidRPr="00727B90">
        <w:rPr>
          <w:rFonts w:ascii="Calibri" w:hAnsi="Calibri"/>
          <w:color w:val="4A4A4A"/>
          <w:sz w:val="21"/>
          <w:shd w:val="clear" w:color="auto" w:fill="FFFFFF"/>
        </w:rPr>
        <w:t xml:space="preserve"> Nagar Haveli, Delhi, Goa, Jharkhand, Karnataka, Puducherry, Punjab, Uttar Pradesh, Uttarakhand and West Bengal. In 2021, the states with reductions in testing rates were Assam, Chandigarh, Chhattisgarh, Daman </w:t>
      </w:r>
      <w:r w:rsidRPr="00DD4EA2">
        <w:rPr>
          <w:rFonts w:ascii="Calibri" w:eastAsia="Times New Roman" w:hAnsi="Calibri" w:cs="Calibri"/>
          <w:color w:val="4A4A4A"/>
          <w:sz w:val="21"/>
          <w:szCs w:val="21"/>
          <w:shd w:val="clear" w:color="auto" w:fill="FFFFFF"/>
          <w:lang w:eastAsia="en-US"/>
        </w:rPr>
        <w:t>and</w:t>
      </w:r>
      <w:r w:rsidRPr="00727B90">
        <w:rPr>
          <w:rFonts w:ascii="Calibri" w:hAnsi="Calibri"/>
          <w:color w:val="4A4A4A"/>
          <w:sz w:val="21"/>
          <w:shd w:val="clear" w:color="auto" w:fill="FFFFFF"/>
        </w:rPr>
        <w:t xml:space="preserve"> Diu, Delhi, Goa, Himachal Pradesh</w:t>
      </w:r>
      <w:r w:rsidRPr="00DD4EA2">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Karnataka, Kerala, Manipur, Puducherry, Punjab, Uttar Pradesh, Uttarakhand and West Bengal. In 2022, cases were corrected for the states of Assam, Bihar, Chandigarh, Chhattisgarh, Delhi, Gujarat, Himachal Pradesh, Manipur, Puducherry, Punjab, Sikkim and West Bengal. In these states, the excess number of indigenous cases expected in the absence of diagnostic disruptions was calculated by estimating the number of additional tests that would have been conducted if testing rates were similar to those observed in 2019, then applying the test positivity ratio observed in 2019 (or in 2020 for Delhi and Jharkhand, or in 2021 and 2022 for Delhi and Puducherry) to this number. </w:t>
      </w:r>
      <w:r w:rsidR="00D83B43" w:rsidRPr="00727B90">
        <w:rPr>
          <w:rFonts w:ascii="Calibri" w:hAnsi="Calibri"/>
          <w:color w:val="4A4A4A"/>
          <w:sz w:val="21"/>
          <w:shd w:val="clear" w:color="auto" w:fill="FFFFFF"/>
        </w:rPr>
        <w:t>The malaria burden in countries outside the WHO</w:t>
      </w:r>
      <w:r w:rsidR="007D01FE" w:rsidRPr="00727B90">
        <w:rPr>
          <w:rFonts w:ascii="Calibri" w:hAnsi="Calibri"/>
          <w:color w:val="4A4A4A"/>
          <w:sz w:val="21"/>
          <w:shd w:val="clear" w:color="auto" w:fill="FFFFFF"/>
        </w:rPr>
        <w:t xml:space="preserve"> African Region was affected by the COVID-19 pandemic in different ways. In several countries, the movement disruptions led to transmission reductions; in other cases, testing rates remained unchanged. This made it challenging to apply a single source of data for correction to all countries, considering also that it was difficult to relate the reported data to the </w:t>
      </w:r>
      <w:r w:rsidR="007D01FE" w:rsidRPr="007D01FE">
        <w:rPr>
          <w:rFonts w:ascii="Calibri" w:eastAsia="Times New Roman" w:hAnsi="Calibri" w:cs="Calibri"/>
          <w:color w:val="4A4A4A"/>
          <w:sz w:val="21"/>
          <w:szCs w:val="21"/>
          <w:shd w:val="clear" w:color="auto" w:fill="FFFFFF"/>
          <w:lang w:eastAsia="en-US"/>
        </w:rPr>
        <w:t>essential health services (</w:t>
      </w:r>
      <w:r w:rsidR="007D01FE" w:rsidRPr="00727B90">
        <w:rPr>
          <w:rFonts w:ascii="Calibri" w:hAnsi="Calibri"/>
          <w:color w:val="4A4A4A"/>
          <w:sz w:val="21"/>
          <w:shd w:val="clear" w:color="auto" w:fill="FFFFFF"/>
        </w:rPr>
        <w:t>EHS</w:t>
      </w:r>
      <w:r w:rsidR="007D01FE" w:rsidRPr="007D01FE">
        <w:rPr>
          <w:rFonts w:ascii="Calibri" w:eastAsia="Times New Roman" w:hAnsi="Calibri" w:cs="Calibri"/>
          <w:color w:val="4A4A4A"/>
          <w:sz w:val="21"/>
          <w:szCs w:val="21"/>
          <w:shd w:val="clear" w:color="auto" w:fill="FFFFFF"/>
          <w:lang w:eastAsia="en-US"/>
        </w:rPr>
        <w:t>)</w:t>
      </w:r>
      <w:r w:rsidR="007D01FE" w:rsidRPr="00727B90">
        <w:rPr>
          <w:rFonts w:ascii="Calibri" w:hAnsi="Calibri"/>
          <w:color w:val="4A4A4A"/>
          <w:sz w:val="21"/>
          <w:shd w:val="clear" w:color="auto" w:fill="FFFFFF"/>
        </w:rPr>
        <w:t xml:space="preserve"> response. No adjustment for private sector treatment seeking was made for the following countries and areas because they report cases from the private and public sector together: Bangladesh, the Bolivarian Republic of Venezuela, Botswana, Brazil, Colombia, the Dominican Republic, French Guiana, Guatemala, Guyana, Haiti, Honduras, Indonesia (since 2017), Myanmar (since 2013), Nepal (since 2019), </w:t>
      </w:r>
      <w:r w:rsidR="007D01FE" w:rsidRPr="007D01FE">
        <w:rPr>
          <w:rFonts w:ascii="Calibri" w:eastAsia="Times New Roman" w:hAnsi="Calibri" w:cs="Calibri"/>
          <w:color w:val="4A4A4A"/>
          <w:sz w:val="21"/>
          <w:szCs w:val="21"/>
          <w:shd w:val="clear" w:color="auto" w:fill="FFFFFF"/>
          <w:lang w:eastAsia="en-US"/>
        </w:rPr>
        <w:t xml:space="preserve">Nicaragua, </w:t>
      </w:r>
      <w:r w:rsidR="007D01FE" w:rsidRPr="00727B90">
        <w:rPr>
          <w:rFonts w:ascii="Calibri" w:hAnsi="Calibri"/>
          <w:color w:val="4A4A4A"/>
          <w:sz w:val="21"/>
          <w:shd w:val="clear" w:color="auto" w:fill="FFFFFF"/>
        </w:rPr>
        <w:t>Panama, Peru, the Plurinational State of Bolivia and Rwanda</w:t>
      </w:r>
      <w:r w:rsidR="007D01FE" w:rsidRPr="007D01FE">
        <w:rPr>
          <w:rFonts w:ascii="Calibri" w:eastAsia="Times New Roman" w:hAnsi="Calibri" w:cs="Calibri"/>
          <w:color w:val="4A4A4A"/>
          <w:sz w:val="21"/>
          <w:szCs w:val="21"/>
          <w:shd w:val="clear" w:color="auto" w:fill="FFFFFF"/>
          <w:lang w:eastAsia="en-US"/>
        </w:rPr>
        <w:t>. For Senegal and Yemen, reported cases from last year were used, adjusting for the changes in population at risk values, and then these data were used to estimate the number of cases</w:t>
      </w:r>
      <w:r w:rsidR="007D01FE" w:rsidRPr="00727B90">
        <w:rPr>
          <w:rFonts w:ascii="Calibri" w:hAnsi="Calibri"/>
          <w:color w:val="4A4A4A"/>
          <w:sz w:val="21"/>
          <w:shd w:val="clear" w:color="auto" w:fill="FFFFFF"/>
        </w:rPr>
        <w:t>.</w:t>
      </w:r>
    </w:p>
    <w:p w14:paraId="4D1A83C3" w14:textId="77777777" w:rsidR="003E06AA" w:rsidRPr="00727B90" w:rsidRDefault="003E06AA" w:rsidP="00727B90">
      <w:pPr>
        <w:shd w:val="clear" w:color="auto" w:fill="FFFFFF"/>
        <w:spacing w:after="0" w:line="240" w:lineRule="auto"/>
        <w:jc w:val="both"/>
        <w:textAlignment w:val="baseline"/>
        <w:rPr>
          <w:rFonts w:ascii="Calibri" w:hAnsi="Calibri"/>
          <w:color w:val="4A4A4A"/>
          <w:sz w:val="21"/>
          <w:shd w:val="clear" w:color="auto" w:fill="FFFFFF"/>
        </w:rPr>
      </w:pPr>
    </w:p>
    <w:p w14:paraId="7E90C2D7" w14:textId="2D1D8B03" w:rsidR="00FC4B5C" w:rsidRPr="00727B90" w:rsidRDefault="00FC4B5C" w:rsidP="00D626E9">
      <w:pPr>
        <w:shd w:val="clear" w:color="auto" w:fill="FFFFFF"/>
        <w:spacing w:after="0" w:line="240" w:lineRule="auto"/>
        <w:textAlignment w:val="baseline"/>
        <w:rPr>
          <w:rFonts w:ascii="Calibri" w:hAnsi="Calibri"/>
          <w:b/>
          <w:color w:val="4A4A4A"/>
          <w:sz w:val="21"/>
          <w:shd w:val="clear" w:color="auto" w:fill="FFFFFF"/>
        </w:rPr>
      </w:pPr>
      <w:r w:rsidRPr="00727B90">
        <w:rPr>
          <w:rFonts w:ascii="Calibri" w:hAnsi="Calibri"/>
          <w:b/>
          <w:color w:val="4A4A4A"/>
          <w:sz w:val="21"/>
          <w:shd w:val="clear" w:color="auto" w:fill="FFFFFF"/>
        </w:rPr>
        <w:lastRenderedPageBreak/>
        <w:t>Method 2</w:t>
      </w:r>
      <w:r w:rsidR="002B2BB3">
        <w:rPr>
          <w:rFonts w:ascii="Calibri" w:eastAsia="Times New Roman" w:hAnsi="Calibri" w:cs="Calibri"/>
          <w:b/>
          <w:bCs/>
          <w:color w:val="4A4A4A"/>
          <w:sz w:val="21"/>
          <w:szCs w:val="21"/>
          <w:shd w:val="clear" w:color="auto" w:fill="FFFFFF"/>
          <w:lang w:eastAsia="en-US"/>
        </w:rPr>
        <w:t>:</w:t>
      </w:r>
      <w:r w:rsidRPr="00972DD0">
        <w:rPr>
          <w:rFonts w:ascii="Calibri" w:eastAsia="Times New Roman" w:hAnsi="Calibri" w:cs="Calibri"/>
          <w:b/>
          <w:bCs/>
          <w:color w:val="4A4A4A"/>
          <w:sz w:val="21"/>
          <w:szCs w:val="21"/>
          <w:shd w:val="clear" w:color="auto" w:fill="FFFFFF"/>
          <w:lang w:eastAsia="en-US"/>
        </w:rPr>
        <w:t xml:space="preserve"> </w:t>
      </w:r>
    </w:p>
    <w:p w14:paraId="6138E1B8" w14:textId="77777777" w:rsidR="00210E67" w:rsidRDefault="00FC4B5C">
      <w:pPr>
        <w:shd w:val="clear" w:color="auto" w:fill="FFFFFF"/>
        <w:spacing w:after="0" w:line="240" w:lineRule="auto"/>
        <w:jc w:val="both"/>
        <w:textAlignment w:val="baseline"/>
        <w:rPr>
          <w:rFonts w:ascii="Calibri" w:eastAsia="Times New Roman" w:hAnsi="Calibri" w:cs="Calibri"/>
          <w:color w:val="4A4A4A"/>
          <w:sz w:val="21"/>
          <w:szCs w:val="21"/>
          <w:shd w:val="clear" w:color="auto" w:fill="FFFFFF"/>
          <w:lang w:eastAsia="en-US"/>
        </w:rPr>
      </w:pPr>
      <w:r w:rsidRPr="00727B90">
        <w:rPr>
          <w:rFonts w:ascii="Calibri" w:hAnsi="Calibri"/>
          <w:color w:val="4A4A4A"/>
          <w:sz w:val="21"/>
          <w:shd w:val="clear" w:color="auto" w:fill="FFFFFF"/>
        </w:rPr>
        <w:t>Method 2 was used for high transmission countries in the WHO African Region and for countries in the Eastern Mediterranean Region in which the quality of surveillance data did not permit a robust estimate from the number of reported cases. These countries were Angola, Benin, Burkina Faso, Burundi, Cameroon, the Central African Republic, Chad, the Congo, Côte d’Ivoire, the Democratic Republic of the Congo, Equatorial Guinea, Gabon, Ghana, Guinea, Guinea-Bissau, Kenya, Liberia, Malawi, Mali, Mozambique, the Niger, Nigeria, Sierra Leone, Somalia, South Sudan, the Sudan, Togo, Uganda, the United Republic of Tanzania and Zambia. In this method, estimates of the number of malaria cases were derived from information on parasite prevalence obtained from household surveys.</w:t>
      </w:r>
      <w:r w:rsidRPr="00FC4B5C">
        <w:rPr>
          <w:rFonts w:ascii="Calibri" w:eastAsia="Times New Roman" w:hAnsi="Calibri" w:cs="Calibri"/>
          <w:color w:val="4A4A4A"/>
          <w:sz w:val="21"/>
          <w:szCs w:val="21"/>
          <w:shd w:val="clear" w:color="auto" w:fill="FFFFFF"/>
          <w:lang w:eastAsia="en-US"/>
        </w:rPr>
        <w:t xml:space="preserve"> </w:t>
      </w:r>
    </w:p>
    <w:p w14:paraId="646E7C71" w14:textId="77777777" w:rsidR="003E06AA" w:rsidRPr="00727B90" w:rsidRDefault="003E06AA" w:rsidP="00727B90">
      <w:pPr>
        <w:shd w:val="clear" w:color="auto" w:fill="FFFFFF"/>
        <w:spacing w:after="0" w:line="240" w:lineRule="auto"/>
        <w:jc w:val="both"/>
        <w:textAlignment w:val="baseline"/>
        <w:rPr>
          <w:rFonts w:ascii="Calibri" w:hAnsi="Calibri"/>
          <w:color w:val="4A4A4A"/>
          <w:sz w:val="21"/>
          <w:shd w:val="clear" w:color="auto" w:fill="FFFFFF"/>
        </w:rPr>
      </w:pPr>
    </w:p>
    <w:p w14:paraId="35A7B443" w14:textId="13A6D7AF" w:rsidR="008D5A8E" w:rsidRDefault="00FC4B5C">
      <w:pPr>
        <w:shd w:val="clear" w:color="auto" w:fill="FFFFFF"/>
        <w:spacing w:after="0" w:line="240" w:lineRule="auto"/>
        <w:jc w:val="both"/>
        <w:textAlignment w:val="baseline"/>
        <w:rPr>
          <w:rFonts w:ascii="Calibri" w:eastAsia="Times New Roman" w:hAnsi="Calibri" w:cs="Calibri"/>
          <w:color w:val="4A4A4A"/>
          <w:sz w:val="21"/>
          <w:szCs w:val="21"/>
          <w:shd w:val="clear" w:color="auto" w:fill="FFFFFF"/>
          <w:lang w:eastAsia="en-US"/>
        </w:rPr>
      </w:pPr>
      <w:r w:rsidRPr="00727B90">
        <w:rPr>
          <w:rFonts w:ascii="Calibri" w:hAnsi="Calibri"/>
          <w:color w:val="4A4A4A"/>
          <w:sz w:val="21"/>
          <w:shd w:val="clear" w:color="auto" w:fill="FFFFFF"/>
        </w:rPr>
        <w:t xml:space="preserve">First, data on parasite prevalence from almost 60 000 survey records were assembled within a </w:t>
      </w:r>
      <w:r w:rsidRPr="00FC4B5C">
        <w:rPr>
          <w:rFonts w:ascii="Calibri" w:eastAsia="Times New Roman" w:hAnsi="Calibri" w:cs="Calibri"/>
          <w:color w:val="4A4A4A"/>
          <w:sz w:val="21"/>
          <w:szCs w:val="21"/>
          <w:shd w:val="clear" w:color="auto" w:fill="FFFFFF"/>
          <w:lang w:eastAsia="en-US"/>
        </w:rPr>
        <w:t>spatiotemporal</w:t>
      </w:r>
      <w:r w:rsidRPr="00727B90">
        <w:rPr>
          <w:rFonts w:ascii="Calibri" w:hAnsi="Calibri"/>
          <w:color w:val="4A4A4A"/>
          <w:sz w:val="21"/>
          <w:shd w:val="clear" w:color="auto" w:fill="FFFFFF"/>
        </w:rPr>
        <w:t xml:space="preserve"> Bayesian geostatistical model, together with environmental and sociodemographic covariates, and data distribution on interventions such as </w:t>
      </w:r>
      <w:r w:rsidRPr="00FC4B5C">
        <w:rPr>
          <w:rFonts w:ascii="Calibri" w:eastAsia="Times New Roman" w:hAnsi="Calibri" w:cs="Calibri"/>
          <w:color w:val="4A4A4A"/>
          <w:sz w:val="21"/>
          <w:szCs w:val="21"/>
          <w:shd w:val="clear" w:color="auto" w:fill="FFFFFF"/>
          <w:lang w:eastAsia="en-US"/>
        </w:rPr>
        <w:t>insecticide-treated mosquito nets (</w:t>
      </w:r>
      <w:r w:rsidRPr="00727B90">
        <w:rPr>
          <w:rFonts w:ascii="Calibri" w:hAnsi="Calibri"/>
          <w:color w:val="4A4A4A"/>
          <w:sz w:val="21"/>
          <w:shd w:val="clear" w:color="auto" w:fill="FFFFFF"/>
        </w:rPr>
        <w:t>ITNs</w:t>
      </w:r>
      <w:r w:rsidRPr="00FC4B5C">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antimalarial drugs and indoor residual spraying (IRS)</w:t>
      </w:r>
      <w:r w:rsidRPr="00FC4B5C">
        <w:rPr>
          <w:rFonts w:ascii="Calibri" w:eastAsia="Times New Roman" w:hAnsi="Calibri" w:cs="Calibri"/>
          <w:color w:val="4A4A4A"/>
          <w:sz w:val="21"/>
          <w:szCs w:val="21"/>
          <w:shd w:val="clear" w:color="auto" w:fill="FFFFFF"/>
          <w:lang w:eastAsia="en-US"/>
        </w:rPr>
        <w:t xml:space="preserve"> </w:t>
      </w:r>
      <w:r w:rsidRPr="00E226D6">
        <w:rPr>
          <w:rFonts w:ascii="Calibri" w:eastAsia="Times New Roman" w:hAnsi="Calibri" w:cs="Calibri"/>
          <w:color w:val="4A4A4A"/>
          <w:sz w:val="21"/>
          <w:szCs w:val="21"/>
          <w:shd w:val="clear" w:color="auto" w:fill="FFFFFF"/>
          <w:lang w:eastAsia="en-US"/>
        </w:rPr>
        <w:t>(</w:t>
      </w:r>
      <w:r w:rsidR="00330F0C" w:rsidRPr="00E226D6">
        <w:rPr>
          <w:rFonts w:ascii="Calibri" w:eastAsia="Times New Roman" w:hAnsi="Calibri" w:cs="Calibri"/>
          <w:color w:val="4A4A4A"/>
          <w:sz w:val="21"/>
          <w:szCs w:val="21"/>
          <w:shd w:val="clear" w:color="auto" w:fill="FFFFFF"/>
          <w:lang w:eastAsia="en-US"/>
        </w:rPr>
        <w:t>3</w:t>
      </w:r>
      <w:r w:rsidRPr="00E226D6">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that are updated yearly to review the model. The geospatial model enabled predictions of Plasmodium falciparum prevalence in children aged 2–10 years, at a resolution of 5 × 5 </w:t>
      </w:r>
      <w:r w:rsidRPr="00FC4B5C">
        <w:rPr>
          <w:rFonts w:ascii="Calibri" w:eastAsia="Times New Roman" w:hAnsi="Calibri" w:cs="Calibri"/>
          <w:color w:val="4A4A4A"/>
          <w:sz w:val="21"/>
          <w:szCs w:val="21"/>
          <w:shd w:val="clear" w:color="auto" w:fill="FFFFFF"/>
          <w:lang w:eastAsia="en-US"/>
        </w:rPr>
        <w:t>k 2 m</w:t>
      </w:r>
      <w:r w:rsidRPr="00727B90">
        <w:rPr>
          <w:rFonts w:ascii="Calibri" w:hAnsi="Calibri"/>
          <w:color w:val="4A4A4A"/>
          <w:sz w:val="21"/>
          <w:shd w:val="clear" w:color="auto" w:fill="FFFFFF"/>
        </w:rPr>
        <w:t>, throughout all malaria endemic WHO African Region countries for each year from 2000 to 2020. Second, an ensemble model was developed to predict malaria incidence as a function of parasite prevalence</w:t>
      </w:r>
      <w:r w:rsidRPr="00FC4B5C">
        <w:rPr>
          <w:rFonts w:ascii="Calibri" w:eastAsia="Times New Roman" w:hAnsi="Calibri" w:cs="Calibri"/>
          <w:color w:val="4A4A4A"/>
          <w:sz w:val="21"/>
          <w:szCs w:val="21"/>
          <w:shd w:val="clear" w:color="auto" w:fill="FFFFFF"/>
          <w:lang w:eastAsia="en-US"/>
        </w:rPr>
        <w:t xml:space="preserve"> </w:t>
      </w:r>
      <w:r w:rsidRPr="00E226D6">
        <w:rPr>
          <w:rFonts w:ascii="Calibri" w:eastAsia="Times New Roman" w:hAnsi="Calibri" w:cs="Calibri"/>
          <w:color w:val="4A4A4A"/>
          <w:sz w:val="21"/>
          <w:szCs w:val="21"/>
          <w:shd w:val="clear" w:color="auto" w:fill="FFFFFF"/>
          <w:lang w:eastAsia="en-US"/>
        </w:rPr>
        <w:t>(</w:t>
      </w:r>
      <w:r w:rsidR="00330F0C" w:rsidRPr="00E226D6">
        <w:rPr>
          <w:rFonts w:ascii="Calibri" w:eastAsia="Times New Roman" w:hAnsi="Calibri" w:cs="Calibri"/>
          <w:color w:val="4A4A4A"/>
          <w:sz w:val="21"/>
          <w:szCs w:val="21"/>
          <w:shd w:val="clear" w:color="auto" w:fill="FFFFFF"/>
          <w:lang w:eastAsia="en-US"/>
        </w:rPr>
        <w:t>4</w:t>
      </w:r>
      <w:r w:rsidRPr="00E226D6">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The model was then applied to the estimated parasite prevalence, to obtain estimates of the malaria case incidence at 5 × 5 km2 resolution for each year from 2000 to 2021.</w:t>
      </w:r>
      <w:r w:rsidRPr="00FC4B5C">
        <w:rPr>
          <w:rFonts w:ascii="Calibri" w:eastAsia="Times New Roman" w:hAnsi="Calibri" w:cs="Calibri"/>
          <w:color w:val="4A4A4A"/>
          <w:sz w:val="21"/>
          <w:szCs w:val="21"/>
          <w:shd w:val="clear" w:color="auto" w:fill="FFFFFF"/>
          <w:lang w:eastAsia="en-US"/>
        </w:rPr>
        <w:t>1</w:t>
      </w:r>
      <w:r w:rsidRPr="00727B90">
        <w:rPr>
          <w:rFonts w:ascii="Calibri" w:hAnsi="Calibri"/>
          <w:color w:val="4A4A4A"/>
          <w:sz w:val="21"/>
          <w:shd w:val="clear" w:color="auto" w:fill="FFFFFF"/>
        </w:rPr>
        <w:t xml:space="preserve"> Data for each 5 × 5 km2 area were then aggregated within country and regional boundaries, to obtain both national and regional estimates of malaria cases</w:t>
      </w:r>
      <w:r w:rsidRPr="00FC4B5C">
        <w:rPr>
          <w:rFonts w:ascii="Calibri" w:eastAsia="Times New Roman" w:hAnsi="Calibri" w:cs="Calibri"/>
          <w:color w:val="4A4A4A"/>
          <w:sz w:val="21"/>
          <w:szCs w:val="21"/>
          <w:shd w:val="clear" w:color="auto" w:fill="FFFFFF"/>
          <w:lang w:eastAsia="en-US"/>
        </w:rPr>
        <w:t xml:space="preserve"> </w:t>
      </w:r>
      <w:r w:rsidRPr="00E226D6">
        <w:rPr>
          <w:rFonts w:ascii="Calibri" w:eastAsia="Times New Roman" w:hAnsi="Calibri" w:cs="Calibri"/>
          <w:color w:val="4A4A4A"/>
          <w:sz w:val="21"/>
          <w:szCs w:val="21"/>
          <w:shd w:val="clear" w:color="auto" w:fill="FFFFFF"/>
          <w:lang w:eastAsia="en-US"/>
        </w:rPr>
        <w:t>(</w:t>
      </w:r>
      <w:r w:rsidR="00330F0C" w:rsidRPr="00E226D6">
        <w:rPr>
          <w:rFonts w:ascii="Calibri" w:eastAsia="Times New Roman" w:hAnsi="Calibri" w:cs="Calibri"/>
          <w:color w:val="4A4A4A"/>
          <w:sz w:val="21"/>
          <w:szCs w:val="21"/>
          <w:shd w:val="clear" w:color="auto" w:fill="FFFFFF"/>
          <w:lang w:eastAsia="en-US"/>
        </w:rPr>
        <w:t>5</w:t>
      </w:r>
      <w:r w:rsidRPr="00E226D6">
        <w:rPr>
          <w:rFonts w:ascii="Calibri" w:eastAsia="Times New Roman" w:hAnsi="Calibri" w:cs="Calibri"/>
          <w:color w:val="4A4A4A"/>
          <w:sz w:val="21"/>
          <w:szCs w:val="21"/>
          <w:shd w:val="clear" w:color="auto" w:fill="FFFFFF"/>
          <w:lang w:eastAsia="en-US"/>
        </w:rPr>
        <w:t>).</w:t>
      </w:r>
      <w:r w:rsidRPr="00FC4B5C">
        <w:rPr>
          <w:rFonts w:ascii="Calibri" w:eastAsia="Times New Roman" w:hAnsi="Calibri" w:cs="Calibri"/>
          <w:color w:val="4A4A4A"/>
          <w:sz w:val="21"/>
          <w:szCs w:val="21"/>
          <w:shd w:val="clear" w:color="auto" w:fill="FFFFFF"/>
          <w:lang w:eastAsia="en-US"/>
        </w:rPr>
        <w:t xml:space="preserve"> </w:t>
      </w:r>
    </w:p>
    <w:p w14:paraId="2CA8A489" w14:textId="77777777" w:rsidR="003E06AA" w:rsidRPr="00727B90" w:rsidRDefault="003E06AA" w:rsidP="00727B90">
      <w:pPr>
        <w:shd w:val="clear" w:color="auto" w:fill="FFFFFF"/>
        <w:spacing w:after="0" w:line="240" w:lineRule="auto"/>
        <w:jc w:val="both"/>
        <w:textAlignment w:val="baseline"/>
        <w:rPr>
          <w:rFonts w:ascii="Calibri" w:hAnsi="Calibri"/>
          <w:color w:val="4A4A4A"/>
          <w:sz w:val="21"/>
          <w:shd w:val="clear" w:color="auto" w:fill="FFFFFF"/>
        </w:rPr>
      </w:pPr>
    </w:p>
    <w:p w14:paraId="37CF78B3" w14:textId="7E3D059D" w:rsidR="007D01FE" w:rsidRDefault="00FC4B5C">
      <w:pPr>
        <w:shd w:val="clear" w:color="auto" w:fill="FFFFFF"/>
        <w:spacing w:after="0" w:line="240" w:lineRule="auto"/>
        <w:jc w:val="both"/>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 xml:space="preserve">Between 2020 and 2022, additional cases estimated using this method were added to account for the disruptions in malaria prevention, diagnostic and treatment services </w:t>
      </w:r>
      <w:proofErr w:type="gramStart"/>
      <w:r w:rsidRPr="00727B90">
        <w:rPr>
          <w:rFonts w:ascii="Calibri" w:hAnsi="Calibri"/>
          <w:color w:val="4A4A4A"/>
          <w:sz w:val="21"/>
          <w:shd w:val="clear" w:color="auto" w:fill="FFFFFF"/>
        </w:rPr>
        <w:t>as a result of</w:t>
      </w:r>
      <w:proofErr w:type="gramEnd"/>
      <w:r w:rsidRPr="00727B90">
        <w:rPr>
          <w:rFonts w:ascii="Calibri" w:hAnsi="Calibri"/>
          <w:color w:val="4A4A4A"/>
          <w:sz w:val="21"/>
          <w:shd w:val="clear" w:color="auto" w:fill="FFFFFF"/>
        </w:rPr>
        <w:t xml:space="preserve"> the COVID-19 pandemic and other events that occurred during this period. Disruption information was reported per country and</w:t>
      </w:r>
      <w:r w:rsidR="00FD25C4" w:rsidRPr="00727B90">
        <w:rPr>
          <w:rFonts w:ascii="Calibri" w:hAnsi="Calibri"/>
          <w:color w:val="4A4A4A"/>
          <w:sz w:val="21"/>
          <w:shd w:val="clear" w:color="auto" w:fill="FFFFFF"/>
        </w:rPr>
        <w:t xml:space="preserve"> was obtained from the national pulse surveys on continuity of EHS during the COVID-19 pandemic conducted by WHO (first round in May–July 2020, second in January–March 2021 and third in November–December 2021)</w:t>
      </w:r>
      <w:r w:rsidR="00FD25C4" w:rsidRPr="00FD25C4">
        <w:rPr>
          <w:rFonts w:ascii="Calibri" w:eastAsia="Times New Roman" w:hAnsi="Calibri" w:cs="Calibri"/>
          <w:color w:val="4A4A4A"/>
          <w:sz w:val="21"/>
          <w:szCs w:val="21"/>
          <w:shd w:val="clear" w:color="auto" w:fill="FFFFFF"/>
          <w:lang w:eastAsia="en-US"/>
        </w:rPr>
        <w:t xml:space="preserve"> </w:t>
      </w:r>
      <w:r w:rsidR="00FD25C4" w:rsidRPr="00E226D6">
        <w:rPr>
          <w:rFonts w:ascii="Calibri" w:eastAsia="Times New Roman" w:hAnsi="Calibri" w:cs="Calibri"/>
          <w:color w:val="4A4A4A"/>
          <w:sz w:val="21"/>
          <w:szCs w:val="21"/>
          <w:shd w:val="clear" w:color="auto" w:fill="FFFFFF"/>
          <w:lang w:eastAsia="en-US"/>
        </w:rPr>
        <w:t>(</w:t>
      </w:r>
      <w:r w:rsidR="00330F0C" w:rsidRPr="00E226D6">
        <w:rPr>
          <w:rFonts w:ascii="Calibri" w:eastAsia="Times New Roman" w:hAnsi="Calibri" w:cs="Calibri"/>
          <w:color w:val="4A4A4A"/>
          <w:sz w:val="21"/>
          <w:szCs w:val="21"/>
          <w:shd w:val="clear" w:color="auto" w:fill="FFFFFF"/>
          <w:lang w:eastAsia="en-US"/>
        </w:rPr>
        <w:t>6</w:t>
      </w:r>
      <w:r w:rsidR="00FD25C4" w:rsidRPr="00E226D6">
        <w:rPr>
          <w:rFonts w:ascii="Calibri" w:eastAsia="Times New Roman" w:hAnsi="Calibri" w:cs="Calibri"/>
          <w:color w:val="4A4A4A"/>
          <w:sz w:val="21"/>
          <w:szCs w:val="21"/>
          <w:shd w:val="clear" w:color="auto" w:fill="FFFFFF"/>
          <w:lang w:eastAsia="en-US"/>
        </w:rPr>
        <w:t>-</w:t>
      </w:r>
      <w:r w:rsidR="004D7EF9" w:rsidRPr="00E226D6">
        <w:rPr>
          <w:rFonts w:ascii="Calibri" w:eastAsia="Times New Roman" w:hAnsi="Calibri" w:cs="Calibri"/>
          <w:color w:val="4A4A4A"/>
          <w:sz w:val="21"/>
          <w:szCs w:val="21"/>
          <w:shd w:val="clear" w:color="auto" w:fill="FFFFFF"/>
          <w:lang w:eastAsia="en-US"/>
        </w:rPr>
        <w:t>8</w:t>
      </w:r>
      <w:r w:rsidR="00FD25C4" w:rsidRPr="00E226D6">
        <w:rPr>
          <w:rFonts w:ascii="Calibri" w:eastAsia="Times New Roman" w:hAnsi="Calibri" w:cs="Calibri"/>
          <w:color w:val="4A4A4A"/>
          <w:sz w:val="21"/>
          <w:szCs w:val="21"/>
          <w:shd w:val="clear" w:color="auto" w:fill="FFFFFF"/>
          <w:lang w:eastAsia="en-US"/>
        </w:rPr>
        <w:t>),</w:t>
      </w:r>
      <w:r w:rsidR="00FD25C4" w:rsidRPr="00727B90">
        <w:rPr>
          <w:rFonts w:ascii="Calibri" w:hAnsi="Calibri"/>
          <w:color w:val="4A4A4A"/>
          <w:sz w:val="21"/>
          <w:shd w:val="clear" w:color="auto" w:fill="FFFFFF"/>
        </w:rPr>
        <w:t xml:space="preserve"> and extended into 2022. The medium, minimum and maximum (with a limit of 50%) values of the ranges provided by countries to define disruptions were used to quantify the percentage of malaria service disruptions. This information was integrated into the estimates by applying an approach previously used for assessing the impacts of interventions on malaria burden through the creation of counterfactual burden estimates for scenarios with varying levels of intervention coverage. It was assumed that COVID-</w:t>
      </w:r>
      <w:r w:rsidR="00FD25C4" w:rsidRPr="00FD25C4">
        <w:rPr>
          <w:rFonts w:ascii="Calibri" w:eastAsia="Times New Roman" w:hAnsi="Calibri" w:cs="Calibri"/>
          <w:color w:val="4A4A4A"/>
          <w:sz w:val="21"/>
          <w:szCs w:val="21"/>
          <w:shd w:val="clear" w:color="auto" w:fill="FFFFFF"/>
          <w:lang w:eastAsia="en-US"/>
        </w:rPr>
        <w:t>19-</w:t>
      </w:r>
      <w:r w:rsidR="00FD25C4" w:rsidRPr="00727B90">
        <w:rPr>
          <w:rFonts w:ascii="Calibri" w:hAnsi="Calibri"/>
          <w:color w:val="4A4A4A"/>
          <w:sz w:val="21"/>
          <w:shd w:val="clear" w:color="auto" w:fill="FFFFFF"/>
        </w:rPr>
        <w:t xml:space="preserve">related disruptions to </w:t>
      </w:r>
      <w:r w:rsidR="00FD25C4" w:rsidRPr="00FD25C4">
        <w:rPr>
          <w:rFonts w:ascii="Calibri" w:eastAsia="Times New Roman" w:hAnsi="Calibri" w:cs="Calibri"/>
          <w:color w:val="4A4A4A"/>
          <w:sz w:val="21"/>
          <w:szCs w:val="21"/>
          <w:shd w:val="clear" w:color="auto" w:fill="FFFFFF"/>
          <w:lang w:eastAsia="en-US"/>
        </w:rPr>
        <w:t>health care</w:t>
      </w:r>
      <w:r w:rsidR="00FD25C4" w:rsidRPr="00727B90">
        <w:rPr>
          <w:rFonts w:ascii="Calibri" w:hAnsi="Calibri"/>
          <w:color w:val="4A4A4A"/>
          <w:sz w:val="21"/>
          <w:shd w:val="clear" w:color="auto" w:fill="FFFFFF"/>
        </w:rPr>
        <w:t xml:space="preserve"> manifested themselves as reduced treatment seeking for malaria and thus reduced effective treatment with an antimalarial drug. The counterfactual estimates were then aligned, per country, with the estimates from the pulse surveys to produce a set of COVID</w:t>
      </w:r>
      <w:r w:rsidR="00FD25C4" w:rsidRPr="00FD25C4">
        <w:rPr>
          <w:rFonts w:ascii="Calibri" w:eastAsia="Times New Roman" w:hAnsi="Calibri" w:cs="Calibri"/>
          <w:color w:val="4A4A4A"/>
          <w:sz w:val="21"/>
          <w:szCs w:val="21"/>
          <w:shd w:val="clear" w:color="auto" w:fill="FFFFFF"/>
          <w:lang w:eastAsia="en-US"/>
        </w:rPr>
        <w:t>-19-</w:t>
      </w:r>
      <w:r w:rsidR="00FD25C4" w:rsidRPr="00727B90">
        <w:rPr>
          <w:rFonts w:ascii="Calibri" w:hAnsi="Calibri"/>
          <w:color w:val="4A4A4A"/>
          <w:sz w:val="21"/>
          <w:shd w:val="clear" w:color="auto" w:fill="FFFFFF"/>
        </w:rPr>
        <w:t>adjusted estimates for 2020,</w:t>
      </w:r>
      <w:r w:rsidR="00FD25C4" w:rsidRPr="00FD25C4">
        <w:rPr>
          <w:rFonts w:ascii="Calibri" w:eastAsia="Times New Roman" w:hAnsi="Calibri" w:cs="Calibri"/>
          <w:color w:val="4A4A4A"/>
          <w:sz w:val="21"/>
          <w:szCs w:val="21"/>
          <w:shd w:val="clear" w:color="auto" w:fill="FFFFFF"/>
          <w:lang w:eastAsia="en-US"/>
        </w:rPr>
        <w:t xml:space="preserve"> </w:t>
      </w:r>
      <w:r w:rsidR="00FD25C4" w:rsidRPr="00727B90">
        <w:rPr>
          <w:rFonts w:ascii="Calibri" w:hAnsi="Calibri"/>
          <w:color w:val="4A4A4A"/>
          <w:sz w:val="21"/>
          <w:shd w:val="clear" w:color="auto" w:fill="FFFFFF"/>
        </w:rPr>
        <w:t xml:space="preserve">2021 and 2022. For countries for which the estimates with the updated </w:t>
      </w:r>
      <w:r w:rsidR="00FD25C4" w:rsidRPr="00FD25C4">
        <w:rPr>
          <w:rFonts w:ascii="Calibri" w:eastAsia="Times New Roman" w:hAnsi="Calibri" w:cs="Calibri"/>
          <w:color w:val="4A4A4A"/>
          <w:sz w:val="21"/>
          <w:szCs w:val="21"/>
          <w:shd w:val="clear" w:color="auto" w:fill="FFFFFF"/>
          <w:lang w:eastAsia="en-US"/>
        </w:rPr>
        <w:t>spatiotemporal</w:t>
      </w:r>
      <w:r w:rsidR="00FD25C4" w:rsidRPr="00727B90">
        <w:rPr>
          <w:rFonts w:ascii="Calibri" w:hAnsi="Calibri"/>
          <w:color w:val="4A4A4A"/>
          <w:sz w:val="21"/>
          <w:shd w:val="clear" w:color="auto" w:fill="FFFFFF"/>
        </w:rPr>
        <w:t xml:space="preserve"> model were considerably different from previous estimates without addition of new data or evidence that explained the drastic changes estimated by the model (Burkina Faso, Gabon, Guinea, Mali, </w:t>
      </w:r>
      <w:r w:rsidR="00FD25C4" w:rsidRPr="00FD25C4">
        <w:rPr>
          <w:rFonts w:ascii="Calibri" w:eastAsia="Times New Roman" w:hAnsi="Calibri" w:cs="Calibri"/>
          <w:color w:val="4A4A4A"/>
          <w:sz w:val="21"/>
          <w:szCs w:val="21"/>
          <w:shd w:val="clear" w:color="auto" w:fill="FFFFFF"/>
          <w:lang w:eastAsia="en-US"/>
        </w:rPr>
        <w:t xml:space="preserve">the Niger, </w:t>
      </w:r>
      <w:r w:rsidR="00FD25C4" w:rsidRPr="00727B90">
        <w:rPr>
          <w:rFonts w:ascii="Calibri" w:hAnsi="Calibri"/>
          <w:color w:val="4A4A4A"/>
          <w:sz w:val="21"/>
          <w:shd w:val="clear" w:color="auto" w:fill="FFFFFF"/>
        </w:rPr>
        <w:t xml:space="preserve">Nigeria, </w:t>
      </w:r>
      <w:r w:rsidR="00FD25C4" w:rsidRPr="00FD25C4">
        <w:rPr>
          <w:rFonts w:ascii="Calibri" w:eastAsia="Times New Roman" w:hAnsi="Calibri" w:cs="Calibri"/>
          <w:color w:val="4A4A4A"/>
          <w:sz w:val="21"/>
          <w:szCs w:val="21"/>
          <w:shd w:val="clear" w:color="auto" w:fill="FFFFFF"/>
          <w:lang w:eastAsia="en-US"/>
        </w:rPr>
        <w:t>Somalia, the</w:t>
      </w:r>
      <w:r w:rsidR="00FD25C4" w:rsidRPr="00727B90">
        <w:rPr>
          <w:rFonts w:ascii="Calibri" w:hAnsi="Calibri"/>
          <w:color w:val="4A4A4A"/>
          <w:sz w:val="21"/>
          <w:shd w:val="clear" w:color="auto" w:fill="FFFFFF"/>
        </w:rPr>
        <w:t xml:space="preserve"> Sudan</w:t>
      </w:r>
      <w:r w:rsidR="00FD25C4" w:rsidRPr="00FD25C4">
        <w:rPr>
          <w:rFonts w:ascii="Calibri" w:eastAsia="Times New Roman" w:hAnsi="Calibri" w:cs="Calibri"/>
          <w:color w:val="4A4A4A"/>
          <w:sz w:val="21"/>
          <w:szCs w:val="21"/>
          <w:shd w:val="clear" w:color="auto" w:fill="FFFFFF"/>
          <w:lang w:eastAsia="en-US"/>
        </w:rPr>
        <w:t xml:space="preserve"> and</w:t>
      </w:r>
      <w:r w:rsidR="00FD25C4" w:rsidRPr="00727B90">
        <w:rPr>
          <w:rFonts w:ascii="Calibri" w:hAnsi="Calibri"/>
          <w:color w:val="4A4A4A"/>
          <w:sz w:val="21"/>
          <w:shd w:val="clear" w:color="auto" w:fill="FFFFFF"/>
        </w:rPr>
        <w:t xml:space="preserve"> Uganda), the case series published in the World malaria report </w:t>
      </w:r>
      <w:r w:rsidR="00FD25C4" w:rsidRPr="00FD25C4">
        <w:rPr>
          <w:rFonts w:ascii="Calibri" w:eastAsia="Times New Roman" w:hAnsi="Calibri" w:cs="Calibri"/>
          <w:color w:val="4A4A4A"/>
          <w:sz w:val="21"/>
          <w:szCs w:val="21"/>
          <w:shd w:val="clear" w:color="auto" w:fill="FFFFFF"/>
          <w:lang w:eastAsia="en-US"/>
        </w:rPr>
        <w:t>2023 (10</w:t>
      </w:r>
      <w:r w:rsidR="00FD25C4" w:rsidRPr="00727B90">
        <w:rPr>
          <w:rFonts w:ascii="Calibri" w:hAnsi="Calibri"/>
          <w:color w:val="4A4A4A"/>
          <w:sz w:val="21"/>
          <w:shd w:val="clear" w:color="auto" w:fill="FFFFFF"/>
        </w:rPr>
        <w:t xml:space="preserve">) were used until </w:t>
      </w:r>
      <w:r w:rsidR="00FD25C4" w:rsidRPr="00FD25C4">
        <w:rPr>
          <w:rFonts w:ascii="Calibri" w:eastAsia="Times New Roman" w:hAnsi="Calibri" w:cs="Calibri"/>
          <w:color w:val="4A4A4A"/>
          <w:sz w:val="21"/>
          <w:szCs w:val="21"/>
          <w:shd w:val="clear" w:color="auto" w:fill="FFFFFF"/>
          <w:lang w:eastAsia="en-US"/>
        </w:rPr>
        <w:t>2022</w:t>
      </w:r>
      <w:r w:rsidR="00FD25C4" w:rsidRPr="00727B90">
        <w:rPr>
          <w:rFonts w:ascii="Calibri" w:hAnsi="Calibri"/>
          <w:color w:val="4A4A4A"/>
          <w:sz w:val="21"/>
          <w:shd w:val="clear" w:color="auto" w:fill="FFFFFF"/>
        </w:rPr>
        <w:t>, adjusting for the changes in population</w:t>
      </w:r>
      <w:r w:rsidR="00FD25C4" w:rsidRPr="00FD25C4">
        <w:rPr>
          <w:rFonts w:ascii="Calibri" w:eastAsia="Times New Roman" w:hAnsi="Calibri" w:cs="Calibri"/>
          <w:color w:val="4A4A4A"/>
          <w:sz w:val="21"/>
          <w:szCs w:val="21"/>
          <w:shd w:val="clear" w:color="auto" w:fill="FFFFFF"/>
          <w:lang w:eastAsia="en-US"/>
        </w:rPr>
        <w:t>-</w:t>
      </w:r>
      <w:r w:rsidR="00FD25C4" w:rsidRPr="00727B90">
        <w:rPr>
          <w:rFonts w:ascii="Calibri" w:hAnsi="Calibri"/>
          <w:color w:val="4A4A4A"/>
          <w:sz w:val="21"/>
          <w:shd w:val="clear" w:color="auto" w:fill="FFFFFF"/>
        </w:rPr>
        <w:t>at</w:t>
      </w:r>
      <w:r w:rsidR="00FD25C4" w:rsidRPr="00FD25C4">
        <w:rPr>
          <w:rFonts w:ascii="Calibri" w:eastAsia="Times New Roman" w:hAnsi="Calibri" w:cs="Calibri"/>
          <w:color w:val="4A4A4A"/>
          <w:sz w:val="21"/>
          <w:szCs w:val="21"/>
          <w:shd w:val="clear" w:color="auto" w:fill="FFFFFF"/>
          <w:lang w:eastAsia="en-US"/>
        </w:rPr>
        <w:t>-</w:t>
      </w:r>
      <w:r w:rsidR="00FD25C4" w:rsidRPr="00727B90">
        <w:rPr>
          <w:rFonts w:ascii="Calibri" w:hAnsi="Calibri"/>
          <w:color w:val="4A4A4A"/>
          <w:sz w:val="21"/>
          <w:shd w:val="clear" w:color="auto" w:fill="FFFFFF"/>
        </w:rPr>
        <w:t xml:space="preserve">risk values. The values for </w:t>
      </w:r>
      <w:r w:rsidR="00FD25C4" w:rsidRPr="00FD25C4">
        <w:rPr>
          <w:rFonts w:ascii="Calibri" w:eastAsia="Times New Roman" w:hAnsi="Calibri" w:cs="Calibri"/>
          <w:color w:val="4A4A4A"/>
          <w:sz w:val="21"/>
          <w:szCs w:val="21"/>
          <w:shd w:val="clear" w:color="auto" w:fill="FFFFFF"/>
          <w:lang w:eastAsia="en-US"/>
        </w:rPr>
        <w:t>2023</w:t>
      </w:r>
      <w:r w:rsidR="00FD25C4" w:rsidRPr="00727B90">
        <w:rPr>
          <w:rFonts w:ascii="Calibri" w:hAnsi="Calibri"/>
          <w:color w:val="4A4A4A"/>
          <w:sz w:val="21"/>
          <w:shd w:val="clear" w:color="auto" w:fill="FFFFFF"/>
        </w:rPr>
        <w:t xml:space="preserve"> were estimated by applying the change rate between the cases estimated using the </w:t>
      </w:r>
      <w:r w:rsidR="00FD25C4" w:rsidRPr="00FD25C4">
        <w:rPr>
          <w:rFonts w:ascii="Calibri" w:eastAsia="Times New Roman" w:hAnsi="Calibri" w:cs="Calibri"/>
          <w:color w:val="4A4A4A"/>
          <w:sz w:val="21"/>
          <w:szCs w:val="21"/>
          <w:shd w:val="clear" w:color="auto" w:fill="FFFFFF"/>
          <w:lang w:eastAsia="en-US"/>
        </w:rPr>
        <w:t>spatiotemporal</w:t>
      </w:r>
      <w:r w:rsidR="00FD25C4" w:rsidRPr="00727B90">
        <w:rPr>
          <w:rFonts w:ascii="Calibri" w:hAnsi="Calibri"/>
          <w:color w:val="4A4A4A"/>
          <w:sz w:val="21"/>
          <w:shd w:val="clear" w:color="auto" w:fill="FFFFFF"/>
        </w:rPr>
        <w:t xml:space="preserve"> model of incidence between </w:t>
      </w:r>
      <w:r w:rsidR="00FD25C4" w:rsidRPr="00FD25C4">
        <w:rPr>
          <w:rFonts w:ascii="Calibri" w:eastAsia="Times New Roman" w:hAnsi="Calibri" w:cs="Calibri"/>
          <w:color w:val="4A4A4A"/>
          <w:sz w:val="21"/>
          <w:szCs w:val="21"/>
          <w:shd w:val="clear" w:color="auto" w:fill="FFFFFF"/>
          <w:lang w:eastAsia="en-US"/>
        </w:rPr>
        <w:t>2022</w:t>
      </w:r>
      <w:r w:rsidR="00FD25C4" w:rsidRPr="00727B90">
        <w:rPr>
          <w:rFonts w:ascii="Calibri" w:hAnsi="Calibri"/>
          <w:color w:val="4A4A4A"/>
          <w:sz w:val="21"/>
          <w:shd w:val="clear" w:color="auto" w:fill="FFFFFF"/>
        </w:rPr>
        <w:t xml:space="preserve"> and </w:t>
      </w:r>
      <w:r w:rsidR="00FD25C4" w:rsidRPr="00FD25C4">
        <w:rPr>
          <w:rFonts w:ascii="Calibri" w:eastAsia="Times New Roman" w:hAnsi="Calibri" w:cs="Calibri"/>
          <w:color w:val="4A4A4A"/>
          <w:sz w:val="21"/>
          <w:szCs w:val="21"/>
          <w:shd w:val="clear" w:color="auto" w:fill="FFFFFF"/>
          <w:lang w:eastAsia="en-US"/>
        </w:rPr>
        <w:t>2023</w:t>
      </w:r>
      <w:r w:rsidR="00FD25C4" w:rsidRPr="00727B90">
        <w:rPr>
          <w:rFonts w:ascii="Calibri" w:hAnsi="Calibri"/>
          <w:color w:val="4A4A4A"/>
          <w:sz w:val="21"/>
          <w:shd w:val="clear" w:color="auto" w:fill="FFFFFF"/>
        </w:rPr>
        <w:t xml:space="preserve"> and adjusting for population changes between these </w:t>
      </w:r>
      <w:r w:rsidR="00FD25C4" w:rsidRPr="00FD25C4">
        <w:rPr>
          <w:rFonts w:ascii="Calibri" w:eastAsia="Times New Roman" w:hAnsi="Calibri" w:cs="Calibri"/>
          <w:color w:val="4A4A4A"/>
          <w:sz w:val="21"/>
          <w:szCs w:val="21"/>
          <w:shd w:val="clear" w:color="auto" w:fill="FFFFFF"/>
          <w:lang w:eastAsia="en-US"/>
        </w:rPr>
        <w:t>2</w:t>
      </w:r>
      <w:r w:rsidR="00FD25C4" w:rsidRPr="00727B90">
        <w:rPr>
          <w:rFonts w:ascii="Calibri" w:hAnsi="Calibri"/>
          <w:color w:val="4A4A4A"/>
          <w:sz w:val="21"/>
          <w:shd w:val="clear" w:color="auto" w:fill="FFFFFF"/>
        </w:rPr>
        <w:t xml:space="preserve"> years.</w:t>
      </w:r>
    </w:p>
    <w:p w14:paraId="6859926B" w14:textId="77777777" w:rsidR="003E06AA" w:rsidRPr="00727B90" w:rsidRDefault="003E06AA" w:rsidP="00727B90">
      <w:pPr>
        <w:shd w:val="clear" w:color="auto" w:fill="FFFFFF"/>
        <w:spacing w:after="0" w:line="240" w:lineRule="auto"/>
        <w:jc w:val="both"/>
        <w:textAlignment w:val="baseline"/>
        <w:rPr>
          <w:rFonts w:ascii="Calibri" w:hAnsi="Calibri"/>
          <w:color w:val="4A4A4A"/>
          <w:sz w:val="21"/>
          <w:shd w:val="clear" w:color="auto" w:fill="FFFFFF"/>
        </w:rPr>
      </w:pPr>
    </w:p>
    <w:p w14:paraId="192E8F6B" w14:textId="616AC9C1" w:rsidR="002B7A81" w:rsidRPr="00727B90" w:rsidRDefault="002B7A81" w:rsidP="00D626E9">
      <w:pPr>
        <w:shd w:val="clear" w:color="auto" w:fill="FFFFFF"/>
        <w:spacing w:after="0" w:line="240" w:lineRule="auto"/>
        <w:textAlignment w:val="baseline"/>
        <w:rPr>
          <w:rFonts w:ascii="Calibri" w:hAnsi="Calibri"/>
          <w:b/>
          <w:color w:val="4A4A4A"/>
          <w:sz w:val="21"/>
          <w:shd w:val="clear" w:color="auto" w:fill="FFFFFF"/>
        </w:rPr>
      </w:pPr>
      <w:r w:rsidRPr="00727B90">
        <w:rPr>
          <w:rFonts w:ascii="Calibri" w:hAnsi="Calibri"/>
          <w:b/>
          <w:color w:val="4A4A4A"/>
          <w:sz w:val="21"/>
          <w:shd w:val="clear" w:color="auto" w:fill="FFFFFF"/>
        </w:rPr>
        <w:t>Method 3</w:t>
      </w:r>
      <w:r w:rsidR="002B2BB3">
        <w:rPr>
          <w:rFonts w:ascii="Calibri" w:eastAsia="Times New Roman" w:hAnsi="Calibri" w:cs="Calibri"/>
          <w:b/>
          <w:bCs/>
          <w:color w:val="4A4A4A"/>
          <w:sz w:val="21"/>
          <w:szCs w:val="21"/>
          <w:shd w:val="clear" w:color="auto" w:fill="FFFFFF"/>
          <w:lang w:eastAsia="en-US"/>
        </w:rPr>
        <w:t>:</w:t>
      </w:r>
    </w:p>
    <w:p w14:paraId="00B01D79" w14:textId="6B042EB0" w:rsidR="002B7A81" w:rsidRDefault="002B7A81">
      <w:pPr>
        <w:shd w:val="clear" w:color="auto" w:fill="FFFFFF"/>
        <w:spacing w:after="0" w:line="240" w:lineRule="auto"/>
        <w:jc w:val="both"/>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For most of the elimination countries and countries at the stage of prevention of reintroduction, the number of indigenous and introduced cases registered by NMPs are reported without further adjustments</w:t>
      </w:r>
      <w:r w:rsidRPr="002B7A81">
        <w:rPr>
          <w:rFonts w:ascii="Calibri" w:eastAsia="Times New Roman" w:hAnsi="Calibri" w:cs="Calibri"/>
          <w:color w:val="4A4A4A"/>
          <w:sz w:val="21"/>
          <w:szCs w:val="21"/>
          <w:shd w:val="clear" w:color="auto" w:fill="FFFFFF"/>
          <w:lang w:eastAsia="en-US"/>
        </w:rPr>
        <w:t xml:space="preserve"> (6).</w:t>
      </w:r>
      <w:r w:rsidRPr="00727B90">
        <w:rPr>
          <w:rFonts w:ascii="Calibri" w:hAnsi="Calibri"/>
          <w:color w:val="4A4A4A"/>
          <w:sz w:val="21"/>
          <w:shd w:val="clear" w:color="auto" w:fill="FFFFFF"/>
        </w:rPr>
        <w:t xml:space="preserve"> The countries in this category were Algeria, Argentina, Armenia, Azerbaijan, Belize, Bhutan, Cabo Verde, China, the Comoros, Costa Rica, the Democratic People’s Republic of Korea, Djibouti, the Dominican Republic (since 2021), Ecuador, Egypt, El Salvador, Eswatini, French Guiana (since 2021), Georgia, Guatemala (since 2021), Honduras (since 2021), Iraq, the Islamic Republic of Iran, Kazakhstan, Kyrgyzstan, Malaysia, Mexico, Morocco, Nepal (since 2021), Oman, Panama (since 2021), Paraguay, the Republic of Korea, Sao Tome and Principe, Saudi Arabia, South Africa, Sri Lanka, Suriname, the Syrian Arab Republic, Tajikistan, Thailand, Timor-Leste (since 2017), Türkiye, Turkmenistan, the United Arab Emirates</w:t>
      </w:r>
      <w:r w:rsidRPr="002B7A81">
        <w:rPr>
          <w:rFonts w:ascii="Calibri" w:eastAsia="Times New Roman" w:hAnsi="Calibri" w:cs="Calibri"/>
          <w:color w:val="4A4A4A"/>
          <w:sz w:val="21"/>
          <w:szCs w:val="21"/>
          <w:shd w:val="clear" w:color="auto" w:fill="FFFFFF"/>
          <w:lang w:eastAsia="en-US"/>
        </w:rPr>
        <w:t>,</w:t>
      </w:r>
      <w:r w:rsidRPr="00727B90">
        <w:rPr>
          <w:rFonts w:ascii="Calibri" w:hAnsi="Calibri"/>
          <w:color w:val="4A4A4A"/>
          <w:sz w:val="21"/>
          <w:shd w:val="clear" w:color="auto" w:fill="FFFFFF"/>
        </w:rPr>
        <w:t xml:space="preserve"> Uzbekistan and Viet Nam (since 2021).</w:t>
      </w:r>
    </w:p>
    <w:p w14:paraId="2774FC75" w14:textId="77777777" w:rsidR="003E06AA" w:rsidRPr="00727B90" w:rsidRDefault="003E06AA" w:rsidP="00727B90">
      <w:pPr>
        <w:shd w:val="clear" w:color="auto" w:fill="FFFFFF"/>
        <w:spacing w:after="0" w:line="240" w:lineRule="auto"/>
        <w:jc w:val="both"/>
        <w:textAlignment w:val="baseline"/>
        <w:rPr>
          <w:rFonts w:ascii="Calibri" w:hAnsi="Calibri"/>
          <w:color w:val="4A4A4A"/>
          <w:sz w:val="21"/>
          <w:shd w:val="clear" w:color="auto" w:fill="FFFFFF"/>
        </w:rPr>
      </w:pPr>
    </w:p>
    <w:p w14:paraId="784A7F5C" w14:textId="0F854AC6" w:rsidR="002C4AEE" w:rsidRPr="00727B90" w:rsidRDefault="002C4AEE" w:rsidP="00727B90">
      <w:pPr>
        <w:shd w:val="clear" w:color="auto" w:fill="FFFFFF"/>
        <w:spacing w:after="0" w:line="240" w:lineRule="auto"/>
        <w:jc w:val="both"/>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Country-specific adjustments</w:t>
      </w:r>
    </w:p>
    <w:p w14:paraId="119BFC2E" w14:textId="370910EB" w:rsidR="002C4AEE" w:rsidRPr="00727B90" w:rsidRDefault="00765883" w:rsidP="00727B90">
      <w:pPr>
        <w:shd w:val="clear" w:color="auto" w:fill="FFFFFF"/>
        <w:spacing w:after="0" w:line="240" w:lineRule="auto"/>
        <w:jc w:val="both"/>
        <w:textAlignment w:val="baseline"/>
        <w:rPr>
          <w:rFonts w:ascii="Calibri" w:hAnsi="Calibri"/>
          <w:color w:val="4A4A4A"/>
          <w:sz w:val="21"/>
          <w:shd w:val="clear" w:color="auto" w:fill="FFFFFF"/>
        </w:rPr>
      </w:pPr>
      <w:r w:rsidRPr="00727B90">
        <w:rPr>
          <w:rFonts w:ascii="Calibri" w:hAnsi="Calibri"/>
          <w:color w:val="4A4A4A"/>
          <w:sz w:val="21"/>
          <w:shd w:val="clear" w:color="auto" w:fill="FFFFFF"/>
        </w:rPr>
        <w:t xml:space="preserve">For some years, information for certain countries was not available or could not be used because it was of poor quality. For countries in this situation, the number of cases was imputed from other years </w:t>
      </w:r>
      <w:r w:rsidRPr="00765883">
        <w:rPr>
          <w:rFonts w:ascii="Calibri" w:eastAsia="Times New Roman" w:hAnsi="Calibri" w:cs="Calibri"/>
          <w:color w:val="4A4A4A"/>
          <w:sz w:val="21"/>
          <w:szCs w:val="21"/>
          <w:shd w:val="clear" w:color="auto" w:fill="FFFFFF"/>
          <w:lang w:eastAsia="en-US"/>
        </w:rPr>
        <w:t>when</w:t>
      </w:r>
      <w:r w:rsidRPr="00727B90">
        <w:rPr>
          <w:rFonts w:ascii="Calibri" w:hAnsi="Calibri"/>
          <w:color w:val="4A4A4A"/>
          <w:sz w:val="21"/>
          <w:shd w:val="clear" w:color="auto" w:fill="FFFFFF"/>
        </w:rPr>
        <w:t xml:space="preserve"> the quality of the data was better (adjusting for population growth), as follows: for Afghanistan, values for 2000–2001 were imputed from 2002–2003; and for Bangladesh, values for 2001–2005 were imputed from 2006–2008. For Ethiopia, values for 2000–2019 were taken from a mixed distribution between values from Method 1 and Method 2 (50% from each method). For the Gambia, values for 2000–2010 were imputed from 2011–2013; for Haiti, values for 2000–2005, 2009 and 2010 were imputed from 2006–2008; for Indonesia, values for 2000–2003 and 2007–2009 were imputed from 2004–2006; and for Mauritania, values for 2000–2010 were imputed from a mixture of Method 1 and Method 2, starting with 100% values from Method 2 for 2001–2002, with that percentage decreasing to 10% of Method 1 in 2010. For Myanmar, values for 2000–2005 were imputed from 2007–2009; and for Namibia, values for 2000 were imputed from 2001–2003 and values for 2012 were imputed from 2011 and 2013. For Pakistan, values for 2000 were imputed from 2001–2003; and for Papua New Guinea, values for 2012 were imputed from 2009–2011. For Rwanda, values for 2000–2006 were imputed from a mixture of Method 1 and Method 2, starting with 100% values from Method 2 in 2000, with that percentage decreasing to 10% in 2006. For Senegal, values for 2000–2006 were imputed from a mixture of Method 1 and Method 2, with 90% of Method 2 in 2000, decreasing to 10% of Method 2 in 2006. For Thailand, values for 2000 were imputed from 2001–2003; for Timor-Leste, values for 2000–2001 were imputed from 2002–2004; and for Zimbabwe, values for 2000–2006 were imputed from 2007–2009.</w:t>
      </w:r>
    </w:p>
    <w:p w14:paraId="30455DE0" w14:textId="71DAD2AC" w:rsidR="007B3292" w:rsidRPr="00727B90" w:rsidRDefault="007B3292" w:rsidP="00727B90">
      <w:pPr>
        <w:shd w:val="clear" w:color="auto" w:fill="FFFFFF"/>
        <w:spacing w:after="0" w:line="240" w:lineRule="auto"/>
        <w:textAlignment w:val="baseline"/>
        <w:rPr>
          <w:rFonts w:ascii="Calibri" w:hAnsi="Calibri"/>
          <w:shd w:val="clear" w:color="auto" w:fill="FFFFFF"/>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DD7EE38" w14:textId="77777777" w:rsidR="00771FE9" w:rsidRPr="007F62ED" w:rsidRDefault="00771FE9" w:rsidP="00771FE9">
      <w:pPr>
        <w:pStyle w:val="MText"/>
        <w:rPr>
          <w:lang w:val="en-US"/>
        </w:rPr>
      </w:pPr>
      <w:r>
        <w:t>Burden estimates presented in t</w:t>
      </w:r>
      <w:r w:rsidRPr="007F62ED">
        <w:t xml:space="preserve">he World Malaria Report </w:t>
      </w:r>
      <w:r>
        <w:t>are</w:t>
      </w:r>
      <w:r w:rsidRPr="007F62ED">
        <w:t xml:space="preserve"> sent to the countries via regional offices for consultation and approval.</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72D0FF60" w:rsidR="00576CFA" w:rsidRPr="00A96255" w:rsidRDefault="00B735EA"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7EC4403" w14:textId="6EC7BE00" w:rsidR="008B5367" w:rsidRPr="00130ACD" w:rsidRDefault="00264A1E" w:rsidP="00727B90">
      <w:pPr>
        <w:pStyle w:val="paragraph"/>
        <w:shd w:val="clear" w:color="auto" w:fill="FFFFFF"/>
        <w:spacing w:before="0" w:beforeAutospacing="0" w:after="0" w:afterAutospacing="0"/>
        <w:ind w:left="135"/>
        <w:textAlignment w:val="baseline"/>
        <w:rPr>
          <w:rStyle w:val="eop"/>
          <w:rFonts w:asciiTheme="minorHAnsi" w:hAnsiTheme="minorHAnsi"/>
          <w:b/>
          <w:bCs/>
          <w:color w:val="1C75BC"/>
          <w:sz w:val="21"/>
          <w:szCs w:val="21"/>
          <w:lang w:val="en-GB" w:eastAsia="en-GB"/>
        </w:rPr>
      </w:pPr>
      <w:r w:rsidRPr="00A96255">
        <w:t>(</w:t>
      </w:r>
      <w:proofErr w:type="spellStart"/>
      <w:r w:rsidRPr="00A96255">
        <w:t>i</w:t>
      </w:r>
      <w:proofErr w:type="spellEnd"/>
      <w:r w:rsidRPr="00A96255">
        <w:t xml:space="preserve">) </w:t>
      </w:r>
      <w:r>
        <w:t xml:space="preserve"> </w:t>
      </w:r>
      <w:r w:rsidR="008B5367" w:rsidRPr="00130ACD">
        <w:rPr>
          <w:rStyle w:val="normaltextrun"/>
          <w:rFonts w:ascii="Calibri" w:hAnsi="Calibri" w:cs="Calibri"/>
          <w:b/>
          <w:bCs/>
          <w:color w:val="1C75BC"/>
          <w:sz w:val="21"/>
          <w:szCs w:val="21"/>
          <w:lang w:val="en-GB"/>
        </w:rPr>
        <w:t>At country level</w:t>
      </w:r>
      <w:r w:rsidR="008B5367" w:rsidRPr="00130ACD">
        <w:rPr>
          <w:rStyle w:val="eop"/>
          <w:rFonts w:ascii="Calibri" w:hAnsi="Calibri" w:cs="Calibri"/>
          <w:b/>
          <w:bCs/>
          <w:color w:val="1C75BC"/>
          <w:sz w:val="21"/>
          <w:szCs w:val="21"/>
        </w:rPr>
        <w:t> </w:t>
      </w:r>
    </w:p>
    <w:p w14:paraId="7DF9F430" w14:textId="56E1FF7C" w:rsidR="008B5367" w:rsidRDefault="008B5367" w:rsidP="00727B90">
      <w:pPr>
        <w:pStyle w:val="paragraph"/>
        <w:shd w:val="clear" w:color="auto" w:fill="FFFFFF"/>
        <w:spacing w:before="0" w:beforeAutospacing="0" w:after="0" w:afterAutospacing="0"/>
        <w:jc w:val="both"/>
        <w:textAlignment w:val="baseline"/>
        <w:rPr>
          <w:color w:val="4A4A4A"/>
          <w:sz w:val="21"/>
          <w:szCs w:val="21"/>
        </w:rPr>
      </w:pPr>
      <w:r>
        <w:rPr>
          <w:rStyle w:val="normaltextrun"/>
          <w:rFonts w:ascii="Calibri" w:hAnsi="Calibri" w:cs="Calibri"/>
          <w:color w:val="4A4A4A"/>
          <w:sz w:val="21"/>
          <w:szCs w:val="21"/>
          <w:shd w:val="clear" w:color="auto" w:fill="FFFFFF"/>
          <w:lang w:val="en-GB"/>
        </w:rPr>
        <w:t>For missing values of the parameters (test positivity rate and reporting completeness) a distribution based on a mixture of the distribution of the available values is used, if any value exists for the country or from the region otherwise. Values for health seeking behaviour parameters are imputed by linear interpolation of the values when the surveys </w:t>
      </w:r>
      <w:r w:rsidR="007E20A5">
        <w:rPr>
          <w:rStyle w:val="normaltextrun"/>
          <w:rFonts w:ascii="Calibri" w:hAnsi="Calibri" w:cs="Calibri"/>
          <w:color w:val="4A4A4A"/>
          <w:sz w:val="21"/>
          <w:szCs w:val="21"/>
          <w:shd w:val="clear" w:color="auto" w:fill="FFFFFF"/>
          <w:lang w:val="en-GB"/>
        </w:rPr>
        <w:t>were</w:t>
      </w:r>
      <w:r>
        <w:rPr>
          <w:rStyle w:val="normaltextrun"/>
          <w:rFonts w:ascii="Calibri" w:hAnsi="Calibri" w:cs="Calibri"/>
          <w:color w:val="4A4A4A"/>
          <w:sz w:val="21"/>
          <w:szCs w:val="21"/>
          <w:shd w:val="clear" w:color="auto" w:fill="FFFFFF"/>
          <w:lang w:val="en-GB"/>
        </w:rPr>
        <w:t> made or extrapolation of the first or last survey. When no reported data is available the number of cases is interpolated </w:t>
      </w:r>
      <w:proofErr w:type="gramStart"/>
      <w:r>
        <w:rPr>
          <w:rStyle w:val="normaltextrun"/>
          <w:rFonts w:ascii="Calibri" w:hAnsi="Calibri" w:cs="Calibri"/>
          <w:color w:val="4A4A4A"/>
          <w:sz w:val="21"/>
          <w:szCs w:val="21"/>
          <w:shd w:val="clear" w:color="auto" w:fill="FFFFFF"/>
          <w:lang w:val="en-GB"/>
        </w:rPr>
        <w:t>taking into account</w:t>
      </w:r>
      <w:proofErr w:type="gramEnd"/>
      <w:r>
        <w:rPr>
          <w:rStyle w:val="normaltextrun"/>
          <w:rFonts w:ascii="Calibri" w:hAnsi="Calibri" w:cs="Calibri"/>
          <w:color w:val="4A4A4A"/>
          <w:sz w:val="21"/>
          <w:szCs w:val="21"/>
          <w:shd w:val="clear" w:color="auto" w:fill="FFFFFF"/>
          <w:lang w:val="en-GB"/>
        </w:rPr>
        <w:t> the population growth.  </w:t>
      </w:r>
      <w:r>
        <w:rPr>
          <w:rStyle w:val="eop"/>
          <w:rFonts w:ascii="Calibri" w:hAnsi="Calibri" w:cs="Calibri"/>
          <w:color w:val="4A4A4A"/>
          <w:sz w:val="21"/>
          <w:szCs w:val="21"/>
        </w:rPr>
        <w:t> </w:t>
      </w:r>
    </w:p>
    <w:p w14:paraId="7919D21D" w14:textId="77777777" w:rsidR="008B5367" w:rsidRDefault="008B5367" w:rsidP="008B5367">
      <w:pPr>
        <w:pStyle w:val="paragraph"/>
        <w:shd w:val="clear" w:color="auto" w:fill="FFFFFF"/>
        <w:spacing w:before="0" w:beforeAutospacing="0" w:after="0" w:afterAutospacing="0"/>
        <w:ind w:left="495"/>
        <w:textAlignment w:val="baseline"/>
        <w:rPr>
          <w:sz w:val="21"/>
          <w:szCs w:val="21"/>
        </w:rPr>
      </w:pPr>
      <w:r>
        <w:rPr>
          <w:rStyle w:val="eop"/>
          <w:color w:val="4A4A4A"/>
          <w:sz w:val="21"/>
          <w:szCs w:val="21"/>
        </w:rPr>
        <w:t> </w:t>
      </w:r>
    </w:p>
    <w:p w14:paraId="6E9EAC53" w14:textId="52E15B64" w:rsidR="008B5367" w:rsidRPr="00130ACD" w:rsidRDefault="00264A1E" w:rsidP="00727B90">
      <w:pPr>
        <w:pStyle w:val="paragraph"/>
        <w:shd w:val="clear" w:color="auto" w:fill="FFFFFF"/>
        <w:spacing w:before="0" w:beforeAutospacing="0" w:after="0" w:afterAutospacing="0"/>
        <w:textAlignment w:val="baseline"/>
        <w:rPr>
          <w:b/>
          <w:bCs/>
          <w:sz w:val="21"/>
          <w:szCs w:val="21"/>
        </w:rPr>
      </w:pPr>
      <w:r w:rsidRPr="00A96255">
        <w:t>(i</w:t>
      </w:r>
      <w:r>
        <w:t>i</w:t>
      </w:r>
      <w:r w:rsidRPr="00A96255">
        <w:t xml:space="preserve">) </w:t>
      </w:r>
      <w:r w:rsidR="008B5367" w:rsidRPr="00130ACD">
        <w:rPr>
          <w:rStyle w:val="normaltextrun"/>
          <w:rFonts w:ascii="Calibri" w:hAnsi="Calibri" w:cs="Calibri"/>
          <w:b/>
          <w:bCs/>
          <w:color w:val="1C75BC"/>
          <w:sz w:val="21"/>
          <w:szCs w:val="21"/>
          <w:lang w:val="en-GB"/>
        </w:rPr>
        <w:t>At regional and global levels</w:t>
      </w:r>
      <w:r w:rsidR="008B5367" w:rsidRPr="00130ACD">
        <w:rPr>
          <w:rStyle w:val="eop"/>
          <w:rFonts w:ascii="Calibri" w:hAnsi="Calibri" w:cs="Calibri"/>
          <w:b/>
          <w:bCs/>
          <w:color w:val="1C75BC"/>
          <w:sz w:val="21"/>
          <w:szCs w:val="21"/>
        </w:rPr>
        <w:t> </w:t>
      </w:r>
    </w:p>
    <w:p w14:paraId="5845EDDA" w14:textId="77777777" w:rsidR="008B5367" w:rsidRDefault="008B5367" w:rsidP="008B5367">
      <w:pPr>
        <w:pStyle w:val="paragraph"/>
        <w:shd w:val="clear" w:color="auto" w:fill="FFFFFF"/>
        <w:spacing w:before="0" w:beforeAutospacing="0" w:after="0" w:afterAutospacing="0"/>
        <w:textAlignment w:val="baseline"/>
        <w:rPr>
          <w:color w:val="4A4A4A"/>
          <w:sz w:val="21"/>
          <w:szCs w:val="21"/>
        </w:rPr>
      </w:pPr>
      <w:r>
        <w:rPr>
          <w:rStyle w:val="normaltextrun"/>
          <w:rFonts w:ascii="Calibri" w:hAnsi="Calibri" w:cs="Calibri"/>
          <w:color w:val="4A4A4A"/>
          <w:sz w:val="21"/>
          <w:szCs w:val="21"/>
          <w:shd w:val="clear" w:color="auto" w:fill="FFFFFF"/>
          <w:lang w:val="en-GB"/>
        </w:rPr>
        <w:t>Not Applicable</w:t>
      </w:r>
      <w:r>
        <w:rPr>
          <w:rStyle w:val="eop"/>
          <w:rFonts w:ascii="Calibri" w:hAnsi="Calibri" w:cs="Calibri"/>
          <w:color w:val="4A4A4A"/>
          <w:sz w:val="21"/>
          <w:szCs w:val="21"/>
        </w:rPr>
        <w:t> </w:t>
      </w:r>
    </w:p>
    <w:p w14:paraId="27033367" w14:textId="37130A65" w:rsidR="00EC2915" w:rsidRPr="00DB7C05" w:rsidRDefault="00EC2915" w:rsidP="00727B90">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6CB0B785" w14:textId="77777777" w:rsidR="0034573D" w:rsidRDefault="0034573D">
      <w:pPr>
        <w:pStyle w:val="MText"/>
        <w:jc w:val="both"/>
      </w:pPr>
      <w:r>
        <w:t>Number of cases are aggregated by region, and uncertainty obtained from the aggregation of each country’s distribution. Population at risk is aggregated without any further adjustment. Estimation at global level is obtained from aggregation of the regional values.</w:t>
      </w:r>
    </w:p>
    <w:p w14:paraId="5FBD9762" w14:textId="77777777" w:rsidR="003E06AA" w:rsidRPr="00A96255" w:rsidRDefault="003E06AA" w:rsidP="00727B90">
      <w:pPr>
        <w:pStyle w:val="MText"/>
        <w:jc w:val="both"/>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the data at the national level </w:t>
      </w:r>
      <w:r>
        <w:rPr>
          <w:color w:val="B4B4B4"/>
          <w:sz w:val="20"/>
        </w:rPr>
        <w:t>(DOC_METHOD)</w:t>
      </w:r>
    </w:p>
    <w:p w14:paraId="79479D99" w14:textId="77777777" w:rsidR="000B4249" w:rsidRDefault="000B4249" w:rsidP="00727B90">
      <w:pPr>
        <w:pStyle w:val="paragraph"/>
        <w:shd w:val="clear" w:color="auto" w:fill="FFFFFF"/>
        <w:spacing w:before="0" w:beforeAutospacing="0" w:after="0" w:afterAutospacing="0"/>
        <w:jc w:val="both"/>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Information is provided by each country’s NMCP using a DHIS 2 application created specifically for this purpose.</w:t>
      </w:r>
      <w:r>
        <w:rPr>
          <w:rStyle w:val="eop"/>
          <w:rFonts w:ascii="Calibri" w:hAnsi="Calibri" w:cs="Calibri"/>
          <w:color w:val="4A4A4A"/>
          <w:sz w:val="21"/>
          <w:szCs w:val="21"/>
        </w:rPr>
        <w:t> </w:t>
      </w:r>
    </w:p>
    <w:p w14:paraId="12AD5B96" w14:textId="77777777" w:rsidR="00453D57" w:rsidRDefault="00453D57" w:rsidP="00727B90">
      <w:pPr>
        <w:pStyle w:val="MHeader2"/>
      </w:pPr>
    </w:p>
    <w:p w14:paraId="494C36E8" w14:textId="541DB4C9" w:rsidR="00E1050F" w:rsidRPr="00A96255" w:rsidRDefault="00576CFA" w:rsidP="00F719A8">
      <w:pPr>
        <w:pStyle w:val="MHeader2"/>
      </w:pPr>
      <w:r w:rsidRPr="00A96255">
        <w:t xml:space="preserve">4.i. Quality management </w:t>
      </w:r>
      <w:r>
        <w:rPr>
          <w:color w:val="B4B4B4"/>
          <w:sz w:val="20"/>
        </w:rPr>
        <w:t>(QUALITY_MGMNT)</w:t>
      </w:r>
    </w:p>
    <w:p w14:paraId="31FCE5E0" w14:textId="77777777" w:rsidR="00AF6CC9" w:rsidRPr="00A96255" w:rsidRDefault="00AF6CC9" w:rsidP="00AF6CC9">
      <w:pPr>
        <w:pStyle w:val="MText"/>
      </w:pPr>
      <w:r>
        <w:t>Burden estimates are first reviewed internally by GMP and WHO regional and country offices. These are then shared to country for validation. Final approval is received from the WHO division of Data, Analytics.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1A92269" w14:textId="31B8B0B2" w:rsidR="00911FAA" w:rsidRPr="00A96255" w:rsidRDefault="00911FAA" w:rsidP="00713D63">
      <w:pPr>
        <w:pStyle w:val="MText"/>
        <w:jc w:val="both"/>
      </w:pPr>
      <w:r>
        <w:rPr>
          <w:rStyle w:val="normaltextrun"/>
          <w:rFonts w:ascii="Calibri" w:hAnsi="Calibri" w:cs="Calibri"/>
          <w:shd w:val="clear" w:color="auto" w:fill="FFFFFF"/>
        </w:rPr>
        <w:t xml:space="preserve">We perform internal validation for outliers and completeness and raise queries to countries through the regional offices for clarification. When </w:t>
      </w:r>
      <w:r w:rsidR="00713D63">
        <w:rPr>
          <w:rStyle w:val="normaltextrun"/>
          <w:rFonts w:ascii="Calibri" w:hAnsi="Calibri" w:cs="Calibri"/>
          <w:shd w:val="clear" w:color="auto" w:fill="FFFFFF"/>
        </w:rPr>
        <w:t>necessary,</w:t>
      </w:r>
      <w:r>
        <w:rPr>
          <w:rStyle w:val="normaltextrun"/>
          <w:rFonts w:ascii="Calibri" w:hAnsi="Calibri" w:cs="Calibri"/>
          <w:shd w:val="clear" w:color="auto" w:fill="FFFFFF"/>
        </w:rPr>
        <w:t xml:space="preserve"> we rely on data quality assessment information from external sources such as partners working in malaria monitoring and evaluation. </w:t>
      </w:r>
    </w:p>
    <w:p w14:paraId="03EF3244" w14:textId="77777777" w:rsidR="00EC2915" w:rsidRPr="00A96255" w:rsidRDefault="00EC2915" w:rsidP="00727B90">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419028E3" w14:textId="1FE38CE5" w:rsidR="00E126BD" w:rsidRPr="00A96255" w:rsidRDefault="00E126BD" w:rsidP="00727B90">
      <w:pPr>
        <w:pStyle w:val="MText"/>
        <w:jc w:val="both"/>
      </w:pPr>
      <w:r>
        <w:rPr>
          <w:rStyle w:val="normaltextrun"/>
          <w:rFonts w:ascii="Calibri" w:hAnsi="Calibri" w:cs="Calibri"/>
          <w:shd w:val="clear" w:color="auto" w:fill="FFFFFF"/>
        </w:rPr>
        <w:t xml:space="preserve">We perform internal validation for outliers and completeness and raise queries to countries through the regional offices for clarification. When </w:t>
      </w:r>
      <w:r w:rsidR="00713D63">
        <w:rPr>
          <w:rStyle w:val="normaltextrun"/>
          <w:rFonts w:ascii="Calibri" w:hAnsi="Calibri" w:cs="Calibri"/>
          <w:shd w:val="clear" w:color="auto" w:fill="FFFFFF"/>
        </w:rPr>
        <w:t>necessary,</w:t>
      </w:r>
      <w:r>
        <w:rPr>
          <w:rStyle w:val="normaltextrun"/>
          <w:rFonts w:ascii="Calibri" w:hAnsi="Calibri" w:cs="Calibri"/>
          <w:shd w:val="clear" w:color="auto" w:fill="FFFFFF"/>
        </w:rPr>
        <w:t xml:space="preserve"> we rely on data quality assessment information from external sources such as partners working in malaria monitoring and evaluation.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5194272D" w14:textId="77777777" w:rsidR="008F1624" w:rsidRPr="00130ACD" w:rsidRDefault="008F1624" w:rsidP="008F1624">
      <w:pPr>
        <w:pStyle w:val="MText"/>
        <w:rPr>
          <w:b/>
          <w:bCs/>
        </w:rPr>
      </w:pPr>
      <w:r w:rsidRPr="00130ACD">
        <w:rPr>
          <w:b/>
          <w:bCs/>
        </w:rPr>
        <w:t xml:space="preserve">Data availability: </w:t>
      </w:r>
      <w:r w:rsidRPr="00130ACD">
        <w:rPr>
          <w:rStyle w:val="eop"/>
          <w:b/>
          <w:bCs/>
        </w:rPr>
        <w:t> </w:t>
      </w:r>
    </w:p>
    <w:p w14:paraId="3BAFB8B3" w14:textId="77777777" w:rsidR="008F1624" w:rsidRPr="00CB5DDC" w:rsidRDefault="008F1624" w:rsidP="008F1624">
      <w:pPr>
        <w:pStyle w:val="MText"/>
      </w:pPr>
      <w:r w:rsidRPr="00A14229">
        <w:rPr>
          <w:rStyle w:val="normaltextrun"/>
        </w:rPr>
        <w:t>109</w:t>
      </w:r>
      <w:r w:rsidRPr="00CB5DDC">
        <w:rPr>
          <w:rStyle w:val="normaltextrun"/>
        </w:rPr>
        <w:t> countries</w:t>
      </w:r>
      <w:r w:rsidRPr="00CB5DDC">
        <w:rPr>
          <w:rStyle w:val="eop"/>
        </w:rPr>
        <w:t> </w:t>
      </w:r>
    </w:p>
    <w:p w14:paraId="5F4D6C37" w14:textId="77777777" w:rsidR="008F1624" w:rsidRPr="00CB5DDC" w:rsidRDefault="008F1624" w:rsidP="008F1624">
      <w:pPr>
        <w:pStyle w:val="MText"/>
      </w:pPr>
      <w:r w:rsidRPr="00CB5DDC">
        <w:rPr>
          <w:rStyle w:val="eop"/>
        </w:rPr>
        <w:t> </w:t>
      </w:r>
    </w:p>
    <w:p w14:paraId="383D54DF" w14:textId="77777777" w:rsidR="008F1624" w:rsidRPr="00130ACD" w:rsidRDefault="008F1624" w:rsidP="008F1624">
      <w:pPr>
        <w:pStyle w:val="MText"/>
        <w:rPr>
          <w:b/>
          <w:bCs/>
        </w:rPr>
      </w:pPr>
      <w:r w:rsidRPr="00130ACD">
        <w:rPr>
          <w:rStyle w:val="normaltextrun"/>
          <w:b/>
          <w:bCs/>
        </w:rPr>
        <w:t>Time series:</w:t>
      </w:r>
      <w:r w:rsidRPr="00130ACD">
        <w:rPr>
          <w:rStyle w:val="eop"/>
          <w:b/>
          <w:bCs/>
        </w:rPr>
        <w:t> </w:t>
      </w:r>
    </w:p>
    <w:p w14:paraId="23EDAF27" w14:textId="77777777" w:rsidR="008F1624" w:rsidRPr="00CB5DDC" w:rsidRDefault="008F1624" w:rsidP="008F1624">
      <w:pPr>
        <w:pStyle w:val="MText"/>
      </w:pPr>
      <w:r w:rsidRPr="00CB5DDC">
        <w:rPr>
          <w:rStyle w:val="normaltextrun"/>
        </w:rPr>
        <w:t xml:space="preserve">Annually </w:t>
      </w:r>
      <w:r>
        <w:rPr>
          <w:rStyle w:val="normaltextrun"/>
        </w:rPr>
        <w:t>since</w:t>
      </w:r>
      <w:r w:rsidRPr="00CB5DDC">
        <w:rPr>
          <w:rStyle w:val="normaltextrun"/>
        </w:rPr>
        <w:t xml:space="preserve"> 2000</w:t>
      </w:r>
      <w:r w:rsidRPr="00CB5DDC">
        <w:rPr>
          <w:rStyle w:val="eop"/>
        </w:rPr>
        <w:t> </w:t>
      </w:r>
    </w:p>
    <w:p w14:paraId="70653139" w14:textId="77777777" w:rsidR="008F1624" w:rsidRPr="00CB5DDC" w:rsidRDefault="008F1624" w:rsidP="008F1624">
      <w:pPr>
        <w:pStyle w:val="MText"/>
        <w:rPr>
          <w:highlight w:val="cyan"/>
        </w:rPr>
      </w:pPr>
    </w:p>
    <w:p w14:paraId="751E518A" w14:textId="77777777" w:rsidR="008F1624" w:rsidRPr="00130ACD" w:rsidRDefault="008F1624" w:rsidP="008F1624">
      <w:pPr>
        <w:pStyle w:val="MText"/>
        <w:rPr>
          <w:b/>
          <w:bCs/>
        </w:rPr>
      </w:pPr>
      <w:r w:rsidRPr="00130ACD">
        <w:rPr>
          <w:b/>
          <w:bCs/>
        </w:rPr>
        <w:t>Disaggregation:</w:t>
      </w:r>
    </w:p>
    <w:p w14:paraId="272B0250" w14:textId="77777777" w:rsidR="008F1624" w:rsidRDefault="008F1624" w:rsidP="008F1624">
      <w:pPr>
        <w:pStyle w:val="MText"/>
        <w:rPr>
          <w:rStyle w:val="eop"/>
        </w:rPr>
      </w:pPr>
      <w:r w:rsidRPr="00CB5DDC">
        <w:rPr>
          <w:rStyle w:val="normaltextrun"/>
        </w:rPr>
        <w:t>The indicator is estimated at country level.</w:t>
      </w:r>
      <w:r w:rsidRPr="00CB5DDC">
        <w:rPr>
          <w:rStyle w:val="eop"/>
        </w:rPr>
        <w:t> </w:t>
      </w: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169D36FF" w14:textId="77777777" w:rsidR="00834A6A" w:rsidRPr="00CB5DDC" w:rsidRDefault="00834A6A" w:rsidP="00834A6A">
      <w:pPr>
        <w:pStyle w:val="paragraph"/>
        <w:shd w:val="clear" w:color="auto" w:fill="FFFFFF"/>
        <w:spacing w:before="0" w:beforeAutospacing="0" w:after="0" w:afterAutospacing="0"/>
        <w:textAlignment w:val="baseline"/>
        <w:rPr>
          <w:color w:val="4A4A4A"/>
          <w:sz w:val="21"/>
          <w:szCs w:val="21"/>
        </w:rPr>
      </w:pPr>
      <w:r w:rsidRPr="00CB5DDC">
        <w:rPr>
          <w:rStyle w:val="normaltextrun"/>
          <w:rFonts w:ascii="Calibri" w:hAnsi="Calibri" w:cs="Calibri"/>
          <w:b/>
          <w:bCs/>
          <w:color w:val="4A4A4A"/>
          <w:sz w:val="21"/>
          <w:szCs w:val="21"/>
          <w:lang w:val="en-GB"/>
        </w:rPr>
        <w:t>Sources of discrepancies:</w:t>
      </w:r>
      <w:r w:rsidRPr="00CB5DDC">
        <w:rPr>
          <w:rStyle w:val="eop"/>
          <w:rFonts w:ascii="Calibri" w:hAnsi="Calibri" w:cs="Calibri"/>
          <w:color w:val="4A4A4A"/>
          <w:sz w:val="21"/>
          <w:szCs w:val="21"/>
        </w:rPr>
        <w:t> </w:t>
      </w:r>
    </w:p>
    <w:p w14:paraId="285393A7" w14:textId="77777777" w:rsidR="00834A6A" w:rsidRPr="00CB5DDC" w:rsidRDefault="00834A6A" w:rsidP="00834A6A">
      <w:pPr>
        <w:pStyle w:val="paragraph"/>
        <w:shd w:val="clear" w:color="auto" w:fill="FFFFFF"/>
        <w:spacing w:before="0" w:beforeAutospacing="0" w:after="0" w:afterAutospacing="0"/>
        <w:textAlignment w:val="baseline"/>
        <w:rPr>
          <w:color w:val="4A4A4A"/>
          <w:sz w:val="21"/>
          <w:szCs w:val="21"/>
        </w:rPr>
      </w:pPr>
      <w:r w:rsidRPr="00CB5DDC">
        <w:rPr>
          <w:rStyle w:val="normaltextrun"/>
          <w:rFonts w:ascii="Calibri" w:hAnsi="Calibri" w:cs="Calibri"/>
          <w:color w:val="4A4A4A"/>
          <w:sz w:val="21"/>
          <w:szCs w:val="21"/>
          <w:shd w:val="clear" w:color="auto" w:fill="FFFFFF"/>
          <w:lang w:val="en-GB"/>
        </w:rPr>
        <w:t>The estimated incidence can differ from the incidence reported by a Ministry of Health which can be affected by:</w:t>
      </w:r>
      <w:r w:rsidRPr="00CB5DDC">
        <w:rPr>
          <w:rStyle w:val="eop"/>
          <w:rFonts w:ascii="Calibri" w:hAnsi="Calibri" w:cs="Calibri"/>
          <w:color w:val="4A4A4A"/>
          <w:sz w:val="21"/>
          <w:szCs w:val="21"/>
        </w:rPr>
        <w:t> </w:t>
      </w:r>
    </w:p>
    <w:p w14:paraId="29543E4B" w14:textId="66DA5EB4" w:rsidR="00834A6A" w:rsidRPr="00CB5DDC" w:rsidRDefault="003B70CC" w:rsidP="00727B90">
      <w:pPr>
        <w:pStyle w:val="paragraph"/>
        <w:numPr>
          <w:ilvl w:val="0"/>
          <w:numId w:val="10"/>
        </w:numPr>
        <w:shd w:val="clear" w:color="auto" w:fill="FFFFFF"/>
        <w:spacing w:before="0" w:beforeAutospacing="0" w:after="0" w:afterAutospacing="0"/>
        <w:textAlignment w:val="baseline"/>
        <w:rPr>
          <w:color w:val="4A4A4A"/>
          <w:sz w:val="21"/>
          <w:szCs w:val="21"/>
        </w:rPr>
      </w:pPr>
      <w:r>
        <w:rPr>
          <w:rStyle w:val="normaltextrun"/>
          <w:rFonts w:ascii="Calibri" w:hAnsi="Calibri" w:cs="Calibri"/>
          <w:color w:val="4A4A4A"/>
          <w:sz w:val="21"/>
          <w:szCs w:val="21"/>
          <w:lang w:val="en-GB"/>
        </w:rPr>
        <w:t>T</w:t>
      </w:r>
      <w:r w:rsidR="00834A6A" w:rsidRPr="00CB5DDC">
        <w:rPr>
          <w:rStyle w:val="normaltextrun"/>
          <w:rFonts w:ascii="Calibri" w:hAnsi="Calibri" w:cs="Calibri"/>
          <w:color w:val="4A4A4A"/>
          <w:sz w:val="21"/>
          <w:szCs w:val="21"/>
          <w:lang w:val="en-GB"/>
        </w:rPr>
        <w:t>he completeness of reporting: the number of reported cases can be lower than the estimated cases if the percentage of health facilities reporting in a month is less than 100%</w:t>
      </w:r>
      <w:r w:rsidR="00834A6A" w:rsidRPr="00CB5DDC">
        <w:rPr>
          <w:rStyle w:val="eop"/>
          <w:rFonts w:ascii="Calibri" w:hAnsi="Calibri" w:cs="Calibri"/>
          <w:color w:val="4A4A4A"/>
          <w:sz w:val="21"/>
          <w:szCs w:val="21"/>
        </w:rPr>
        <w:t> </w:t>
      </w:r>
    </w:p>
    <w:p w14:paraId="1FE687CF" w14:textId="6270037E" w:rsidR="00834A6A" w:rsidRPr="00CB5DDC" w:rsidRDefault="003B70CC" w:rsidP="00727B90">
      <w:pPr>
        <w:pStyle w:val="paragraph"/>
        <w:numPr>
          <w:ilvl w:val="0"/>
          <w:numId w:val="10"/>
        </w:numPr>
        <w:shd w:val="clear" w:color="auto" w:fill="FFFFFF"/>
        <w:spacing w:before="0" w:beforeAutospacing="0" w:after="0" w:afterAutospacing="0"/>
        <w:textAlignment w:val="baseline"/>
        <w:rPr>
          <w:color w:val="4A4A4A"/>
          <w:sz w:val="21"/>
          <w:szCs w:val="21"/>
        </w:rPr>
      </w:pPr>
      <w:r>
        <w:rPr>
          <w:rStyle w:val="normaltextrun"/>
          <w:rFonts w:ascii="Calibri" w:hAnsi="Calibri" w:cs="Calibri"/>
          <w:color w:val="4A4A4A"/>
          <w:sz w:val="21"/>
          <w:szCs w:val="21"/>
          <w:lang w:val="en-GB"/>
        </w:rPr>
        <w:t>T</w:t>
      </w:r>
      <w:r w:rsidR="00834A6A" w:rsidRPr="00CB5DDC">
        <w:rPr>
          <w:rStyle w:val="normaltextrun"/>
          <w:rFonts w:ascii="Calibri" w:hAnsi="Calibri" w:cs="Calibri"/>
          <w:color w:val="4A4A4A"/>
          <w:sz w:val="21"/>
          <w:szCs w:val="21"/>
          <w:lang w:val="en-GB"/>
        </w:rPr>
        <w:t>he extent of malaria diagnostic testing (the number of slides examined or RDTs performed) </w:t>
      </w:r>
      <w:r w:rsidR="00834A6A" w:rsidRPr="00CB5DDC">
        <w:rPr>
          <w:rStyle w:val="eop"/>
          <w:rFonts w:ascii="Calibri" w:hAnsi="Calibri" w:cs="Calibri"/>
          <w:color w:val="4A4A4A"/>
          <w:sz w:val="21"/>
          <w:szCs w:val="21"/>
        </w:rPr>
        <w:t> </w:t>
      </w:r>
    </w:p>
    <w:p w14:paraId="33CAB7BE" w14:textId="7E42EC62" w:rsidR="00EC2915" w:rsidRPr="00DB7C05" w:rsidRDefault="003B70CC" w:rsidP="00727B90">
      <w:pPr>
        <w:pStyle w:val="MText"/>
        <w:numPr>
          <w:ilvl w:val="0"/>
          <w:numId w:val="10"/>
        </w:numPr>
      </w:pPr>
      <w:r>
        <w:rPr>
          <w:rStyle w:val="normaltextrun"/>
          <w:rFonts w:ascii="Calibri" w:hAnsi="Calibri" w:cs="Calibri"/>
        </w:rPr>
        <w:t>T</w:t>
      </w:r>
      <w:r w:rsidR="00834A6A" w:rsidRPr="00CB5DDC">
        <w:rPr>
          <w:rStyle w:val="normaltextrun"/>
          <w:rFonts w:ascii="Calibri" w:hAnsi="Calibri" w:cs="Calibri"/>
        </w:rPr>
        <w:t>he</w:t>
      </w:r>
      <w:r w:rsidR="00834A6A" w:rsidRPr="00DB7C05">
        <w:rPr>
          <w:rStyle w:val="normaltextrun"/>
          <w:rFonts w:ascii="Calibri" w:hAnsi="Calibri"/>
        </w:rPr>
        <w:t xml:space="preserve"> use of private health facilities which are usually not included in reporting systems. </w:t>
      </w:r>
      <w:r w:rsidR="00834A6A" w:rsidRPr="00DB7C05">
        <w:rPr>
          <w:rStyle w:val="eop"/>
          <w:rFonts w:ascii="Calibri" w:hAnsi="Calibri"/>
        </w:rPr>
        <w:t>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25F134E" w14:textId="77777777" w:rsidR="003D7BC8" w:rsidRPr="00416196" w:rsidRDefault="003D7BC8" w:rsidP="003D7BC8">
      <w:pPr>
        <w:pStyle w:val="paragraph"/>
        <w:shd w:val="clear" w:color="auto" w:fill="FFFFFF"/>
        <w:spacing w:before="0" w:beforeAutospacing="0" w:after="0" w:afterAutospacing="0"/>
        <w:textAlignment w:val="baseline"/>
        <w:rPr>
          <w:rFonts w:ascii="Segoe UI" w:hAnsi="Segoe UI" w:cs="Segoe UI"/>
          <w:color w:val="4A4A4A"/>
          <w:sz w:val="18"/>
          <w:szCs w:val="18"/>
        </w:rPr>
      </w:pPr>
      <w:r w:rsidRPr="00416196">
        <w:rPr>
          <w:rStyle w:val="normaltextrun"/>
          <w:rFonts w:ascii="Calibri" w:hAnsi="Calibri" w:cs="Calibri"/>
          <w:b/>
          <w:bCs/>
          <w:color w:val="4A4A4A"/>
          <w:sz w:val="21"/>
          <w:szCs w:val="21"/>
        </w:rPr>
        <w:t>URL:</w:t>
      </w:r>
      <w:r w:rsidRPr="00416196">
        <w:rPr>
          <w:rStyle w:val="normaltextrun"/>
          <w:rFonts w:ascii="Calibri" w:hAnsi="Calibri" w:cs="Calibri"/>
          <w:color w:val="4A4A4A"/>
          <w:sz w:val="22"/>
          <w:szCs w:val="22"/>
        </w:rPr>
        <w:t> </w:t>
      </w:r>
      <w:r w:rsidRPr="00416196">
        <w:rPr>
          <w:rStyle w:val="eop"/>
          <w:rFonts w:ascii="Calibri" w:hAnsi="Calibri" w:cs="Calibri"/>
          <w:color w:val="4A4A4A"/>
          <w:sz w:val="22"/>
          <w:szCs w:val="22"/>
        </w:rPr>
        <w:t> </w:t>
      </w:r>
    </w:p>
    <w:p w14:paraId="386C1C4D" w14:textId="27EF0EFE" w:rsidR="000F3270" w:rsidRDefault="000F3270" w:rsidP="003D7BC8">
      <w:pPr>
        <w:pStyle w:val="paragraph"/>
        <w:shd w:val="clear" w:color="auto" w:fill="FFFFFF"/>
        <w:spacing w:before="0" w:beforeAutospacing="0" w:after="0" w:afterAutospacing="0"/>
        <w:textAlignment w:val="baseline"/>
        <w:rPr>
          <w:rFonts w:ascii="Segoe UI" w:hAnsi="Segoe UI" w:cs="Segoe UI"/>
          <w:sz w:val="18"/>
          <w:szCs w:val="18"/>
        </w:rPr>
      </w:pPr>
      <w:hyperlink r:id="rId13" w:history="1">
        <w:r w:rsidRPr="00900F1C">
          <w:rPr>
            <w:rStyle w:val="Hyperlink"/>
            <w:rFonts w:ascii="Segoe UI" w:hAnsi="Segoe UI" w:cs="Segoe UI"/>
            <w:sz w:val="18"/>
            <w:szCs w:val="18"/>
          </w:rPr>
          <w:t>https://www.who.int/teams/global-malaria-programme/reports/world-malaria-report-2024</w:t>
        </w:r>
      </w:hyperlink>
    </w:p>
    <w:p w14:paraId="407743C5" w14:textId="77777777" w:rsidR="000F3270" w:rsidRPr="003D7BC8" w:rsidRDefault="000F3270" w:rsidP="003D7BC8">
      <w:pPr>
        <w:pStyle w:val="paragraph"/>
        <w:shd w:val="clear" w:color="auto" w:fill="FFFFFF"/>
        <w:spacing w:before="0" w:beforeAutospacing="0" w:after="0" w:afterAutospacing="0"/>
        <w:textAlignment w:val="baseline"/>
        <w:rPr>
          <w:rFonts w:ascii="Segoe UI" w:hAnsi="Segoe UI" w:cs="Segoe UI"/>
          <w:sz w:val="18"/>
          <w:szCs w:val="18"/>
          <w:highlight w:val="yellow"/>
        </w:rPr>
      </w:pPr>
    </w:p>
    <w:p w14:paraId="0199C35C" w14:textId="77777777" w:rsidR="003D7BC8" w:rsidRPr="00E84736" w:rsidRDefault="003D7BC8" w:rsidP="003D7BC8">
      <w:pPr>
        <w:pStyle w:val="paragraph"/>
        <w:shd w:val="clear" w:color="auto" w:fill="FFFFFF"/>
        <w:spacing w:before="0" w:beforeAutospacing="0" w:after="0" w:afterAutospacing="0"/>
        <w:textAlignment w:val="baseline"/>
        <w:rPr>
          <w:rFonts w:ascii="Segoe UI" w:hAnsi="Segoe UI" w:cs="Segoe UI"/>
          <w:color w:val="4A4A4A"/>
          <w:sz w:val="18"/>
          <w:szCs w:val="18"/>
        </w:rPr>
      </w:pPr>
      <w:r w:rsidRPr="00E84736">
        <w:rPr>
          <w:rStyle w:val="normaltextrun"/>
          <w:rFonts w:ascii="Calibri" w:hAnsi="Calibri" w:cs="Calibri"/>
          <w:b/>
          <w:bCs/>
          <w:color w:val="4A4A4A"/>
          <w:sz w:val="21"/>
          <w:szCs w:val="21"/>
          <w:lang w:val="en-GB"/>
        </w:rPr>
        <w:t>References:</w:t>
      </w:r>
      <w:r w:rsidRPr="00E84736">
        <w:rPr>
          <w:rStyle w:val="eop"/>
          <w:rFonts w:ascii="Calibri" w:hAnsi="Calibri" w:cs="Calibri"/>
          <w:color w:val="4A4A4A"/>
          <w:sz w:val="21"/>
          <w:szCs w:val="21"/>
        </w:rPr>
        <w:t> </w:t>
      </w:r>
    </w:p>
    <w:p w14:paraId="30D24080" w14:textId="75F09ABC" w:rsidR="00C75C49" w:rsidRPr="00727B90" w:rsidRDefault="00C75C49" w:rsidP="00727B90">
      <w:r w:rsidRPr="00727B90">
        <w:rPr>
          <w:rFonts w:ascii="Times New Roman" w:hAnsi="Times New Roman"/>
          <w:sz w:val="24"/>
        </w:rPr>
        <w:t>1.</w:t>
      </w:r>
      <w:r>
        <w:t xml:space="preserve"> </w:t>
      </w:r>
      <w:r w:rsidRPr="00727B90">
        <w:rPr>
          <w:rFonts w:ascii="Times New Roman" w:hAnsi="Times New Roman"/>
          <w:sz w:val="24"/>
        </w:rPr>
        <w:t xml:space="preserve">World </w:t>
      </w:r>
      <w:r w:rsidRPr="00DC030B">
        <w:t>malaria report 2008.</w:t>
      </w:r>
      <w:r w:rsidRPr="00727B90">
        <w:t xml:space="preserve"> Geneva: World Health Organization; 2008</w:t>
      </w:r>
      <w:r w:rsidRPr="00DC030B">
        <w:t xml:space="preserve"> (</w:t>
      </w:r>
      <w:hyperlink r:id="rId14" w:history="1">
        <w:r w:rsidRPr="00900F1C">
          <w:rPr>
            <w:rStyle w:val="Hyperlink"/>
          </w:rPr>
          <w:t>https://apps.who.int/iris/handle/10665/43939</w:t>
        </w:r>
      </w:hyperlink>
      <w:r w:rsidRPr="00DC030B">
        <w:t>).</w:t>
      </w:r>
    </w:p>
    <w:p w14:paraId="0D013EFA" w14:textId="2FD98881" w:rsidR="00C75C49" w:rsidRPr="00727B90" w:rsidRDefault="00C75C49" w:rsidP="00727B90">
      <w:r>
        <w:t>2</w:t>
      </w:r>
      <w:r w:rsidRPr="00380CD5">
        <w:t>. The R Project</w:t>
      </w:r>
      <w:r w:rsidRPr="00727B90">
        <w:t xml:space="preserve"> for </w:t>
      </w:r>
      <w:r w:rsidRPr="00380CD5">
        <w:t>statistical computing [website].</w:t>
      </w:r>
      <w:r w:rsidRPr="00727B90">
        <w:t xml:space="preserve"> Vienna: R Foundation for Statistical Computing; </w:t>
      </w:r>
      <w:r w:rsidRPr="00380CD5">
        <w:t>2023 (https</w:t>
      </w:r>
      <w:r w:rsidRPr="00727B90">
        <w:t>://www.R-project.org</w:t>
      </w:r>
      <w:r w:rsidRPr="00380CD5">
        <w:t xml:space="preserve">/). </w:t>
      </w:r>
    </w:p>
    <w:p w14:paraId="03D9B372" w14:textId="0C53A932" w:rsidR="00C75C49" w:rsidRDefault="00C75C49" w:rsidP="00C75C49">
      <w:r w:rsidRPr="00756A95">
        <w:rPr>
          <w:lang w:val="es-PA"/>
        </w:rPr>
        <w:t>3.</w:t>
      </w:r>
      <w:r w:rsidRPr="00727B90">
        <w:rPr>
          <w:lang w:val="es-PA"/>
        </w:rPr>
        <w:t xml:space="preserve"> Weiss DJ, </w:t>
      </w:r>
      <w:proofErr w:type="spellStart"/>
      <w:r w:rsidRPr="00727B90">
        <w:rPr>
          <w:lang w:val="es-PA"/>
        </w:rPr>
        <w:t>Mappin</w:t>
      </w:r>
      <w:proofErr w:type="spellEnd"/>
      <w:r w:rsidRPr="00727B90">
        <w:rPr>
          <w:lang w:val="es-PA"/>
        </w:rPr>
        <w:t xml:space="preserve"> B, </w:t>
      </w:r>
      <w:proofErr w:type="spellStart"/>
      <w:r w:rsidRPr="00727B90">
        <w:rPr>
          <w:lang w:val="es-PA"/>
        </w:rPr>
        <w:t>Dalrymple</w:t>
      </w:r>
      <w:proofErr w:type="spellEnd"/>
      <w:r w:rsidRPr="00727B90">
        <w:rPr>
          <w:lang w:val="es-PA"/>
        </w:rPr>
        <w:t xml:space="preserve"> U, </w:t>
      </w:r>
      <w:proofErr w:type="spellStart"/>
      <w:r w:rsidRPr="00756A95">
        <w:rPr>
          <w:lang w:val="es-PA"/>
        </w:rPr>
        <w:t>Bhatt</w:t>
      </w:r>
      <w:proofErr w:type="spellEnd"/>
      <w:r w:rsidRPr="00756A95">
        <w:rPr>
          <w:lang w:val="es-PA"/>
        </w:rPr>
        <w:t xml:space="preserve"> S, Cameron E, Hay SI </w:t>
      </w:r>
      <w:r w:rsidRPr="00727B90">
        <w:rPr>
          <w:lang w:val="es-PA"/>
        </w:rPr>
        <w:t xml:space="preserve">et al. </w:t>
      </w:r>
      <w:r w:rsidRPr="00B10A97">
        <w:t xml:space="preserve">Re-examining environmental correlates of </w:t>
      </w:r>
      <w:r w:rsidRPr="00727B90">
        <w:t xml:space="preserve">Plasmodium falciparum </w:t>
      </w:r>
      <w:r w:rsidRPr="00B10A97">
        <w:t xml:space="preserve">malaria endemicity: a data-intensive variable selection approach. Malar J. </w:t>
      </w:r>
      <w:proofErr w:type="gramStart"/>
      <w:r w:rsidRPr="00B10A97">
        <w:t>2015;14:68</w:t>
      </w:r>
      <w:proofErr w:type="gramEnd"/>
      <w:r w:rsidRPr="00B10A97">
        <w:t xml:space="preserve"> (</w:t>
      </w:r>
      <w:hyperlink r:id="rId15" w:history="1">
        <w:r w:rsidRPr="00900F1C">
          <w:rPr>
            <w:rStyle w:val="Hyperlink"/>
          </w:rPr>
          <w:t>https://doi.org/10.1186/s12936-015-0574-x</w:t>
        </w:r>
      </w:hyperlink>
      <w:r w:rsidRPr="00B10A97">
        <w:t xml:space="preserve">). </w:t>
      </w:r>
    </w:p>
    <w:p w14:paraId="51C5DFD9" w14:textId="6DB2B0E2" w:rsidR="00C75C49" w:rsidRPr="00727B90" w:rsidRDefault="00C75C49" w:rsidP="00727B90">
      <w:r>
        <w:t>4</w:t>
      </w:r>
      <w:r w:rsidRPr="00B10A97">
        <w:t xml:space="preserve">. Cameron E, Battle KE, Bhatt S, Weiss DJ, </w:t>
      </w:r>
      <w:proofErr w:type="spellStart"/>
      <w:r w:rsidRPr="00B10A97">
        <w:t>Bisanzio</w:t>
      </w:r>
      <w:proofErr w:type="spellEnd"/>
      <w:r w:rsidRPr="00B10A97">
        <w:t xml:space="preserve"> D, Mappin B et al. Defining the relationship</w:t>
      </w:r>
      <w:r w:rsidRPr="00727B90">
        <w:t xml:space="preserve"> between </w:t>
      </w:r>
      <w:r w:rsidRPr="00B10A97">
        <w:t>infection prevalence and clinical incidence of Plasmodium falciparum malaria. Nat Commun.</w:t>
      </w:r>
      <w:r w:rsidRPr="00727B90">
        <w:t xml:space="preserve"> </w:t>
      </w:r>
      <w:proofErr w:type="gramStart"/>
      <w:r w:rsidRPr="00727B90">
        <w:t>2015</w:t>
      </w:r>
      <w:r w:rsidRPr="00B10A97">
        <w:t>;6:8170</w:t>
      </w:r>
      <w:proofErr w:type="gramEnd"/>
      <w:r w:rsidRPr="00B10A97">
        <w:t xml:space="preserve"> (https://doi.org/10.1038/ncomms9170). </w:t>
      </w:r>
    </w:p>
    <w:p w14:paraId="2F2973F4" w14:textId="77777777" w:rsidR="00C75C49" w:rsidRDefault="00C75C49" w:rsidP="00C75C49">
      <w:r>
        <w:t>5</w:t>
      </w:r>
      <w:r w:rsidRPr="00B10A97">
        <w:t>. Malaria Atlas Project [website]. 2023 (</w:t>
      </w:r>
      <w:hyperlink r:id="rId16" w:history="1">
        <w:r w:rsidRPr="00900F1C">
          <w:rPr>
            <w:rStyle w:val="Hyperlink"/>
          </w:rPr>
          <w:t>https://malariaatlas.org</w:t>
        </w:r>
      </w:hyperlink>
      <w:r w:rsidRPr="00B10A97">
        <w:t xml:space="preserve">). </w:t>
      </w:r>
    </w:p>
    <w:p w14:paraId="64523599" w14:textId="77777777" w:rsidR="00C75C49" w:rsidRDefault="00C75C49" w:rsidP="00C75C49">
      <w:r>
        <w:t>6</w:t>
      </w:r>
      <w:r w:rsidRPr="00FF2268">
        <w:t>. Pulse survey on continuity of essential health services during the COVID-19 pandemic: interim report, 27 August 2020. Geneva: World Health Organization; 2020 (</w:t>
      </w:r>
      <w:hyperlink r:id="rId17" w:history="1">
        <w:r w:rsidRPr="00900F1C">
          <w:rPr>
            <w:rStyle w:val="Hyperlink"/>
          </w:rPr>
          <w:t>https://iris.who.int/handle/10665/334048</w:t>
        </w:r>
      </w:hyperlink>
      <w:r w:rsidRPr="00FF2268">
        <w:t>).</w:t>
      </w:r>
    </w:p>
    <w:p w14:paraId="40DF263E" w14:textId="77777777" w:rsidR="00C75C49" w:rsidRDefault="00C75C49" w:rsidP="00C75C49">
      <w:r>
        <w:t>7</w:t>
      </w:r>
      <w:r w:rsidRPr="004D7EF9">
        <w:t>. Second round of the national pulse survey on continuity of essential health services during the COVID-19 pandemic: January−March 2021. Geneva: World Health Organization; 2021 (https://iris.who.int/handle/10665/340937).</w:t>
      </w:r>
    </w:p>
    <w:p w14:paraId="4BCAF56F" w14:textId="77777777" w:rsidR="00C75C49" w:rsidRDefault="00C75C49" w:rsidP="00C75C49">
      <w:r>
        <w:t>8</w:t>
      </w:r>
      <w:r w:rsidRPr="00FF2268">
        <w:t>. Third round of the global pulse survey on continuity of essential health services during the COVID-19 pandemic: November–December 2021. Geneva: World Health Organization; 2022 (https://iris.who.int/handle/10665/351527).</w:t>
      </w:r>
    </w:p>
    <w:p w14:paraId="0000B41E" w14:textId="77777777" w:rsidR="00C75C49" w:rsidRPr="00CB5DDC" w:rsidRDefault="00C75C49" w:rsidP="003D7BC8">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p>
    <w:p w14:paraId="58B12541" w14:textId="77777777" w:rsidR="003D7BC8" w:rsidRPr="00CB5DDC" w:rsidRDefault="003D7BC8" w:rsidP="003D7BC8">
      <w:pPr>
        <w:rPr>
          <w:color w:val="4A4A4A"/>
        </w:rPr>
      </w:pPr>
    </w:p>
    <w:p w14:paraId="384B0992" w14:textId="36889691" w:rsidR="00186795" w:rsidRDefault="00186795"/>
    <w:p w14:paraId="6C4E77EE" w14:textId="530FC413" w:rsidR="00F719A8" w:rsidRPr="00727B90" w:rsidRDefault="00F719A8">
      <w:pPr>
        <w:rPr>
          <w:color w:val="1C75BC"/>
          <w:sz w:val="28"/>
        </w:rPr>
      </w:pPr>
      <w:bookmarkStart w:id="6" w:name="_Toc37932752"/>
      <w:bookmarkEnd w:id="6"/>
    </w:p>
    <w:sectPr w:rsidR="00F719A8" w:rsidRPr="00727B90">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811E4" w14:textId="77777777" w:rsidR="007D74A3" w:rsidRDefault="007D74A3" w:rsidP="00573C0B">
      <w:pPr>
        <w:spacing w:after="0" w:line="240" w:lineRule="auto"/>
      </w:pPr>
      <w:r>
        <w:separator/>
      </w:r>
    </w:p>
  </w:endnote>
  <w:endnote w:type="continuationSeparator" w:id="0">
    <w:p w14:paraId="127AE395" w14:textId="77777777" w:rsidR="007D74A3" w:rsidRDefault="007D74A3" w:rsidP="00573C0B">
      <w:pPr>
        <w:spacing w:after="0" w:line="240" w:lineRule="auto"/>
      </w:pPr>
      <w:r>
        <w:continuationSeparator/>
      </w:r>
    </w:p>
  </w:endnote>
  <w:endnote w:type="continuationNotice" w:id="1">
    <w:p w14:paraId="42C7144F" w14:textId="77777777" w:rsidR="007D74A3" w:rsidRDefault="007D74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fia Pro Light">
    <w:altName w:val="Calibri"/>
    <w:panose1 w:val="00000000000000000000"/>
    <w:charset w:val="00"/>
    <w:family w:val="modern"/>
    <w:notTrueType/>
    <w:pitch w:val="variable"/>
    <w:sig w:usb0="A00002EF" w:usb1="5000E07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483CC" w14:textId="77777777" w:rsidR="007D74A3" w:rsidRDefault="007D74A3" w:rsidP="00573C0B">
      <w:pPr>
        <w:spacing w:after="0" w:line="240" w:lineRule="auto"/>
      </w:pPr>
      <w:r>
        <w:separator/>
      </w:r>
    </w:p>
  </w:footnote>
  <w:footnote w:type="continuationSeparator" w:id="0">
    <w:p w14:paraId="19B8D2DA" w14:textId="77777777" w:rsidR="007D74A3" w:rsidRDefault="007D74A3" w:rsidP="00573C0B">
      <w:pPr>
        <w:spacing w:after="0" w:line="240" w:lineRule="auto"/>
      </w:pPr>
      <w:r>
        <w:continuationSeparator/>
      </w:r>
    </w:p>
  </w:footnote>
  <w:footnote w:type="continuationNotice" w:id="1">
    <w:p w14:paraId="0974C365" w14:textId="77777777" w:rsidR="007D74A3" w:rsidRDefault="007D74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3630" w14:textId="2B8C5950" w:rsidR="00786218" w:rsidRPr="00757E8A" w:rsidRDefault="00077F46" w:rsidP="00786218">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160D5A">
      <w:rPr>
        <w:color w:val="404040" w:themeColor="text1" w:themeTint="BF"/>
        <w:sz w:val="18"/>
        <w:szCs w:val="18"/>
      </w:rPr>
      <w:t>2025-03-28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2CC6"/>
    <w:multiLevelType w:val="hybridMultilevel"/>
    <w:tmpl w:val="8F681D0E"/>
    <w:lvl w:ilvl="0" w:tplc="1032BF3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C12E7"/>
    <w:multiLevelType w:val="multilevel"/>
    <w:tmpl w:val="C4A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97588"/>
    <w:multiLevelType w:val="multilevel"/>
    <w:tmpl w:val="83F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98605D"/>
    <w:multiLevelType w:val="multilevel"/>
    <w:tmpl w:val="5330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DB766A"/>
    <w:multiLevelType w:val="hybridMultilevel"/>
    <w:tmpl w:val="B970A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AE01CF"/>
    <w:multiLevelType w:val="multilevel"/>
    <w:tmpl w:val="20D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8C53E0"/>
    <w:multiLevelType w:val="hybridMultilevel"/>
    <w:tmpl w:val="9AC87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BE29C4"/>
    <w:multiLevelType w:val="multilevel"/>
    <w:tmpl w:val="EE9C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C85CC7"/>
    <w:multiLevelType w:val="multilevel"/>
    <w:tmpl w:val="33A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50415F"/>
    <w:multiLevelType w:val="hybridMultilevel"/>
    <w:tmpl w:val="DFC06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4684E"/>
    <w:multiLevelType w:val="multilevel"/>
    <w:tmpl w:val="A02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2D0114"/>
    <w:multiLevelType w:val="hybridMultilevel"/>
    <w:tmpl w:val="A104B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567816">
    <w:abstractNumId w:val="12"/>
  </w:num>
  <w:num w:numId="2" w16cid:durableId="106975216">
    <w:abstractNumId w:val="4"/>
  </w:num>
  <w:num w:numId="3" w16cid:durableId="1809662398">
    <w:abstractNumId w:val="15"/>
  </w:num>
  <w:num w:numId="4" w16cid:durableId="955260955">
    <w:abstractNumId w:val="5"/>
  </w:num>
  <w:num w:numId="5" w16cid:durableId="922497366">
    <w:abstractNumId w:val="3"/>
  </w:num>
  <w:num w:numId="6" w16cid:durableId="596790148">
    <w:abstractNumId w:val="7"/>
  </w:num>
  <w:num w:numId="7" w16cid:durableId="1416052471">
    <w:abstractNumId w:val="9"/>
  </w:num>
  <w:num w:numId="8" w16cid:durableId="2108042081">
    <w:abstractNumId w:val="13"/>
  </w:num>
  <w:num w:numId="9" w16cid:durableId="1192572105">
    <w:abstractNumId w:val="2"/>
  </w:num>
  <w:num w:numId="10" w16cid:durableId="1462260147">
    <w:abstractNumId w:val="0"/>
  </w:num>
  <w:num w:numId="11" w16cid:durableId="1403479779">
    <w:abstractNumId w:val="8"/>
  </w:num>
  <w:num w:numId="12" w16cid:durableId="1043477735">
    <w:abstractNumId w:val="14"/>
  </w:num>
  <w:num w:numId="13" w16cid:durableId="826163840">
    <w:abstractNumId w:val="6"/>
  </w:num>
  <w:num w:numId="14" w16cid:durableId="1672637319">
    <w:abstractNumId w:val="11"/>
  </w:num>
  <w:num w:numId="15" w16cid:durableId="1965498529">
    <w:abstractNumId w:val="10"/>
  </w:num>
  <w:num w:numId="16" w16cid:durableId="209219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1955"/>
    <w:rsid w:val="00025CAF"/>
    <w:rsid w:val="0004010D"/>
    <w:rsid w:val="000412A0"/>
    <w:rsid w:val="00041579"/>
    <w:rsid w:val="00047DDA"/>
    <w:rsid w:val="00052E54"/>
    <w:rsid w:val="0005455A"/>
    <w:rsid w:val="00057127"/>
    <w:rsid w:val="00060A9F"/>
    <w:rsid w:val="00071F07"/>
    <w:rsid w:val="0007759D"/>
    <w:rsid w:val="000777AB"/>
    <w:rsid w:val="00077F46"/>
    <w:rsid w:val="00090DBF"/>
    <w:rsid w:val="00090FB1"/>
    <w:rsid w:val="00096186"/>
    <w:rsid w:val="000A0687"/>
    <w:rsid w:val="000A72E4"/>
    <w:rsid w:val="000B0479"/>
    <w:rsid w:val="000B0E2F"/>
    <w:rsid w:val="000B2430"/>
    <w:rsid w:val="000B4249"/>
    <w:rsid w:val="000D0B30"/>
    <w:rsid w:val="000E21F1"/>
    <w:rsid w:val="000F2C2E"/>
    <w:rsid w:val="000F3270"/>
    <w:rsid w:val="000F703E"/>
    <w:rsid w:val="00120E86"/>
    <w:rsid w:val="00125DE9"/>
    <w:rsid w:val="00130ACD"/>
    <w:rsid w:val="00130C2C"/>
    <w:rsid w:val="001332E0"/>
    <w:rsid w:val="00134DE7"/>
    <w:rsid w:val="00153341"/>
    <w:rsid w:val="00156761"/>
    <w:rsid w:val="00160D5A"/>
    <w:rsid w:val="00162C48"/>
    <w:rsid w:val="00176B6D"/>
    <w:rsid w:val="00182F78"/>
    <w:rsid w:val="00185354"/>
    <w:rsid w:val="001854DC"/>
    <w:rsid w:val="00186795"/>
    <w:rsid w:val="001878A8"/>
    <w:rsid w:val="00194D09"/>
    <w:rsid w:val="0019606E"/>
    <w:rsid w:val="001A7D5C"/>
    <w:rsid w:val="001B60AA"/>
    <w:rsid w:val="001B63C8"/>
    <w:rsid w:val="001C1972"/>
    <w:rsid w:val="001C421F"/>
    <w:rsid w:val="001C46C7"/>
    <w:rsid w:val="001D360D"/>
    <w:rsid w:val="001E4AE7"/>
    <w:rsid w:val="001F0475"/>
    <w:rsid w:val="00201C5C"/>
    <w:rsid w:val="00210E67"/>
    <w:rsid w:val="00231A54"/>
    <w:rsid w:val="00240F36"/>
    <w:rsid w:val="00242247"/>
    <w:rsid w:val="00261A8D"/>
    <w:rsid w:val="00264A1E"/>
    <w:rsid w:val="002745F8"/>
    <w:rsid w:val="00283C1C"/>
    <w:rsid w:val="00291A00"/>
    <w:rsid w:val="00291A11"/>
    <w:rsid w:val="002A315C"/>
    <w:rsid w:val="002A3342"/>
    <w:rsid w:val="002A64BA"/>
    <w:rsid w:val="002B2BB3"/>
    <w:rsid w:val="002B4989"/>
    <w:rsid w:val="002B664C"/>
    <w:rsid w:val="002B7A81"/>
    <w:rsid w:val="002C2510"/>
    <w:rsid w:val="002C4AEE"/>
    <w:rsid w:val="002D714E"/>
    <w:rsid w:val="002E53C3"/>
    <w:rsid w:val="002F1468"/>
    <w:rsid w:val="002F3230"/>
    <w:rsid w:val="002F5F0C"/>
    <w:rsid w:val="002F76BC"/>
    <w:rsid w:val="0031719F"/>
    <w:rsid w:val="003202CB"/>
    <w:rsid w:val="003265EB"/>
    <w:rsid w:val="00330F0C"/>
    <w:rsid w:val="003348DC"/>
    <w:rsid w:val="00342DC7"/>
    <w:rsid w:val="0034329E"/>
    <w:rsid w:val="00343FAA"/>
    <w:rsid w:val="0034573D"/>
    <w:rsid w:val="00347F5E"/>
    <w:rsid w:val="00353C98"/>
    <w:rsid w:val="00371A20"/>
    <w:rsid w:val="00371B56"/>
    <w:rsid w:val="00380CD5"/>
    <w:rsid w:val="003821B4"/>
    <w:rsid w:val="00382CF3"/>
    <w:rsid w:val="00387D52"/>
    <w:rsid w:val="00395046"/>
    <w:rsid w:val="00396FC5"/>
    <w:rsid w:val="003A7CEA"/>
    <w:rsid w:val="003A7FC5"/>
    <w:rsid w:val="003B0F41"/>
    <w:rsid w:val="003B32A8"/>
    <w:rsid w:val="003B70CC"/>
    <w:rsid w:val="003C0806"/>
    <w:rsid w:val="003C61E7"/>
    <w:rsid w:val="003D7BC8"/>
    <w:rsid w:val="003E06AA"/>
    <w:rsid w:val="003F0BD3"/>
    <w:rsid w:val="003F278A"/>
    <w:rsid w:val="003F7A02"/>
    <w:rsid w:val="003F7AD9"/>
    <w:rsid w:val="00416196"/>
    <w:rsid w:val="00422676"/>
    <w:rsid w:val="00422EA5"/>
    <w:rsid w:val="00422EFA"/>
    <w:rsid w:val="0042791F"/>
    <w:rsid w:val="004279C3"/>
    <w:rsid w:val="0044465B"/>
    <w:rsid w:val="004456ED"/>
    <w:rsid w:val="00453D57"/>
    <w:rsid w:val="004549F1"/>
    <w:rsid w:val="0048045A"/>
    <w:rsid w:val="004841B8"/>
    <w:rsid w:val="004930F2"/>
    <w:rsid w:val="004A14FB"/>
    <w:rsid w:val="004A3D04"/>
    <w:rsid w:val="004A7E69"/>
    <w:rsid w:val="004B0F1C"/>
    <w:rsid w:val="004B1CF6"/>
    <w:rsid w:val="004D2055"/>
    <w:rsid w:val="004D46B2"/>
    <w:rsid w:val="004D7EF9"/>
    <w:rsid w:val="004E2FFF"/>
    <w:rsid w:val="004E3E34"/>
    <w:rsid w:val="004F2EE6"/>
    <w:rsid w:val="00501FAD"/>
    <w:rsid w:val="00502110"/>
    <w:rsid w:val="00502DBA"/>
    <w:rsid w:val="005040C4"/>
    <w:rsid w:val="00507637"/>
    <w:rsid w:val="00507852"/>
    <w:rsid w:val="00514DBF"/>
    <w:rsid w:val="00550921"/>
    <w:rsid w:val="00563712"/>
    <w:rsid w:val="00572683"/>
    <w:rsid w:val="00573631"/>
    <w:rsid w:val="00573C0B"/>
    <w:rsid w:val="005768D7"/>
    <w:rsid w:val="00576CFA"/>
    <w:rsid w:val="005813B1"/>
    <w:rsid w:val="0058556D"/>
    <w:rsid w:val="00592AF2"/>
    <w:rsid w:val="005947AD"/>
    <w:rsid w:val="00597748"/>
    <w:rsid w:val="005979E8"/>
    <w:rsid w:val="005A7D8D"/>
    <w:rsid w:val="005C4429"/>
    <w:rsid w:val="005D03CD"/>
    <w:rsid w:val="005D0AF4"/>
    <w:rsid w:val="005E54BD"/>
    <w:rsid w:val="005F168F"/>
    <w:rsid w:val="005F6CCA"/>
    <w:rsid w:val="006015CF"/>
    <w:rsid w:val="006104AF"/>
    <w:rsid w:val="00621893"/>
    <w:rsid w:val="00622229"/>
    <w:rsid w:val="006351E1"/>
    <w:rsid w:val="006447B1"/>
    <w:rsid w:val="00650C48"/>
    <w:rsid w:val="00656125"/>
    <w:rsid w:val="00662775"/>
    <w:rsid w:val="00682DB6"/>
    <w:rsid w:val="006852FC"/>
    <w:rsid w:val="00696BD7"/>
    <w:rsid w:val="006B40AB"/>
    <w:rsid w:val="006B5DC5"/>
    <w:rsid w:val="006C4BFD"/>
    <w:rsid w:val="006C7D30"/>
    <w:rsid w:val="006D1761"/>
    <w:rsid w:val="006D3690"/>
    <w:rsid w:val="006E3C08"/>
    <w:rsid w:val="006E7C14"/>
    <w:rsid w:val="006F277C"/>
    <w:rsid w:val="00700ACF"/>
    <w:rsid w:val="00712487"/>
    <w:rsid w:val="00713D63"/>
    <w:rsid w:val="007249A9"/>
    <w:rsid w:val="00727B90"/>
    <w:rsid w:val="00740743"/>
    <w:rsid w:val="007530CA"/>
    <w:rsid w:val="007551ED"/>
    <w:rsid w:val="00756A95"/>
    <w:rsid w:val="00756D68"/>
    <w:rsid w:val="007578D9"/>
    <w:rsid w:val="00757E8A"/>
    <w:rsid w:val="00763E43"/>
    <w:rsid w:val="00764EB5"/>
    <w:rsid w:val="00765883"/>
    <w:rsid w:val="00771FE9"/>
    <w:rsid w:val="00773B13"/>
    <w:rsid w:val="00776F3D"/>
    <w:rsid w:val="00777A95"/>
    <w:rsid w:val="00782416"/>
    <w:rsid w:val="00786218"/>
    <w:rsid w:val="007A0879"/>
    <w:rsid w:val="007B0364"/>
    <w:rsid w:val="007B3292"/>
    <w:rsid w:val="007D01FE"/>
    <w:rsid w:val="007D0981"/>
    <w:rsid w:val="007D1929"/>
    <w:rsid w:val="007D74A3"/>
    <w:rsid w:val="007E20A5"/>
    <w:rsid w:val="007F025B"/>
    <w:rsid w:val="007F62ED"/>
    <w:rsid w:val="00803CF1"/>
    <w:rsid w:val="008104BB"/>
    <w:rsid w:val="008249C5"/>
    <w:rsid w:val="00824C93"/>
    <w:rsid w:val="00824E61"/>
    <w:rsid w:val="00832103"/>
    <w:rsid w:val="00834A6A"/>
    <w:rsid w:val="008526F9"/>
    <w:rsid w:val="0085285E"/>
    <w:rsid w:val="00853023"/>
    <w:rsid w:val="0085311D"/>
    <w:rsid w:val="008534D4"/>
    <w:rsid w:val="00863820"/>
    <w:rsid w:val="00881E28"/>
    <w:rsid w:val="00894C4B"/>
    <w:rsid w:val="00896392"/>
    <w:rsid w:val="00897A15"/>
    <w:rsid w:val="008A12E3"/>
    <w:rsid w:val="008A42FA"/>
    <w:rsid w:val="008A7606"/>
    <w:rsid w:val="008B0AC7"/>
    <w:rsid w:val="008B5367"/>
    <w:rsid w:val="008C2335"/>
    <w:rsid w:val="008C63E4"/>
    <w:rsid w:val="008C67C1"/>
    <w:rsid w:val="008D1D39"/>
    <w:rsid w:val="008D4994"/>
    <w:rsid w:val="008D5A8E"/>
    <w:rsid w:val="008D7B6B"/>
    <w:rsid w:val="008E5FBE"/>
    <w:rsid w:val="008F07D2"/>
    <w:rsid w:val="008F1624"/>
    <w:rsid w:val="00911BC9"/>
    <w:rsid w:val="00911FAA"/>
    <w:rsid w:val="00917851"/>
    <w:rsid w:val="00917F65"/>
    <w:rsid w:val="00922499"/>
    <w:rsid w:val="00926665"/>
    <w:rsid w:val="009311E7"/>
    <w:rsid w:val="00942694"/>
    <w:rsid w:val="00963F99"/>
    <w:rsid w:val="00972DD0"/>
    <w:rsid w:val="009A7E3A"/>
    <w:rsid w:val="009B1265"/>
    <w:rsid w:val="009B4A15"/>
    <w:rsid w:val="009B5693"/>
    <w:rsid w:val="009C064A"/>
    <w:rsid w:val="009C61A2"/>
    <w:rsid w:val="009C78E4"/>
    <w:rsid w:val="009D687E"/>
    <w:rsid w:val="009E018B"/>
    <w:rsid w:val="009F1E3E"/>
    <w:rsid w:val="009F6DE7"/>
    <w:rsid w:val="00A05111"/>
    <w:rsid w:val="00A05B71"/>
    <w:rsid w:val="00A10583"/>
    <w:rsid w:val="00A11461"/>
    <w:rsid w:val="00A14229"/>
    <w:rsid w:val="00A15D7D"/>
    <w:rsid w:val="00A376FE"/>
    <w:rsid w:val="00A37FCB"/>
    <w:rsid w:val="00A54863"/>
    <w:rsid w:val="00A56E22"/>
    <w:rsid w:val="00A61D74"/>
    <w:rsid w:val="00A67A2E"/>
    <w:rsid w:val="00A8688B"/>
    <w:rsid w:val="00A91163"/>
    <w:rsid w:val="00A9286F"/>
    <w:rsid w:val="00A93E64"/>
    <w:rsid w:val="00A95912"/>
    <w:rsid w:val="00A96255"/>
    <w:rsid w:val="00AA13B4"/>
    <w:rsid w:val="00AA5E26"/>
    <w:rsid w:val="00AB0822"/>
    <w:rsid w:val="00AB285B"/>
    <w:rsid w:val="00AB6A1D"/>
    <w:rsid w:val="00AF09E5"/>
    <w:rsid w:val="00AF5552"/>
    <w:rsid w:val="00AF5CB4"/>
    <w:rsid w:val="00AF5ED1"/>
    <w:rsid w:val="00AF6CC9"/>
    <w:rsid w:val="00AF71D6"/>
    <w:rsid w:val="00B05283"/>
    <w:rsid w:val="00B058FF"/>
    <w:rsid w:val="00B10A97"/>
    <w:rsid w:val="00B10CF3"/>
    <w:rsid w:val="00B1619A"/>
    <w:rsid w:val="00B216EE"/>
    <w:rsid w:val="00B3175F"/>
    <w:rsid w:val="00B31E2C"/>
    <w:rsid w:val="00B329B0"/>
    <w:rsid w:val="00B3350B"/>
    <w:rsid w:val="00B402D8"/>
    <w:rsid w:val="00B4187E"/>
    <w:rsid w:val="00B4237C"/>
    <w:rsid w:val="00B42FE8"/>
    <w:rsid w:val="00B5252F"/>
    <w:rsid w:val="00B52AFD"/>
    <w:rsid w:val="00B54077"/>
    <w:rsid w:val="00B65273"/>
    <w:rsid w:val="00B735EA"/>
    <w:rsid w:val="00B8087E"/>
    <w:rsid w:val="00B83F1C"/>
    <w:rsid w:val="00BA6AAE"/>
    <w:rsid w:val="00BB289C"/>
    <w:rsid w:val="00BB2E4B"/>
    <w:rsid w:val="00BB5BB5"/>
    <w:rsid w:val="00BB646E"/>
    <w:rsid w:val="00BD07E7"/>
    <w:rsid w:val="00BD1BA1"/>
    <w:rsid w:val="00BD429D"/>
    <w:rsid w:val="00BD5636"/>
    <w:rsid w:val="00BE2517"/>
    <w:rsid w:val="00C019E5"/>
    <w:rsid w:val="00C07250"/>
    <w:rsid w:val="00C152E2"/>
    <w:rsid w:val="00C334C3"/>
    <w:rsid w:val="00C35BC4"/>
    <w:rsid w:val="00C43F5B"/>
    <w:rsid w:val="00C65082"/>
    <w:rsid w:val="00C75C49"/>
    <w:rsid w:val="00CA3F8A"/>
    <w:rsid w:val="00CB4371"/>
    <w:rsid w:val="00CB5DDC"/>
    <w:rsid w:val="00CC1704"/>
    <w:rsid w:val="00CC460F"/>
    <w:rsid w:val="00CC516D"/>
    <w:rsid w:val="00CD4054"/>
    <w:rsid w:val="00CD42FB"/>
    <w:rsid w:val="00CE18C4"/>
    <w:rsid w:val="00D02A60"/>
    <w:rsid w:val="00D241FB"/>
    <w:rsid w:val="00D24330"/>
    <w:rsid w:val="00D32C48"/>
    <w:rsid w:val="00D40056"/>
    <w:rsid w:val="00D515D1"/>
    <w:rsid w:val="00D51E7C"/>
    <w:rsid w:val="00D538BE"/>
    <w:rsid w:val="00D54F29"/>
    <w:rsid w:val="00D60F58"/>
    <w:rsid w:val="00D626E9"/>
    <w:rsid w:val="00D7020C"/>
    <w:rsid w:val="00D70AD9"/>
    <w:rsid w:val="00D72152"/>
    <w:rsid w:val="00D8256B"/>
    <w:rsid w:val="00D83B43"/>
    <w:rsid w:val="00D94BA5"/>
    <w:rsid w:val="00D9510F"/>
    <w:rsid w:val="00DA615C"/>
    <w:rsid w:val="00DB02A6"/>
    <w:rsid w:val="00DB7C05"/>
    <w:rsid w:val="00DC030B"/>
    <w:rsid w:val="00DD1BC6"/>
    <w:rsid w:val="00DD4EA2"/>
    <w:rsid w:val="00DD7F6D"/>
    <w:rsid w:val="00DE5857"/>
    <w:rsid w:val="00DE5DC3"/>
    <w:rsid w:val="00DE7F56"/>
    <w:rsid w:val="00E00D8A"/>
    <w:rsid w:val="00E1050F"/>
    <w:rsid w:val="00E11604"/>
    <w:rsid w:val="00E11D92"/>
    <w:rsid w:val="00E126BD"/>
    <w:rsid w:val="00E130A0"/>
    <w:rsid w:val="00E14888"/>
    <w:rsid w:val="00E20F4C"/>
    <w:rsid w:val="00E210C4"/>
    <w:rsid w:val="00E226D6"/>
    <w:rsid w:val="00E22EBB"/>
    <w:rsid w:val="00E23DB7"/>
    <w:rsid w:val="00E40EDA"/>
    <w:rsid w:val="00E42F34"/>
    <w:rsid w:val="00E46D96"/>
    <w:rsid w:val="00E52CCA"/>
    <w:rsid w:val="00E66409"/>
    <w:rsid w:val="00E7669B"/>
    <w:rsid w:val="00E8069C"/>
    <w:rsid w:val="00E81D5B"/>
    <w:rsid w:val="00E84736"/>
    <w:rsid w:val="00E855AC"/>
    <w:rsid w:val="00E966CD"/>
    <w:rsid w:val="00E976B9"/>
    <w:rsid w:val="00EA05D3"/>
    <w:rsid w:val="00EB19AD"/>
    <w:rsid w:val="00EB2F31"/>
    <w:rsid w:val="00EB6493"/>
    <w:rsid w:val="00EC2915"/>
    <w:rsid w:val="00EC2C67"/>
    <w:rsid w:val="00EC3C61"/>
    <w:rsid w:val="00EC6379"/>
    <w:rsid w:val="00ED05A9"/>
    <w:rsid w:val="00ED0F6C"/>
    <w:rsid w:val="00ED1BA0"/>
    <w:rsid w:val="00EE2930"/>
    <w:rsid w:val="00EF7AE1"/>
    <w:rsid w:val="00F10541"/>
    <w:rsid w:val="00F13E44"/>
    <w:rsid w:val="00F17257"/>
    <w:rsid w:val="00F32574"/>
    <w:rsid w:val="00F34D24"/>
    <w:rsid w:val="00F4130B"/>
    <w:rsid w:val="00F4292D"/>
    <w:rsid w:val="00F45744"/>
    <w:rsid w:val="00F556A2"/>
    <w:rsid w:val="00F636A0"/>
    <w:rsid w:val="00F6627D"/>
    <w:rsid w:val="00F719A8"/>
    <w:rsid w:val="00F76B4A"/>
    <w:rsid w:val="00F878B9"/>
    <w:rsid w:val="00F902C1"/>
    <w:rsid w:val="00FA06E2"/>
    <w:rsid w:val="00FA09D6"/>
    <w:rsid w:val="00FA2799"/>
    <w:rsid w:val="00FA387D"/>
    <w:rsid w:val="00FB24E8"/>
    <w:rsid w:val="00FB3B2B"/>
    <w:rsid w:val="00FB6516"/>
    <w:rsid w:val="00FC18DA"/>
    <w:rsid w:val="00FC3917"/>
    <w:rsid w:val="00FC4B5C"/>
    <w:rsid w:val="00FD13EE"/>
    <w:rsid w:val="00FD25C4"/>
    <w:rsid w:val="00FD60DA"/>
    <w:rsid w:val="00FD6180"/>
    <w:rsid w:val="00FE3B3D"/>
    <w:rsid w:val="00FF07B4"/>
    <w:rsid w:val="00FF0874"/>
    <w:rsid w:val="00FF2268"/>
    <w:rsid w:val="01664437"/>
    <w:rsid w:val="06E9B04E"/>
    <w:rsid w:val="16D1DA77"/>
    <w:rsid w:val="63499D5B"/>
    <w:rsid w:val="718D2B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5813B1"/>
    <w:pPr>
      <w:spacing w:after="0" w:line="240" w:lineRule="auto"/>
    </w:pPr>
  </w:style>
  <w:style w:type="paragraph" w:styleId="FootnoteText">
    <w:name w:val="footnote text"/>
    <w:basedOn w:val="Normal"/>
    <w:link w:val="FootnoteTextChar"/>
    <w:uiPriority w:val="99"/>
    <w:semiHidden/>
    <w:unhideWhenUsed/>
    <w:rsid w:val="00963F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3F99"/>
    <w:rPr>
      <w:sz w:val="20"/>
      <w:szCs w:val="20"/>
    </w:rPr>
  </w:style>
  <w:style w:type="character" w:styleId="FootnoteReference">
    <w:name w:val="footnote reference"/>
    <w:basedOn w:val="DefaultParagraphFont"/>
    <w:uiPriority w:val="99"/>
    <w:semiHidden/>
    <w:unhideWhenUsed/>
    <w:rsid w:val="00963F99"/>
    <w:rPr>
      <w:vertAlign w:val="superscript"/>
    </w:rPr>
  </w:style>
  <w:style w:type="character" w:customStyle="1" w:styleId="normaltextrun">
    <w:name w:val="normaltextrun"/>
    <w:basedOn w:val="DefaultParagraphFont"/>
    <w:rsid w:val="004279C3"/>
  </w:style>
  <w:style w:type="character" w:customStyle="1" w:styleId="eop">
    <w:name w:val="eop"/>
    <w:basedOn w:val="DefaultParagraphFont"/>
    <w:rsid w:val="004279C3"/>
  </w:style>
  <w:style w:type="paragraph" w:customStyle="1" w:styleId="paragraph">
    <w:name w:val="paragraph"/>
    <w:basedOn w:val="Normal"/>
    <w:rsid w:val="00E22EB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EF7AE1"/>
    <w:rPr>
      <w:color w:val="800080" w:themeColor="followedHyperlink"/>
      <w:u w:val="single"/>
    </w:rPr>
  </w:style>
  <w:style w:type="paragraph" w:styleId="NormalWeb">
    <w:name w:val="Normal (Web)"/>
    <w:basedOn w:val="Normal"/>
    <w:uiPriority w:val="99"/>
    <w:semiHidden/>
    <w:unhideWhenUsed/>
    <w:rsid w:val="00DB7C05"/>
    <w:rPr>
      <w:rFonts w:ascii="Times New Roman" w:hAnsi="Times New Roman" w:cs="Times New Roman"/>
      <w:sz w:val="24"/>
      <w:szCs w:val="24"/>
    </w:rPr>
  </w:style>
  <w:style w:type="paragraph" w:customStyle="1" w:styleId="EndNoteBibliography">
    <w:name w:val="EndNote Bibliography"/>
    <w:basedOn w:val="Normal"/>
    <w:link w:val="EndNoteBibliographyChar"/>
    <w:rsid w:val="00DB7C05"/>
    <w:pPr>
      <w:widowControl w:val="0"/>
      <w:autoSpaceDE w:val="0"/>
      <w:autoSpaceDN w:val="0"/>
      <w:spacing w:after="0" w:line="240" w:lineRule="auto"/>
      <w:jc w:val="both"/>
    </w:pPr>
    <w:rPr>
      <w:rFonts w:ascii="Sofia Pro Light" w:eastAsia="Sofia Pro Light" w:hAnsi="Sofia Pro Light" w:cs="Sofia Pro Light"/>
      <w:noProof/>
      <w:lang w:val="en-US" w:eastAsia="en-US"/>
    </w:rPr>
  </w:style>
  <w:style w:type="character" w:customStyle="1" w:styleId="EndNoteBibliographyChar">
    <w:name w:val="EndNote Bibliography Char"/>
    <w:basedOn w:val="DefaultParagraphFont"/>
    <w:link w:val="EndNoteBibliography"/>
    <w:rsid w:val="00DB7C05"/>
    <w:rPr>
      <w:rFonts w:ascii="Sofia Pro Light" w:eastAsia="Sofia Pro Light" w:hAnsi="Sofia Pro Light" w:cs="Sofia Pro Light"/>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68380">
      <w:bodyDiv w:val="1"/>
      <w:marLeft w:val="0"/>
      <w:marRight w:val="0"/>
      <w:marTop w:val="0"/>
      <w:marBottom w:val="0"/>
      <w:divBdr>
        <w:top w:val="none" w:sz="0" w:space="0" w:color="auto"/>
        <w:left w:val="none" w:sz="0" w:space="0" w:color="auto"/>
        <w:bottom w:val="none" w:sz="0" w:space="0" w:color="auto"/>
        <w:right w:val="none" w:sz="0" w:space="0" w:color="auto"/>
      </w:divBdr>
      <w:divsChild>
        <w:div w:id="1095714761">
          <w:marLeft w:val="0"/>
          <w:marRight w:val="0"/>
          <w:marTop w:val="0"/>
          <w:marBottom w:val="0"/>
          <w:divBdr>
            <w:top w:val="none" w:sz="0" w:space="0" w:color="auto"/>
            <w:left w:val="none" w:sz="0" w:space="0" w:color="auto"/>
            <w:bottom w:val="none" w:sz="0" w:space="0" w:color="auto"/>
            <w:right w:val="none" w:sz="0" w:space="0" w:color="auto"/>
          </w:divBdr>
        </w:div>
        <w:div w:id="1181091282">
          <w:marLeft w:val="0"/>
          <w:marRight w:val="0"/>
          <w:marTop w:val="0"/>
          <w:marBottom w:val="0"/>
          <w:divBdr>
            <w:top w:val="none" w:sz="0" w:space="0" w:color="auto"/>
            <w:left w:val="none" w:sz="0" w:space="0" w:color="auto"/>
            <w:bottom w:val="none" w:sz="0" w:space="0" w:color="auto"/>
            <w:right w:val="none" w:sz="0" w:space="0" w:color="auto"/>
          </w:divBdr>
        </w:div>
      </w:divsChild>
    </w:div>
    <w:div w:id="189996049">
      <w:bodyDiv w:val="1"/>
      <w:marLeft w:val="0"/>
      <w:marRight w:val="0"/>
      <w:marTop w:val="0"/>
      <w:marBottom w:val="0"/>
      <w:divBdr>
        <w:top w:val="none" w:sz="0" w:space="0" w:color="auto"/>
        <w:left w:val="none" w:sz="0" w:space="0" w:color="auto"/>
        <w:bottom w:val="none" w:sz="0" w:space="0" w:color="auto"/>
        <w:right w:val="none" w:sz="0" w:space="0" w:color="auto"/>
      </w:divBdr>
      <w:divsChild>
        <w:div w:id="36439868">
          <w:marLeft w:val="0"/>
          <w:marRight w:val="0"/>
          <w:marTop w:val="0"/>
          <w:marBottom w:val="0"/>
          <w:divBdr>
            <w:top w:val="none" w:sz="0" w:space="0" w:color="auto"/>
            <w:left w:val="none" w:sz="0" w:space="0" w:color="auto"/>
            <w:bottom w:val="none" w:sz="0" w:space="0" w:color="auto"/>
            <w:right w:val="none" w:sz="0" w:space="0" w:color="auto"/>
          </w:divBdr>
        </w:div>
        <w:div w:id="143357742">
          <w:marLeft w:val="0"/>
          <w:marRight w:val="0"/>
          <w:marTop w:val="0"/>
          <w:marBottom w:val="0"/>
          <w:divBdr>
            <w:top w:val="none" w:sz="0" w:space="0" w:color="auto"/>
            <w:left w:val="none" w:sz="0" w:space="0" w:color="auto"/>
            <w:bottom w:val="none" w:sz="0" w:space="0" w:color="auto"/>
            <w:right w:val="none" w:sz="0" w:space="0" w:color="auto"/>
          </w:divBdr>
        </w:div>
        <w:div w:id="761805475">
          <w:marLeft w:val="0"/>
          <w:marRight w:val="0"/>
          <w:marTop w:val="0"/>
          <w:marBottom w:val="0"/>
          <w:divBdr>
            <w:top w:val="none" w:sz="0" w:space="0" w:color="auto"/>
            <w:left w:val="none" w:sz="0" w:space="0" w:color="auto"/>
            <w:bottom w:val="none" w:sz="0" w:space="0" w:color="auto"/>
            <w:right w:val="none" w:sz="0" w:space="0" w:color="auto"/>
          </w:divBdr>
        </w:div>
        <w:div w:id="1407607971">
          <w:marLeft w:val="0"/>
          <w:marRight w:val="0"/>
          <w:marTop w:val="0"/>
          <w:marBottom w:val="0"/>
          <w:divBdr>
            <w:top w:val="none" w:sz="0" w:space="0" w:color="auto"/>
            <w:left w:val="none" w:sz="0" w:space="0" w:color="auto"/>
            <w:bottom w:val="none" w:sz="0" w:space="0" w:color="auto"/>
            <w:right w:val="none" w:sz="0" w:space="0" w:color="auto"/>
          </w:divBdr>
        </w:div>
        <w:div w:id="1722973980">
          <w:marLeft w:val="0"/>
          <w:marRight w:val="0"/>
          <w:marTop w:val="0"/>
          <w:marBottom w:val="0"/>
          <w:divBdr>
            <w:top w:val="none" w:sz="0" w:space="0" w:color="auto"/>
            <w:left w:val="none" w:sz="0" w:space="0" w:color="auto"/>
            <w:bottom w:val="none" w:sz="0" w:space="0" w:color="auto"/>
            <w:right w:val="none" w:sz="0" w:space="0" w:color="auto"/>
          </w:divBdr>
        </w:div>
      </w:divsChild>
    </w:div>
    <w:div w:id="406346620">
      <w:bodyDiv w:val="1"/>
      <w:marLeft w:val="0"/>
      <w:marRight w:val="0"/>
      <w:marTop w:val="0"/>
      <w:marBottom w:val="0"/>
      <w:divBdr>
        <w:top w:val="none" w:sz="0" w:space="0" w:color="auto"/>
        <w:left w:val="none" w:sz="0" w:space="0" w:color="auto"/>
        <w:bottom w:val="none" w:sz="0" w:space="0" w:color="auto"/>
        <w:right w:val="none" w:sz="0" w:space="0" w:color="auto"/>
      </w:divBdr>
      <w:divsChild>
        <w:div w:id="959460710">
          <w:marLeft w:val="0"/>
          <w:marRight w:val="0"/>
          <w:marTop w:val="0"/>
          <w:marBottom w:val="0"/>
          <w:divBdr>
            <w:top w:val="none" w:sz="0" w:space="0" w:color="auto"/>
            <w:left w:val="none" w:sz="0" w:space="0" w:color="auto"/>
            <w:bottom w:val="none" w:sz="0" w:space="0" w:color="auto"/>
            <w:right w:val="none" w:sz="0" w:space="0" w:color="auto"/>
          </w:divBdr>
        </w:div>
        <w:div w:id="996375188">
          <w:marLeft w:val="0"/>
          <w:marRight w:val="0"/>
          <w:marTop w:val="0"/>
          <w:marBottom w:val="0"/>
          <w:divBdr>
            <w:top w:val="none" w:sz="0" w:space="0" w:color="auto"/>
            <w:left w:val="none" w:sz="0" w:space="0" w:color="auto"/>
            <w:bottom w:val="none" w:sz="0" w:space="0" w:color="auto"/>
            <w:right w:val="none" w:sz="0" w:space="0" w:color="auto"/>
          </w:divBdr>
        </w:div>
      </w:divsChild>
    </w:div>
    <w:div w:id="467406645">
      <w:bodyDiv w:val="1"/>
      <w:marLeft w:val="0"/>
      <w:marRight w:val="0"/>
      <w:marTop w:val="0"/>
      <w:marBottom w:val="0"/>
      <w:divBdr>
        <w:top w:val="none" w:sz="0" w:space="0" w:color="auto"/>
        <w:left w:val="none" w:sz="0" w:space="0" w:color="auto"/>
        <w:bottom w:val="none" w:sz="0" w:space="0" w:color="auto"/>
        <w:right w:val="none" w:sz="0" w:space="0" w:color="auto"/>
      </w:divBdr>
      <w:divsChild>
        <w:div w:id="219751894">
          <w:marLeft w:val="0"/>
          <w:marRight w:val="0"/>
          <w:marTop w:val="0"/>
          <w:marBottom w:val="0"/>
          <w:divBdr>
            <w:top w:val="none" w:sz="0" w:space="0" w:color="auto"/>
            <w:left w:val="none" w:sz="0" w:space="0" w:color="auto"/>
            <w:bottom w:val="none" w:sz="0" w:space="0" w:color="auto"/>
            <w:right w:val="none" w:sz="0" w:space="0" w:color="auto"/>
          </w:divBdr>
        </w:div>
        <w:div w:id="351617216">
          <w:marLeft w:val="0"/>
          <w:marRight w:val="0"/>
          <w:marTop w:val="0"/>
          <w:marBottom w:val="0"/>
          <w:divBdr>
            <w:top w:val="none" w:sz="0" w:space="0" w:color="auto"/>
            <w:left w:val="none" w:sz="0" w:space="0" w:color="auto"/>
            <w:bottom w:val="none" w:sz="0" w:space="0" w:color="auto"/>
            <w:right w:val="none" w:sz="0" w:space="0" w:color="auto"/>
          </w:divBdr>
        </w:div>
        <w:div w:id="518011775">
          <w:marLeft w:val="0"/>
          <w:marRight w:val="0"/>
          <w:marTop w:val="0"/>
          <w:marBottom w:val="0"/>
          <w:divBdr>
            <w:top w:val="none" w:sz="0" w:space="0" w:color="auto"/>
            <w:left w:val="none" w:sz="0" w:space="0" w:color="auto"/>
            <w:bottom w:val="none" w:sz="0" w:space="0" w:color="auto"/>
            <w:right w:val="none" w:sz="0" w:space="0" w:color="auto"/>
          </w:divBdr>
        </w:div>
        <w:div w:id="763497888">
          <w:marLeft w:val="0"/>
          <w:marRight w:val="0"/>
          <w:marTop w:val="0"/>
          <w:marBottom w:val="0"/>
          <w:divBdr>
            <w:top w:val="none" w:sz="0" w:space="0" w:color="auto"/>
            <w:left w:val="none" w:sz="0" w:space="0" w:color="auto"/>
            <w:bottom w:val="none" w:sz="0" w:space="0" w:color="auto"/>
            <w:right w:val="none" w:sz="0" w:space="0" w:color="auto"/>
          </w:divBdr>
        </w:div>
      </w:divsChild>
    </w:div>
    <w:div w:id="568730556">
      <w:bodyDiv w:val="1"/>
      <w:marLeft w:val="0"/>
      <w:marRight w:val="0"/>
      <w:marTop w:val="0"/>
      <w:marBottom w:val="0"/>
      <w:divBdr>
        <w:top w:val="none" w:sz="0" w:space="0" w:color="auto"/>
        <w:left w:val="none" w:sz="0" w:space="0" w:color="auto"/>
        <w:bottom w:val="none" w:sz="0" w:space="0" w:color="auto"/>
        <w:right w:val="none" w:sz="0" w:space="0" w:color="auto"/>
      </w:divBdr>
    </w:div>
    <w:div w:id="805313284">
      <w:bodyDiv w:val="1"/>
      <w:marLeft w:val="0"/>
      <w:marRight w:val="0"/>
      <w:marTop w:val="0"/>
      <w:marBottom w:val="0"/>
      <w:divBdr>
        <w:top w:val="none" w:sz="0" w:space="0" w:color="auto"/>
        <w:left w:val="none" w:sz="0" w:space="0" w:color="auto"/>
        <w:bottom w:val="none" w:sz="0" w:space="0" w:color="auto"/>
        <w:right w:val="none" w:sz="0" w:space="0" w:color="auto"/>
      </w:divBdr>
      <w:divsChild>
        <w:div w:id="301154076">
          <w:marLeft w:val="0"/>
          <w:marRight w:val="0"/>
          <w:marTop w:val="0"/>
          <w:marBottom w:val="0"/>
          <w:divBdr>
            <w:top w:val="none" w:sz="0" w:space="0" w:color="auto"/>
            <w:left w:val="none" w:sz="0" w:space="0" w:color="auto"/>
            <w:bottom w:val="none" w:sz="0" w:space="0" w:color="auto"/>
            <w:right w:val="none" w:sz="0" w:space="0" w:color="auto"/>
          </w:divBdr>
          <w:divsChild>
            <w:div w:id="1222912270">
              <w:marLeft w:val="0"/>
              <w:marRight w:val="0"/>
              <w:marTop w:val="0"/>
              <w:marBottom w:val="0"/>
              <w:divBdr>
                <w:top w:val="none" w:sz="0" w:space="0" w:color="auto"/>
                <w:left w:val="none" w:sz="0" w:space="0" w:color="auto"/>
                <w:bottom w:val="none" w:sz="0" w:space="0" w:color="auto"/>
                <w:right w:val="none" w:sz="0" w:space="0" w:color="auto"/>
              </w:divBdr>
              <w:divsChild>
                <w:div w:id="4083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5002">
      <w:bodyDiv w:val="1"/>
      <w:marLeft w:val="0"/>
      <w:marRight w:val="0"/>
      <w:marTop w:val="0"/>
      <w:marBottom w:val="0"/>
      <w:divBdr>
        <w:top w:val="none" w:sz="0" w:space="0" w:color="auto"/>
        <w:left w:val="none" w:sz="0" w:space="0" w:color="auto"/>
        <w:bottom w:val="none" w:sz="0" w:space="0" w:color="auto"/>
        <w:right w:val="none" w:sz="0" w:space="0" w:color="auto"/>
      </w:divBdr>
      <w:divsChild>
        <w:div w:id="1291670352">
          <w:marLeft w:val="0"/>
          <w:marRight w:val="0"/>
          <w:marTop w:val="0"/>
          <w:marBottom w:val="0"/>
          <w:divBdr>
            <w:top w:val="none" w:sz="0" w:space="0" w:color="auto"/>
            <w:left w:val="none" w:sz="0" w:space="0" w:color="auto"/>
            <w:bottom w:val="none" w:sz="0" w:space="0" w:color="auto"/>
            <w:right w:val="none" w:sz="0" w:space="0" w:color="auto"/>
          </w:divBdr>
        </w:div>
        <w:div w:id="1764035907">
          <w:marLeft w:val="0"/>
          <w:marRight w:val="0"/>
          <w:marTop w:val="0"/>
          <w:marBottom w:val="0"/>
          <w:divBdr>
            <w:top w:val="none" w:sz="0" w:space="0" w:color="auto"/>
            <w:left w:val="none" w:sz="0" w:space="0" w:color="auto"/>
            <w:bottom w:val="none" w:sz="0" w:space="0" w:color="auto"/>
            <w:right w:val="none" w:sz="0" w:space="0" w:color="auto"/>
          </w:divBdr>
        </w:div>
      </w:divsChild>
    </w:div>
    <w:div w:id="1053039822">
      <w:bodyDiv w:val="1"/>
      <w:marLeft w:val="0"/>
      <w:marRight w:val="0"/>
      <w:marTop w:val="0"/>
      <w:marBottom w:val="0"/>
      <w:divBdr>
        <w:top w:val="none" w:sz="0" w:space="0" w:color="auto"/>
        <w:left w:val="none" w:sz="0" w:space="0" w:color="auto"/>
        <w:bottom w:val="none" w:sz="0" w:space="0" w:color="auto"/>
        <w:right w:val="none" w:sz="0" w:space="0" w:color="auto"/>
      </w:divBdr>
      <w:divsChild>
        <w:div w:id="224530758">
          <w:marLeft w:val="0"/>
          <w:marRight w:val="0"/>
          <w:marTop w:val="0"/>
          <w:marBottom w:val="0"/>
          <w:divBdr>
            <w:top w:val="none" w:sz="0" w:space="0" w:color="auto"/>
            <w:left w:val="none" w:sz="0" w:space="0" w:color="auto"/>
            <w:bottom w:val="none" w:sz="0" w:space="0" w:color="auto"/>
            <w:right w:val="none" w:sz="0" w:space="0" w:color="auto"/>
          </w:divBdr>
          <w:divsChild>
            <w:div w:id="1906257393">
              <w:marLeft w:val="0"/>
              <w:marRight w:val="0"/>
              <w:marTop w:val="0"/>
              <w:marBottom w:val="0"/>
              <w:divBdr>
                <w:top w:val="none" w:sz="0" w:space="0" w:color="auto"/>
                <w:left w:val="none" w:sz="0" w:space="0" w:color="auto"/>
                <w:bottom w:val="none" w:sz="0" w:space="0" w:color="auto"/>
                <w:right w:val="none" w:sz="0" w:space="0" w:color="auto"/>
              </w:divBdr>
              <w:divsChild>
                <w:div w:id="2232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6488524">
      <w:bodyDiv w:val="1"/>
      <w:marLeft w:val="0"/>
      <w:marRight w:val="0"/>
      <w:marTop w:val="0"/>
      <w:marBottom w:val="0"/>
      <w:divBdr>
        <w:top w:val="none" w:sz="0" w:space="0" w:color="auto"/>
        <w:left w:val="none" w:sz="0" w:space="0" w:color="auto"/>
        <w:bottom w:val="none" w:sz="0" w:space="0" w:color="auto"/>
        <w:right w:val="none" w:sz="0" w:space="0" w:color="auto"/>
      </w:divBdr>
      <w:divsChild>
        <w:div w:id="102695458">
          <w:marLeft w:val="0"/>
          <w:marRight w:val="0"/>
          <w:marTop w:val="0"/>
          <w:marBottom w:val="0"/>
          <w:divBdr>
            <w:top w:val="none" w:sz="0" w:space="0" w:color="auto"/>
            <w:left w:val="none" w:sz="0" w:space="0" w:color="auto"/>
            <w:bottom w:val="none" w:sz="0" w:space="0" w:color="auto"/>
            <w:right w:val="none" w:sz="0" w:space="0" w:color="auto"/>
          </w:divBdr>
        </w:div>
        <w:div w:id="126629923">
          <w:marLeft w:val="0"/>
          <w:marRight w:val="0"/>
          <w:marTop w:val="0"/>
          <w:marBottom w:val="0"/>
          <w:divBdr>
            <w:top w:val="none" w:sz="0" w:space="0" w:color="auto"/>
            <w:left w:val="none" w:sz="0" w:space="0" w:color="auto"/>
            <w:bottom w:val="none" w:sz="0" w:space="0" w:color="auto"/>
            <w:right w:val="none" w:sz="0" w:space="0" w:color="auto"/>
          </w:divBdr>
        </w:div>
        <w:div w:id="1331059025">
          <w:marLeft w:val="0"/>
          <w:marRight w:val="0"/>
          <w:marTop w:val="0"/>
          <w:marBottom w:val="0"/>
          <w:divBdr>
            <w:top w:val="none" w:sz="0" w:space="0" w:color="auto"/>
            <w:left w:val="none" w:sz="0" w:space="0" w:color="auto"/>
            <w:bottom w:val="none" w:sz="0" w:space="0" w:color="auto"/>
            <w:right w:val="none" w:sz="0" w:space="0" w:color="auto"/>
          </w:divBdr>
        </w:div>
        <w:div w:id="1346860616">
          <w:marLeft w:val="0"/>
          <w:marRight w:val="0"/>
          <w:marTop w:val="0"/>
          <w:marBottom w:val="0"/>
          <w:divBdr>
            <w:top w:val="none" w:sz="0" w:space="0" w:color="auto"/>
            <w:left w:val="none" w:sz="0" w:space="0" w:color="auto"/>
            <w:bottom w:val="none" w:sz="0" w:space="0" w:color="auto"/>
            <w:right w:val="none" w:sz="0" w:space="0" w:color="auto"/>
          </w:divBdr>
        </w:div>
        <w:div w:id="1695182525">
          <w:marLeft w:val="0"/>
          <w:marRight w:val="0"/>
          <w:marTop w:val="0"/>
          <w:marBottom w:val="0"/>
          <w:divBdr>
            <w:top w:val="none" w:sz="0" w:space="0" w:color="auto"/>
            <w:left w:val="none" w:sz="0" w:space="0" w:color="auto"/>
            <w:bottom w:val="none" w:sz="0" w:space="0" w:color="auto"/>
            <w:right w:val="none" w:sz="0" w:space="0" w:color="auto"/>
          </w:divBdr>
        </w:div>
        <w:div w:id="1927030865">
          <w:marLeft w:val="0"/>
          <w:marRight w:val="0"/>
          <w:marTop w:val="0"/>
          <w:marBottom w:val="0"/>
          <w:divBdr>
            <w:top w:val="none" w:sz="0" w:space="0" w:color="auto"/>
            <w:left w:val="none" w:sz="0" w:space="0" w:color="auto"/>
            <w:bottom w:val="none" w:sz="0" w:space="0" w:color="auto"/>
            <w:right w:val="none" w:sz="0" w:space="0" w:color="auto"/>
          </w:divBdr>
        </w:div>
        <w:div w:id="2113739231">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38499295">
      <w:bodyDiv w:val="1"/>
      <w:marLeft w:val="0"/>
      <w:marRight w:val="0"/>
      <w:marTop w:val="0"/>
      <w:marBottom w:val="0"/>
      <w:divBdr>
        <w:top w:val="none" w:sz="0" w:space="0" w:color="auto"/>
        <w:left w:val="none" w:sz="0" w:space="0" w:color="auto"/>
        <w:bottom w:val="none" w:sz="0" w:space="0" w:color="auto"/>
        <w:right w:val="none" w:sz="0" w:space="0" w:color="auto"/>
      </w:divBdr>
      <w:divsChild>
        <w:div w:id="775098087">
          <w:marLeft w:val="0"/>
          <w:marRight w:val="0"/>
          <w:marTop w:val="0"/>
          <w:marBottom w:val="0"/>
          <w:divBdr>
            <w:top w:val="none" w:sz="0" w:space="0" w:color="auto"/>
            <w:left w:val="none" w:sz="0" w:space="0" w:color="auto"/>
            <w:bottom w:val="none" w:sz="0" w:space="0" w:color="auto"/>
            <w:right w:val="none" w:sz="0" w:space="0" w:color="auto"/>
          </w:divBdr>
        </w:div>
        <w:div w:id="950628652">
          <w:marLeft w:val="0"/>
          <w:marRight w:val="0"/>
          <w:marTop w:val="0"/>
          <w:marBottom w:val="0"/>
          <w:divBdr>
            <w:top w:val="none" w:sz="0" w:space="0" w:color="auto"/>
            <w:left w:val="none" w:sz="0" w:space="0" w:color="auto"/>
            <w:bottom w:val="none" w:sz="0" w:space="0" w:color="auto"/>
            <w:right w:val="none" w:sz="0" w:space="0" w:color="auto"/>
          </w:divBdr>
        </w:div>
      </w:divsChild>
    </w:div>
    <w:div w:id="1196962421">
      <w:bodyDiv w:val="1"/>
      <w:marLeft w:val="0"/>
      <w:marRight w:val="0"/>
      <w:marTop w:val="0"/>
      <w:marBottom w:val="0"/>
      <w:divBdr>
        <w:top w:val="none" w:sz="0" w:space="0" w:color="auto"/>
        <w:left w:val="none" w:sz="0" w:space="0" w:color="auto"/>
        <w:bottom w:val="none" w:sz="0" w:space="0" w:color="auto"/>
        <w:right w:val="none" w:sz="0" w:space="0" w:color="auto"/>
      </w:divBdr>
      <w:divsChild>
        <w:div w:id="776943331">
          <w:marLeft w:val="0"/>
          <w:marRight w:val="0"/>
          <w:marTop w:val="0"/>
          <w:marBottom w:val="0"/>
          <w:divBdr>
            <w:top w:val="none" w:sz="0" w:space="0" w:color="auto"/>
            <w:left w:val="none" w:sz="0" w:space="0" w:color="auto"/>
            <w:bottom w:val="none" w:sz="0" w:space="0" w:color="auto"/>
            <w:right w:val="none" w:sz="0" w:space="0" w:color="auto"/>
          </w:divBdr>
        </w:div>
        <w:div w:id="818766104">
          <w:marLeft w:val="0"/>
          <w:marRight w:val="0"/>
          <w:marTop w:val="0"/>
          <w:marBottom w:val="0"/>
          <w:divBdr>
            <w:top w:val="none" w:sz="0" w:space="0" w:color="auto"/>
            <w:left w:val="none" w:sz="0" w:space="0" w:color="auto"/>
            <w:bottom w:val="none" w:sz="0" w:space="0" w:color="auto"/>
            <w:right w:val="none" w:sz="0" w:space="0" w:color="auto"/>
          </w:divBdr>
        </w:div>
        <w:div w:id="1767573015">
          <w:marLeft w:val="0"/>
          <w:marRight w:val="0"/>
          <w:marTop w:val="0"/>
          <w:marBottom w:val="0"/>
          <w:divBdr>
            <w:top w:val="none" w:sz="0" w:space="0" w:color="auto"/>
            <w:left w:val="none" w:sz="0" w:space="0" w:color="auto"/>
            <w:bottom w:val="none" w:sz="0" w:space="0" w:color="auto"/>
            <w:right w:val="none" w:sz="0" w:space="0" w:color="auto"/>
          </w:divBdr>
        </w:div>
        <w:div w:id="1780182552">
          <w:marLeft w:val="0"/>
          <w:marRight w:val="0"/>
          <w:marTop w:val="0"/>
          <w:marBottom w:val="0"/>
          <w:divBdr>
            <w:top w:val="none" w:sz="0" w:space="0" w:color="auto"/>
            <w:left w:val="none" w:sz="0" w:space="0" w:color="auto"/>
            <w:bottom w:val="none" w:sz="0" w:space="0" w:color="auto"/>
            <w:right w:val="none" w:sz="0" w:space="0" w:color="auto"/>
          </w:divBdr>
        </w:div>
      </w:divsChild>
    </w:div>
    <w:div w:id="1440297022">
      <w:bodyDiv w:val="1"/>
      <w:marLeft w:val="0"/>
      <w:marRight w:val="0"/>
      <w:marTop w:val="0"/>
      <w:marBottom w:val="0"/>
      <w:divBdr>
        <w:top w:val="none" w:sz="0" w:space="0" w:color="auto"/>
        <w:left w:val="none" w:sz="0" w:space="0" w:color="auto"/>
        <w:bottom w:val="none" w:sz="0" w:space="0" w:color="auto"/>
        <w:right w:val="none" w:sz="0" w:space="0" w:color="auto"/>
      </w:divBdr>
      <w:divsChild>
        <w:div w:id="329262737">
          <w:marLeft w:val="0"/>
          <w:marRight w:val="0"/>
          <w:marTop w:val="0"/>
          <w:marBottom w:val="0"/>
          <w:divBdr>
            <w:top w:val="none" w:sz="0" w:space="0" w:color="auto"/>
            <w:left w:val="none" w:sz="0" w:space="0" w:color="auto"/>
            <w:bottom w:val="none" w:sz="0" w:space="0" w:color="auto"/>
            <w:right w:val="none" w:sz="0" w:space="0" w:color="auto"/>
          </w:divBdr>
        </w:div>
        <w:div w:id="360087099">
          <w:marLeft w:val="0"/>
          <w:marRight w:val="0"/>
          <w:marTop w:val="0"/>
          <w:marBottom w:val="0"/>
          <w:divBdr>
            <w:top w:val="none" w:sz="0" w:space="0" w:color="auto"/>
            <w:left w:val="none" w:sz="0" w:space="0" w:color="auto"/>
            <w:bottom w:val="none" w:sz="0" w:space="0" w:color="auto"/>
            <w:right w:val="none" w:sz="0" w:space="0" w:color="auto"/>
          </w:divBdr>
        </w:div>
        <w:div w:id="616058995">
          <w:marLeft w:val="0"/>
          <w:marRight w:val="0"/>
          <w:marTop w:val="0"/>
          <w:marBottom w:val="0"/>
          <w:divBdr>
            <w:top w:val="none" w:sz="0" w:space="0" w:color="auto"/>
            <w:left w:val="none" w:sz="0" w:space="0" w:color="auto"/>
            <w:bottom w:val="none" w:sz="0" w:space="0" w:color="auto"/>
            <w:right w:val="none" w:sz="0" w:space="0" w:color="auto"/>
          </w:divBdr>
        </w:div>
        <w:div w:id="662272991">
          <w:marLeft w:val="0"/>
          <w:marRight w:val="0"/>
          <w:marTop w:val="0"/>
          <w:marBottom w:val="0"/>
          <w:divBdr>
            <w:top w:val="none" w:sz="0" w:space="0" w:color="auto"/>
            <w:left w:val="none" w:sz="0" w:space="0" w:color="auto"/>
            <w:bottom w:val="none" w:sz="0" w:space="0" w:color="auto"/>
            <w:right w:val="none" w:sz="0" w:space="0" w:color="auto"/>
          </w:divBdr>
        </w:div>
        <w:div w:id="795752639">
          <w:marLeft w:val="0"/>
          <w:marRight w:val="0"/>
          <w:marTop w:val="0"/>
          <w:marBottom w:val="0"/>
          <w:divBdr>
            <w:top w:val="none" w:sz="0" w:space="0" w:color="auto"/>
            <w:left w:val="none" w:sz="0" w:space="0" w:color="auto"/>
            <w:bottom w:val="none" w:sz="0" w:space="0" w:color="auto"/>
            <w:right w:val="none" w:sz="0" w:space="0" w:color="auto"/>
          </w:divBdr>
        </w:div>
        <w:div w:id="830831211">
          <w:marLeft w:val="0"/>
          <w:marRight w:val="0"/>
          <w:marTop w:val="0"/>
          <w:marBottom w:val="0"/>
          <w:divBdr>
            <w:top w:val="none" w:sz="0" w:space="0" w:color="auto"/>
            <w:left w:val="none" w:sz="0" w:space="0" w:color="auto"/>
            <w:bottom w:val="none" w:sz="0" w:space="0" w:color="auto"/>
            <w:right w:val="none" w:sz="0" w:space="0" w:color="auto"/>
          </w:divBdr>
        </w:div>
        <w:div w:id="1008288934">
          <w:marLeft w:val="0"/>
          <w:marRight w:val="0"/>
          <w:marTop w:val="0"/>
          <w:marBottom w:val="0"/>
          <w:divBdr>
            <w:top w:val="none" w:sz="0" w:space="0" w:color="auto"/>
            <w:left w:val="none" w:sz="0" w:space="0" w:color="auto"/>
            <w:bottom w:val="none" w:sz="0" w:space="0" w:color="auto"/>
            <w:right w:val="none" w:sz="0" w:space="0" w:color="auto"/>
          </w:divBdr>
        </w:div>
        <w:div w:id="1239708052">
          <w:marLeft w:val="0"/>
          <w:marRight w:val="0"/>
          <w:marTop w:val="0"/>
          <w:marBottom w:val="0"/>
          <w:divBdr>
            <w:top w:val="none" w:sz="0" w:space="0" w:color="auto"/>
            <w:left w:val="none" w:sz="0" w:space="0" w:color="auto"/>
            <w:bottom w:val="none" w:sz="0" w:space="0" w:color="auto"/>
            <w:right w:val="none" w:sz="0" w:space="0" w:color="auto"/>
          </w:divBdr>
        </w:div>
        <w:div w:id="1415396992">
          <w:marLeft w:val="0"/>
          <w:marRight w:val="0"/>
          <w:marTop w:val="0"/>
          <w:marBottom w:val="0"/>
          <w:divBdr>
            <w:top w:val="none" w:sz="0" w:space="0" w:color="auto"/>
            <w:left w:val="none" w:sz="0" w:space="0" w:color="auto"/>
            <w:bottom w:val="none" w:sz="0" w:space="0" w:color="auto"/>
            <w:right w:val="none" w:sz="0" w:space="0" w:color="auto"/>
          </w:divBdr>
        </w:div>
        <w:div w:id="1491289384">
          <w:marLeft w:val="0"/>
          <w:marRight w:val="0"/>
          <w:marTop w:val="0"/>
          <w:marBottom w:val="0"/>
          <w:divBdr>
            <w:top w:val="none" w:sz="0" w:space="0" w:color="auto"/>
            <w:left w:val="none" w:sz="0" w:space="0" w:color="auto"/>
            <w:bottom w:val="none" w:sz="0" w:space="0" w:color="auto"/>
            <w:right w:val="none" w:sz="0" w:space="0" w:color="auto"/>
          </w:divBdr>
        </w:div>
        <w:div w:id="1745756727">
          <w:marLeft w:val="0"/>
          <w:marRight w:val="0"/>
          <w:marTop w:val="0"/>
          <w:marBottom w:val="0"/>
          <w:divBdr>
            <w:top w:val="none" w:sz="0" w:space="0" w:color="auto"/>
            <w:left w:val="none" w:sz="0" w:space="0" w:color="auto"/>
            <w:bottom w:val="none" w:sz="0" w:space="0" w:color="auto"/>
            <w:right w:val="none" w:sz="0" w:space="0" w:color="auto"/>
          </w:divBdr>
        </w:div>
        <w:div w:id="1858887102">
          <w:marLeft w:val="0"/>
          <w:marRight w:val="0"/>
          <w:marTop w:val="0"/>
          <w:marBottom w:val="0"/>
          <w:divBdr>
            <w:top w:val="none" w:sz="0" w:space="0" w:color="auto"/>
            <w:left w:val="none" w:sz="0" w:space="0" w:color="auto"/>
            <w:bottom w:val="none" w:sz="0" w:space="0" w:color="auto"/>
            <w:right w:val="none" w:sz="0" w:space="0" w:color="auto"/>
          </w:divBdr>
        </w:div>
        <w:div w:id="1889142005">
          <w:marLeft w:val="0"/>
          <w:marRight w:val="0"/>
          <w:marTop w:val="0"/>
          <w:marBottom w:val="0"/>
          <w:divBdr>
            <w:top w:val="none" w:sz="0" w:space="0" w:color="auto"/>
            <w:left w:val="none" w:sz="0" w:space="0" w:color="auto"/>
            <w:bottom w:val="none" w:sz="0" w:space="0" w:color="auto"/>
            <w:right w:val="none" w:sz="0" w:space="0" w:color="auto"/>
          </w:divBdr>
        </w:div>
        <w:div w:id="2009404161">
          <w:marLeft w:val="0"/>
          <w:marRight w:val="0"/>
          <w:marTop w:val="0"/>
          <w:marBottom w:val="0"/>
          <w:divBdr>
            <w:top w:val="none" w:sz="0" w:space="0" w:color="auto"/>
            <w:left w:val="none" w:sz="0" w:space="0" w:color="auto"/>
            <w:bottom w:val="none" w:sz="0" w:space="0" w:color="auto"/>
            <w:right w:val="none" w:sz="0" w:space="0" w:color="auto"/>
          </w:divBdr>
        </w:div>
      </w:divsChild>
    </w:div>
    <w:div w:id="1443499774">
      <w:bodyDiv w:val="1"/>
      <w:marLeft w:val="0"/>
      <w:marRight w:val="0"/>
      <w:marTop w:val="0"/>
      <w:marBottom w:val="0"/>
      <w:divBdr>
        <w:top w:val="none" w:sz="0" w:space="0" w:color="auto"/>
        <w:left w:val="none" w:sz="0" w:space="0" w:color="auto"/>
        <w:bottom w:val="none" w:sz="0" w:space="0" w:color="auto"/>
        <w:right w:val="none" w:sz="0" w:space="0" w:color="auto"/>
      </w:divBdr>
      <w:divsChild>
        <w:div w:id="1890993249">
          <w:marLeft w:val="0"/>
          <w:marRight w:val="0"/>
          <w:marTop w:val="0"/>
          <w:marBottom w:val="0"/>
          <w:divBdr>
            <w:top w:val="none" w:sz="0" w:space="0" w:color="auto"/>
            <w:left w:val="none" w:sz="0" w:space="0" w:color="auto"/>
            <w:bottom w:val="none" w:sz="0" w:space="0" w:color="auto"/>
            <w:right w:val="none" w:sz="0" w:space="0" w:color="auto"/>
          </w:divBdr>
          <w:divsChild>
            <w:div w:id="139421406">
              <w:marLeft w:val="0"/>
              <w:marRight w:val="0"/>
              <w:marTop w:val="0"/>
              <w:marBottom w:val="0"/>
              <w:divBdr>
                <w:top w:val="none" w:sz="0" w:space="0" w:color="auto"/>
                <w:left w:val="none" w:sz="0" w:space="0" w:color="auto"/>
                <w:bottom w:val="none" w:sz="0" w:space="0" w:color="auto"/>
                <w:right w:val="none" w:sz="0" w:space="0" w:color="auto"/>
              </w:divBdr>
              <w:divsChild>
                <w:div w:id="8289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7328">
      <w:bodyDiv w:val="1"/>
      <w:marLeft w:val="0"/>
      <w:marRight w:val="0"/>
      <w:marTop w:val="0"/>
      <w:marBottom w:val="0"/>
      <w:divBdr>
        <w:top w:val="none" w:sz="0" w:space="0" w:color="auto"/>
        <w:left w:val="none" w:sz="0" w:space="0" w:color="auto"/>
        <w:bottom w:val="none" w:sz="0" w:space="0" w:color="auto"/>
        <w:right w:val="none" w:sz="0" w:space="0" w:color="auto"/>
      </w:divBdr>
    </w:div>
    <w:div w:id="1929729791">
      <w:bodyDiv w:val="1"/>
      <w:marLeft w:val="0"/>
      <w:marRight w:val="0"/>
      <w:marTop w:val="0"/>
      <w:marBottom w:val="0"/>
      <w:divBdr>
        <w:top w:val="none" w:sz="0" w:space="0" w:color="auto"/>
        <w:left w:val="none" w:sz="0" w:space="0" w:color="auto"/>
        <w:bottom w:val="none" w:sz="0" w:space="0" w:color="auto"/>
        <w:right w:val="none" w:sz="0" w:space="0" w:color="auto"/>
      </w:divBdr>
      <w:divsChild>
        <w:div w:id="19160983">
          <w:marLeft w:val="0"/>
          <w:marRight w:val="0"/>
          <w:marTop w:val="0"/>
          <w:marBottom w:val="0"/>
          <w:divBdr>
            <w:top w:val="none" w:sz="0" w:space="0" w:color="auto"/>
            <w:left w:val="none" w:sz="0" w:space="0" w:color="auto"/>
            <w:bottom w:val="none" w:sz="0" w:space="0" w:color="auto"/>
            <w:right w:val="none" w:sz="0" w:space="0" w:color="auto"/>
          </w:divBdr>
        </w:div>
        <w:div w:id="322587925">
          <w:marLeft w:val="0"/>
          <w:marRight w:val="0"/>
          <w:marTop w:val="0"/>
          <w:marBottom w:val="0"/>
          <w:divBdr>
            <w:top w:val="none" w:sz="0" w:space="0" w:color="auto"/>
            <w:left w:val="none" w:sz="0" w:space="0" w:color="auto"/>
            <w:bottom w:val="none" w:sz="0" w:space="0" w:color="auto"/>
            <w:right w:val="none" w:sz="0" w:space="0" w:color="auto"/>
          </w:divBdr>
        </w:div>
        <w:div w:id="376200218">
          <w:marLeft w:val="0"/>
          <w:marRight w:val="0"/>
          <w:marTop w:val="0"/>
          <w:marBottom w:val="0"/>
          <w:divBdr>
            <w:top w:val="none" w:sz="0" w:space="0" w:color="auto"/>
            <w:left w:val="none" w:sz="0" w:space="0" w:color="auto"/>
            <w:bottom w:val="none" w:sz="0" w:space="0" w:color="auto"/>
            <w:right w:val="none" w:sz="0" w:space="0" w:color="auto"/>
          </w:divBdr>
        </w:div>
        <w:div w:id="574364264">
          <w:marLeft w:val="0"/>
          <w:marRight w:val="0"/>
          <w:marTop w:val="0"/>
          <w:marBottom w:val="0"/>
          <w:divBdr>
            <w:top w:val="none" w:sz="0" w:space="0" w:color="auto"/>
            <w:left w:val="none" w:sz="0" w:space="0" w:color="auto"/>
            <w:bottom w:val="none" w:sz="0" w:space="0" w:color="auto"/>
            <w:right w:val="none" w:sz="0" w:space="0" w:color="auto"/>
          </w:divBdr>
        </w:div>
        <w:div w:id="637339201">
          <w:marLeft w:val="0"/>
          <w:marRight w:val="0"/>
          <w:marTop w:val="0"/>
          <w:marBottom w:val="0"/>
          <w:divBdr>
            <w:top w:val="none" w:sz="0" w:space="0" w:color="auto"/>
            <w:left w:val="none" w:sz="0" w:space="0" w:color="auto"/>
            <w:bottom w:val="none" w:sz="0" w:space="0" w:color="auto"/>
            <w:right w:val="none" w:sz="0" w:space="0" w:color="auto"/>
          </w:divBdr>
        </w:div>
        <w:div w:id="1143544903">
          <w:marLeft w:val="0"/>
          <w:marRight w:val="0"/>
          <w:marTop w:val="0"/>
          <w:marBottom w:val="0"/>
          <w:divBdr>
            <w:top w:val="none" w:sz="0" w:space="0" w:color="auto"/>
            <w:left w:val="none" w:sz="0" w:space="0" w:color="auto"/>
            <w:bottom w:val="none" w:sz="0" w:space="0" w:color="auto"/>
            <w:right w:val="none" w:sz="0" w:space="0" w:color="auto"/>
          </w:divBdr>
        </w:div>
        <w:div w:id="1487744508">
          <w:marLeft w:val="0"/>
          <w:marRight w:val="0"/>
          <w:marTop w:val="0"/>
          <w:marBottom w:val="0"/>
          <w:divBdr>
            <w:top w:val="none" w:sz="0" w:space="0" w:color="auto"/>
            <w:left w:val="none" w:sz="0" w:space="0" w:color="auto"/>
            <w:bottom w:val="none" w:sz="0" w:space="0" w:color="auto"/>
            <w:right w:val="none" w:sz="0" w:space="0" w:color="auto"/>
          </w:divBdr>
        </w:div>
        <w:div w:id="1762142551">
          <w:marLeft w:val="0"/>
          <w:marRight w:val="0"/>
          <w:marTop w:val="0"/>
          <w:marBottom w:val="0"/>
          <w:divBdr>
            <w:top w:val="none" w:sz="0" w:space="0" w:color="auto"/>
            <w:left w:val="none" w:sz="0" w:space="0" w:color="auto"/>
            <w:bottom w:val="none" w:sz="0" w:space="0" w:color="auto"/>
            <w:right w:val="none" w:sz="0" w:space="0" w:color="auto"/>
          </w:divBdr>
        </w:div>
        <w:div w:id="2023118975">
          <w:marLeft w:val="0"/>
          <w:marRight w:val="0"/>
          <w:marTop w:val="0"/>
          <w:marBottom w:val="0"/>
          <w:divBdr>
            <w:top w:val="none" w:sz="0" w:space="0" w:color="auto"/>
            <w:left w:val="none" w:sz="0" w:space="0" w:color="auto"/>
            <w:bottom w:val="none" w:sz="0" w:space="0" w:color="auto"/>
            <w:right w:val="none" w:sz="0" w:space="0" w:color="auto"/>
          </w:divBdr>
        </w:div>
        <w:div w:id="2034764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who.int/teams/global-malaria-programme/reports/world-malaria-report-2024"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pps.who.int/iris/bitstream/handle/10665/253469/A68_R1_REC1-en.pdf?sequence=1&amp;isAllowed=y" TargetMode="External"/><Relationship Id="rId17" Type="http://schemas.openxmlformats.org/officeDocument/2006/relationships/hyperlink" Target="https://iris.who.int/handle/10665/334048" TargetMode="External"/><Relationship Id="rId2" Type="http://schemas.openxmlformats.org/officeDocument/2006/relationships/customXml" Target="../customXml/item2.xml"/><Relationship Id="rId16" Type="http://schemas.openxmlformats.org/officeDocument/2006/relationships/hyperlink" Target="https://malariaatlas.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1186/s12936-015-0574-x"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pps.who.int/iris/handle/10665/4393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334A46D2-A7C4-4203-8B80-303A8293EF6C}"/>
      </w:docPartPr>
      <w:docPartBody>
        <w:p w:rsidR="00C50102" w:rsidRDefault="00461B0C">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fia Pro Light">
    <w:altName w:val="Calibri"/>
    <w:panose1 w:val="00000000000000000000"/>
    <w:charset w:val="00"/>
    <w:family w:val="modern"/>
    <w:notTrueType/>
    <w:pitch w:val="variable"/>
    <w:sig w:usb0="A00002EF" w:usb1="5000E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C"/>
    <w:rsid w:val="00027DDF"/>
    <w:rsid w:val="00053AF8"/>
    <w:rsid w:val="001744AD"/>
    <w:rsid w:val="001D7CB8"/>
    <w:rsid w:val="00223275"/>
    <w:rsid w:val="00231A54"/>
    <w:rsid w:val="00395046"/>
    <w:rsid w:val="004375E3"/>
    <w:rsid w:val="00461B0C"/>
    <w:rsid w:val="00563B55"/>
    <w:rsid w:val="006E7C14"/>
    <w:rsid w:val="00832103"/>
    <w:rsid w:val="00C50102"/>
    <w:rsid w:val="00C94A1A"/>
    <w:rsid w:val="00CC1704"/>
    <w:rsid w:val="00DA7190"/>
    <w:rsid w:val="00F662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B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f3f45b0-e0b8-4c1a-9b12-3cbab2f8b173" xsi:nil="true"/>
    <lcf76f155ced4ddcb4097134ff3c332f xmlns="fdd1ba86-e898-478f-acb9-21fa5a1424a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12C8FA216AC8A94AA79C3A633DBBDBE1" ma:contentTypeVersion="17" ma:contentTypeDescription="Create a new document." ma:contentTypeScope="" ma:versionID="e96bdd2b594feb2620aa601c68130ea5">
  <xsd:schema xmlns:xsd="http://www.w3.org/2001/XMLSchema" xmlns:xs="http://www.w3.org/2001/XMLSchema" xmlns:p="http://schemas.microsoft.com/office/2006/metadata/properties" xmlns:ns2="fdd1ba86-e898-478f-acb9-21fa5a1424a4" xmlns:ns3="8f3f45b0-e0b8-4c1a-9b12-3cbab2f8b173" targetNamespace="http://schemas.microsoft.com/office/2006/metadata/properties" ma:root="true" ma:fieldsID="adf799911525a999bc262bb06891e93b" ns2:_="" ns3:_="">
    <xsd:import namespace="fdd1ba86-e898-478f-acb9-21fa5a1424a4"/>
    <xsd:import namespace="8f3f45b0-e0b8-4c1a-9b12-3cbab2f8b1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d1ba86-e898-478f-acb9-21fa5a1424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3f45b0-e0b8-4c1a-9b12-3cbab2f8b1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e113527-3d5e-479f-86e0-f4ae70ef6c81}" ma:internalName="TaxCatchAll" ma:showField="CatchAllData" ma:web="8f3f45b0-e0b8-4c1a-9b12-3cbab2f8b1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8f3f45b0-e0b8-4c1a-9b12-3cbab2f8b173"/>
    <ds:schemaRef ds:uri="fdd1ba86-e898-478f-acb9-21fa5a1424a4"/>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FEEA1A-1085-4B67-89D9-56EAD903A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d1ba86-e898-478f-acb9-21fa5a1424a4"/>
    <ds:schemaRef ds:uri="8f3f45b0-e0b8-4c1a-9b12-3cbab2f8b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8</Pages>
  <Words>3623</Words>
  <Characters>20656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17</cp:revision>
  <cp:lastPrinted>2025-04-01T04:10:00Z</cp:lastPrinted>
  <dcterms:created xsi:type="dcterms:W3CDTF">2025-01-21T03:45:00Z</dcterms:created>
  <dcterms:modified xsi:type="dcterms:W3CDTF">2025-04-01T04:10:00Z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0x01010012C8FA216AC8A94AA79C3A633DBBDBE1</vt:lpwstr>
  </property>
  <property fmtid="{D5CDD505-2E9C-101B-9397-08002B2CF9AE}" pid="3" name="MediaServiceImageTags">
    <vt:lpwstr/>
  </property>
</Properties>
</file>