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7D92EEC6"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E739C8">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5BE88CF5" w:rsidR="00B31E2C" w:rsidRPr="00A96255" w:rsidRDefault="00B31E2C" w:rsidP="00EA05D3">
      <w:pPr>
        <w:pStyle w:val="MIndHeader2"/>
      </w:pPr>
      <w:r w:rsidRPr="00A96255">
        <w:t>0. Indicator information</w:t>
      </w:r>
      <w:r w:rsidR="00E739C8" w:rsidRPr="00A96255">
        <w:t xml:space="preserve"> </w:t>
      </w:r>
      <w:r w:rsidR="00E739C8">
        <w:rPr>
          <w:color w:val="B4B4B4"/>
          <w:sz w:val="20"/>
        </w:rPr>
        <w:t>(SDG_INDICATOR_INFO)</w:t>
      </w:r>
    </w:p>
    <w:p w14:paraId="043ED752" w14:textId="67AF95D1" w:rsidR="00D24330" w:rsidRPr="00A96255" w:rsidRDefault="00D24330" w:rsidP="00EA05D3">
      <w:pPr>
        <w:pStyle w:val="MIndHeader"/>
      </w:pPr>
      <w:r w:rsidRPr="00A96255">
        <w:t xml:space="preserve">0.a. </w:t>
      </w:r>
      <w:r w:rsidRPr="00EA05D3">
        <w:t>Goal</w:t>
      </w:r>
      <w:r w:rsidR="00E739C8" w:rsidRPr="00A96255">
        <w:t xml:space="preserve"> </w:t>
      </w:r>
      <w:r w:rsidR="00E739C8">
        <w:rPr>
          <w:color w:val="B4B4B4"/>
          <w:sz w:val="20"/>
        </w:rPr>
        <w:t>(SDG_GOAL)</w:t>
      </w:r>
    </w:p>
    <w:p w14:paraId="4C980693" w14:textId="01CE32D7" w:rsidR="00B50096" w:rsidRPr="007F7859" w:rsidRDefault="00B50096" w:rsidP="00D24330">
      <w:pPr>
        <w:pStyle w:val="MIndHeader"/>
        <w:rPr>
          <w:sz w:val="21"/>
          <w:szCs w:val="21"/>
        </w:rPr>
      </w:pPr>
      <w:r w:rsidRPr="007F7859">
        <w:rPr>
          <w:color w:val="444444"/>
          <w:sz w:val="21"/>
          <w:szCs w:val="21"/>
        </w:rPr>
        <w:t>Goal 3: Ensure healthy lives and promote well-being for all at all ages</w:t>
      </w:r>
    </w:p>
    <w:p w14:paraId="084142D2" w14:textId="7E7835D6" w:rsidR="00D24330" w:rsidRPr="00A96255" w:rsidRDefault="00D24330" w:rsidP="00D24330">
      <w:pPr>
        <w:pStyle w:val="MIndHeader"/>
      </w:pPr>
      <w:r w:rsidRPr="00A96255">
        <w:t>0.b. Target</w:t>
      </w:r>
      <w:r w:rsidR="00E739C8" w:rsidRPr="00A96255">
        <w:t xml:space="preserve"> </w:t>
      </w:r>
      <w:r w:rsidR="00E739C8">
        <w:rPr>
          <w:color w:val="B4B4B4"/>
          <w:sz w:val="20"/>
        </w:rPr>
        <w:t>(SDG_TARGET)</w:t>
      </w:r>
    </w:p>
    <w:p w14:paraId="7D7BE4A7" w14:textId="5E810ACA" w:rsidR="00B50096" w:rsidRPr="007F7859" w:rsidRDefault="00B50096" w:rsidP="00D24330">
      <w:pPr>
        <w:pStyle w:val="MIndHeader"/>
        <w:rPr>
          <w:sz w:val="21"/>
          <w:szCs w:val="21"/>
        </w:rPr>
      </w:pPr>
      <w:r w:rsidRPr="007F7859">
        <w:rPr>
          <w:color w:val="444444"/>
          <w:sz w:val="21"/>
          <w:szCs w:val="21"/>
        </w:rPr>
        <w:t>Target 3.4: By 2030, reduce by one third premature mortality from non-communicable diseases through prevention and treatment and promote mental health and well-being</w:t>
      </w:r>
    </w:p>
    <w:p w14:paraId="3E67E7E0" w14:textId="18287236" w:rsidR="00D24330" w:rsidRPr="00A96255" w:rsidRDefault="00D24330" w:rsidP="00D24330">
      <w:pPr>
        <w:pStyle w:val="MIndHeader"/>
      </w:pPr>
      <w:r w:rsidRPr="00A96255">
        <w:t>0.c. Indicator</w:t>
      </w:r>
      <w:r w:rsidR="00E739C8" w:rsidRPr="00A96255">
        <w:t xml:space="preserve"> </w:t>
      </w:r>
      <w:r w:rsidR="00E739C8">
        <w:rPr>
          <w:color w:val="B4B4B4"/>
          <w:sz w:val="20"/>
        </w:rPr>
        <w:t>(SDG_INDICATOR)</w:t>
      </w:r>
    </w:p>
    <w:p w14:paraId="6CB44FFF" w14:textId="1787D96E" w:rsidR="00B50096" w:rsidRDefault="00B50096" w:rsidP="00D24330">
      <w:pPr>
        <w:pStyle w:val="MIndHeader"/>
        <w:rPr>
          <w:color w:val="333333"/>
          <w:sz w:val="21"/>
          <w:szCs w:val="21"/>
        </w:rPr>
      </w:pPr>
      <w:r w:rsidRPr="00B50096">
        <w:rPr>
          <w:color w:val="333333"/>
          <w:sz w:val="21"/>
          <w:szCs w:val="21"/>
        </w:rPr>
        <w:t>Indicator 3.4.2: Suicide mortality rate</w:t>
      </w:r>
    </w:p>
    <w:p w14:paraId="37E5E4F6" w14:textId="24C7CDFD" w:rsidR="00D24330" w:rsidRPr="000710DF" w:rsidRDefault="00D24330" w:rsidP="00D24330">
      <w:pPr>
        <w:pStyle w:val="MIndHeader"/>
        <w:rPr>
          <w:lang w:val="en-US"/>
        </w:rPr>
      </w:pPr>
      <w:r w:rsidRPr="000710DF">
        <w:rPr>
          <w:lang w:val="en-US"/>
        </w:rPr>
        <w:t>0.d. Series</w:t>
      </w:r>
      <w:r w:rsidR="00E739C8" w:rsidRPr="00F54298">
        <w:rPr>
          <w:lang w:val="en-US"/>
        </w:rPr>
        <w:t xml:space="preserve"> </w:t>
      </w:r>
      <w:r w:rsidR="00E739C8">
        <w:rPr>
          <w:color w:val="B4B4B4"/>
          <w:sz w:val="20"/>
        </w:rPr>
        <w:t>(SDG_SERIES_DESCR)</w:t>
      </w:r>
    </w:p>
    <w:p w14:paraId="0AD91434" w14:textId="6C932382" w:rsidR="00E84317" w:rsidRDefault="00E84317" w:rsidP="00AB5B89">
      <w:pPr>
        <w:pStyle w:val="MGTHeader"/>
        <w:rPr>
          <w:lang w:val="en-US"/>
        </w:rPr>
      </w:pPr>
      <w:r w:rsidRPr="00E84317">
        <w:rPr>
          <w:lang w:val="en-US"/>
        </w:rPr>
        <w:t>SH_STA_SCIDE - Suicide mortality rate [3.4.2]</w:t>
      </w:r>
    </w:p>
    <w:p w14:paraId="28F765DC" w14:textId="455AF3A2" w:rsidR="00E84317" w:rsidRPr="000710DF" w:rsidRDefault="00E84317" w:rsidP="00D24330">
      <w:pPr>
        <w:pStyle w:val="MGTHeader"/>
        <w:rPr>
          <w:lang w:val="en-US"/>
        </w:rPr>
      </w:pPr>
      <w:r w:rsidRPr="00E84317">
        <w:rPr>
          <w:lang w:val="en-US"/>
        </w:rPr>
        <w:t>SH_STA_SCIDEN - Number of deaths attributed to suicide [3.4.2]</w:t>
      </w:r>
    </w:p>
    <w:p w14:paraId="157DACE7" w14:textId="5605C0F9" w:rsidR="00D24330" w:rsidRPr="000710DF" w:rsidRDefault="00D24330" w:rsidP="00D24330">
      <w:pPr>
        <w:pStyle w:val="MIndHeader"/>
        <w:rPr>
          <w:lang w:val="en-US"/>
        </w:rPr>
      </w:pPr>
      <w:r w:rsidRPr="000710DF">
        <w:rPr>
          <w:lang w:val="en-US"/>
        </w:rPr>
        <w:t>0.e. Metadata update</w:t>
      </w:r>
      <w:r w:rsidR="00E739C8" w:rsidRPr="00F54298">
        <w:rPr>
          <w:lang w:val="en-US"/>
        </w:rPr>
        <w:t xml:space="preserve"> </w:t>
      </w:r>
      <w:r w:rsidR="00E739C8">
        <w:rPr>
          <w:color w:val="B4B4B4"/>
          <w:sz w:val="20"/>
        </w:rPr>
        <w:t>(META_LAST_UPDATE)</w:t>
      </w:r>
    </w:p>
    <w:p w14:paraId="03424B60" w14:textId="48D2A4D7" w:rsidR="00D24330" w:rsidRPr="000710DF" w:rsidRDefault="00000000" w:rsidP="00D24330">
      <w:pPr>
        <w:pStyle w:val="MGTHeader"/>
        <w:rPr>
          <w:lang w:val="en-US"/>
        </w:rPr>
      </w:pPr>
      <w:sdt>
        <w:sdtPr>
          <w:rPr>
            <w:lang w:val="en-US"/>
          </w:rPr>
          <w:id w:val="-459735119"/>
          <w:placeholder>
            <w:docPart w:val="DefaultPlaceholder_-1854013437"/>
          </w:placeholder>
          <w:date w:fullDate="2024-12-20T00:00:00Z">
            <w:dateFormat w:val="yyyy-MM-dd"/>
            <w:lid w:val="en-US"/>
            <w:storeMappedDataAs w:val="dateTime"/>
            <w:calendar w:val="gregorian"/>
          </w:date>
        </w:sdtPr>
        <w:sdtContent>
          <w:r w:rsidR="0018097A">
            <w:rPr>
              <w:lang w:val="en-US"/>
            </w:rPr>
            <w:t>2024-12-20</w:t>
          </w:r>
        </w:sdtContent>
      </w:sdt>
    </w:p>
    <w:p w14:paraId="415C9FF1" w14:textId="4063A657" w:rsidR="00D24330" w:rsidRPr="00A96255" w:rsidRDefault="00D24330" w:rsidP="00D24330">
      <w:pPr>
        <w:pStyle w:val="MIndHeader"/>
      </w:pPr>
      <w:r w:rsidRPr="00A96255">
        <w:t>0.f. Related indicators</w:t>
      </w:r>
      <w:r w:rsidR="00E739C8" w:rsidRPr="00A96255">
        <w:t xml:space="preserve"> </w:t>
      </w:r>
      <w:r w:rsidR="00E739C8">
        <w:rPr>
          <w:color w:val="B4B4B4"/>
          <w:sz w:val="20"/>
        </w:rPr>
        <w:t>(SDG_RELATED_INDICATORS)</w:t>
      </w:r>
    </w:p>
    <w:p w14:paraId="21524279" w14:textId="50E67846" w:rsidR="00D24330" w:rsidRPr="00A96255" w:rsidRDefault="005D6B3F" w:rsidP="00D24330">
      <w:pPr>
        <w:pStyle w:val="MGTHeader"/>
      </w:pPr>
      <w:r>
        <w:t>N</w:t>
      </w:r>
      <w:r w:rsidR="00C254B5">
        <w:t xml:space="preserve">ot </w:t>
      </w:r>
      <w:r w:rsidR="006D5BB2">
        <w:t>applicable</w:t>
      </w:r>
    </w:p>
    <w:p w14:paraId="77A2078D" w14:textId="3C2AB509" w:rsidR="00B50096" w:rsidRDefault="00D24330" w:rsidP="005D239F">
      <w:pPr>
        <w:pStyle w:val="MIndHeader"/>
      </w:pPr>
      <w:r w:rsidRPr="00A96255">
        <w:t xml:space="preserve">0.g. </w:t>
      </w:r>
      <w:proofErr w:type="gramStart"/>
      <w:r w:rsidRPr="00A96255">
        <w:t>International</w:t>
      </w:r>
      <w:proofErr w:type="gramEnd"/>
      <w:r w:rsidRPr="00A96255">
        <w:t xml:space="preserve"> organisations(s) responsible for global monitoring</w:t>
      </w:r>
      <w:r w:rsidR="00E739C8">
        <w:t xml:space="preserve"> </w:t>
      </w:r>
      <w:r w:rsidR="00E739C8">
        <w:rPr>
          <w:color w:val="B4B4B4"/>
          <w:sz w:val="20"/>
        </w:rPr>
        <w:t>(SDG_CUSTODIAN_AGENCIES)</w:t>
      </w:r>
    </w:p>
    <w:p w14:paraId="1E08A9F4" w14:textId="77777777" w:rsidR="00B50096" w:rsidRDefault="00B50096" w:rsidP="005D239F">
      <w:pPr>
        <w:pStyle w:val="MGTHeader"/>
      </w:pPr>
      <w:r>
        <w:rPr>
          <w:rStyle w:val="normaltextrun"/>
          <w:rFonts w:ascii="Calibri" w:hAnsi="Calibri" w:cs="Calibri"/>
          <w:color w:val="4A4A4A"/>
        </w:rPr>
        <w:t>World Health Organization (WHO)</w:t>
      </w:r>
      <w:r>
        <w:rPr>
          <w:rStyle w:val="eop"/>
          <w:rFonts w:ascii="Calibri" w:hAnsi="Calibri" w:cs="Calibri"/>
          <w:color w:val="4A4A4A"/>
        </w:rPr>
        <w:t> </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A1CEBCE"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00E739C8" w:rsidRPr="00EA05D3">
        <w:t xml:space="preserve"> </w:t>
      </w:r>
      <w:r w:rsidR="00E739C8">
        <w:rPr>
          <w:color w:val="B4B4B4"/>
          <w:sz w:val="20"/>
        </w:rPr>
        <w:t>(CONTACT)</w:t>
      </w:r>
    </w:p>
    <w:p w14:paraId="0BD77982" w14:textId="167408FF" w:rsidR="00576CFA" w:rsidRPr="00A96255" w:rsidRDefault="00576CFA" w:rsidP="00F719A8">
      <w:pPr>
        <w:pStyle w:val="MHeader2"/>
      </w:pPr>
      <w:r w:rsidRPr="00A96255">
        <w:t>1.a. Organisation</w:t>
      </w:r>
      <w:r w:rsidR="00E739C8" w:rsidRPr="00A96255">
        <w:t xml:space="preserve"> </w:t>
      </w:r>
      <w:r w:rsidR="00E739C8">
        <w:rPr>
          <w:color w:val="B4B4B4"/>
          <w:sz w:val="20"/>
        </w:rPr>
        <w:t>(CONTACT_ORGANISATION)</w:t>
      </w:r>
    </w:p>
    <w:p w14:paraId="64F0CC74" w14:textId="0809C92B" w:rsidR="00B50096" w:rsidRDefault="00B50096" w:rsidP="00B50096">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World Health Organization (WHO)</w:t>
      </w:r>
      <w:r>
        <w:rPr>
          <w:rStyle w:val="eop"/>
          <w:rFonts w:ascii="Calibri" w:hAnsi="Calibri" w:cs="Calibri"/>
          <w:color w:val="4A4A4A"/>
          <w:sz w:val="21"/>
          <w:szCs w:val="21"/>
        </w:rPr>
        <w:t> </w:t>
      </w:r>
    </w:p>
    <w:p w14:paraId="6E829FD0" w14:textId="2439F30A" w:rsidR="00F719A8" w:rsidRDefault="00F719A8" w:rsidP="00576CFA">
      <w:pPr>
        <w:pStyle w:val="MText"/>
      </w:pPr>
    </w:p>
    <w:p w14:paraId="14915AC8" w14:textId="5B263700" w:rsidR="00B31E2C" w:rsidRPr="00A96255" w:rsidRDefault="00B31E2C" w:rsidP="008B0AC7">
      <w:pPr>
        <w:pStyle w:val="MHeader"/>
      </w:pPr>
      <w:r w:rsidRPr="00A96255">
        <w:t>2. Definition, concepts, and classifications</w:t>
      </w:r>
      <w:r w:rsidR="00E739C8" w:rsidRPr="00A96255">
        <w:t xml:space="preserve"> </w:t>
      </w:r>
      <w:r w:rsidR="00E739C8">
        <w:rPr>
          <w:color w:val="B4B4B4"/>
          <w:sz w:val="20"/>
        </w:rPr>
        <w:t>(IND_DEF_CON_CLASS)</w:t>
      </w:r>
    </w:p>
    <w:p w14:paraId="2AC373EA" w14:textId="6B808C71" w:rsidR="008B0AC7" w:rsidRPr="00A96255" w:rsidRDefault="008B0AC7" w:rsidP="00F719A8">
      <w:pPr>
        <w:pStyle w:val="MHeader2"/>
      </w:pPr>
      <w:r w:rsidRPr="00A96255">
        <w:t>2.a. Definition and concepts</w:t>
      </w:r>
      <w:r w:rsidR="00E739C8" w:rsidRPr="00A96255">
        <w:t xml:space="preserve"> </w:t>
      </w:r>
      <w:r w:rsidR="00E739C8">
        <w:rPr>
          <w:color w:val="B4B4B4"/>
          <w:sz w:val="20"/>
        </w:rPr>
        <w:t>(STAT_CONC_DEF)</w:t>
      </w:r>
    </w:p>
    <w:p w14:paraId="5F44F490" w14:textId="21B7DB4D" w:rsidR="00B50096" w:rsidRPr="001C6C9C" w:rsidRDefault="00D51E7C" w:rsidP="008041AE">
      <w:pPr>
        <w:pStyle w:val="MText"/>
        <w:rPr>
          <w:rFonts w:ascii="Segoe UI" w:hAnsi="Segoe UI"/>
          <w:b/>
          <w:sz w:val="18"/>
        </w:rPr>
      </w:pPr>
      <w:r w:rsidRPr="001C6C9C">
        <w:rPr>
          <w:b/>
        </w:rPr>
        <w:t>Definitions:</w:t>
      </w:r>
      <w:r w:rsidR="00B50096" w:rsidRPr="001C6C9C">
        <w:rPr>
          <w:b/>
        </w:rPr>
        <w:t xml:space="preserve"> </w:t>
      </w:r>
      <w:r w:rsidR="00B50096" w:rsidRPr="001C6C9C">
        <w:rPr>
          <w:rStyle w:val="eop"/>
          <w:rFonts w:ascii="Calibri" w:hAnsi="Calibri"/>
          <w:b/>
        </w:rPr>
        <w:t> </w:t>
      </w:r>
    </w:p>
    <w:p w14:paraId="2A29E44C" w14:textId="096F12CE" w:rsidR="00D51E7C" w:rsidRPr="008041AE" w:rsidRDefault="00B50096" w:rsidP="008041AE">
      <w:pPr>
        <w:pStyle w:val="MText"/>
        <w:rPr>
          <w:rFonts w:ascii="Segoe UI" w:hAnsi="Segoe UI" w:cs="Segoe UI"/>
          <w:sz w:val="18"/>
          <w:szCs w:val="18"/>
        </w:rPr>
      </w:pPr>
      <w:r>
        <w:rPr>
          <w:rStyle w:val="normaltextrun"/>
          <w:rFonts w:ascii="Calibri" w:hAnsi="Calibri" w:cs="Calibri"/>
        </w:rPr>
        <w:t xml:space="preserve">Suicide mortality rate </w:t>
      </w:r>
      <w:r w:rsidR="00487AE5">
        <w:rPr>
          <w:rStyle w:val="normaltextrun"/>
          <w:rFonts w:ascii="Calibri" w:hAnsi="Calibri" w:cs="Calibri"/>
        </w:rPr>
        <w:t xml:space="preserve">is </w:t>
      </w:r>
      <w:r>
        <w:rPr>
          <w:rStyle w:val="normaltextrun"/>
          <w:rFonts w:ascii="Calibri" w:hAnsi="Calibri" w:cs="Calibri"/>
        </w:rPr>
        <w:t>defined as the number of suicide deaths in a year, divided by the population, and multiplied by 100</w:t>
      </w:r>
      <w:r w:rsidR="008227FC">
        <w:rPr>
          <w:rStyle w:val="normaltextrun"/>
          <w:rFonts w:ascii="Calibri" w:hAnsi="Calibri" w:cs="Calibri"/>
        </w:rPr>
        <w:t>,</w:t>
      </w:r>
      <w:r>
        <w:rPr>
          <w:rStyle w:val="normaltextrun"/>
          <w:rFonts w:ascii="Calibri" w:hAnsi="Calibri" w:cs="Calibri"/>
        </w:rPr>
        <w:t>000.</w:t>
      </w:r>
      <w:r>
        <w:rPr>
          <w:rStyle w:val="eop"/>
          <w:rFonts w:ascii="Calibri" w:hAnsi="Calibri" w:cs="Calibri"/>
        </w:rPr>
        <w:t> </w:t>
      </w:r>
    </w:p>
    <w:p w14:paraId="2E9433A3" w14:textId="068DB734" w:rsidR="00D51E7C" w:rsidRPr="00C019E5" w:rsidRDefault="00D51E7C" w:rsidP="00576CFA">
      <w:pPr>
        <w:pStyle w:val="MText"/>
        <w:rPr>
          <w:highlight w:val="cyan"/>
        </w:rPr>
      </w:pPr>
    </w:p>
    <w:p w14:paraId="05BA0835" w14:textId="4D8CCD73" w:rsidR="00D51E7C" w:rsidRPr="001C6C9C" w:rsidRDefault="00D51E7C" w:rsidP="00576CFA">
      <w:pPr>
        <w:pStyle w:val="MText"/>
        <w:rPr>
          <w:b/>
        </w:rPr>
      </w:pPr>
      <w:r w:rsidRPr="001C6C9C">
        <w:rPr>
          <w:b/>
        </w:rPr>
        <w:t>Concepts:</w:t>
      </w:r>
    </w:p>
    <w:p w14:paraId="6E54D3D6" w14:textId="77777777" w:rsidR="00EC2915" w:rsidRPr="00A96255" w:rsidRDefault="00EC2915" w:rsidP="00576CFA">
      <w:pPr>
        <w:pStyle w:val="MText"/>
      </w:pPr>
    </w:p>
    <w:p w14:paraId="7932F8BD" w14:textId="740C91C1" w:rsidR="008B0AC7" w:rsidRPr="00A96255" w:rsidRDefault="00576CFA" w:rsidP="00F719A8">
      <w:pPr>
        <w:pStyle w:val="MHeader2"/>
      </w:pPr>
      <w:r w:rsidRPr="00A96255">
        <w:t>2.b.</w:t>
      </w:r>
      <w:r w:rsidR="008B0AC7" w:rsidRPr="00A96255">
        <w:t xml:space="preserve"> Unit of measure</w:t>
      </w:r>
      <w:r w:rsidR="00E739C8" w:rsidRPr="00A96255">
        <w:t xml:space="preserve"> </w:t>
      </w:r>
      <w:r w:rsidR="00E739C8">
        <w:rPr>
          <w:color w:val="B4B4B4"/>
          <w:sz w:val="20"/>
        </w:rPr>
        <w:t>(UNIT_MEASURE)</w:t>
      </w:r>
    </w:p>
    <w:p w14:paraId="37D70881" w14:textId="2EA0D559" w:rsidR="008C3A3B" w:rsidRDefault="00657EF2" w:rsidP="008C3A3B">
      <w:pPr>
        <w:pStyle w:val="MText"/>
      </w:pPr>
      <w:r>
        <w:t xml:space="preserve">Deaths </w:t>
      </w:r>
      <w:r w:rsidR="008C3A3B">
        <w:t>per 100</w:t>
      </w:r>
      <w:r w:rsidR="007C592A">
        <w:t>,</w:t>
      </w:r>
      <w:r w:rsidR="008C3A3B">
        <w:t xml:space="preserve">000 population </w:t>
      </w:r>
    </w:p>
    <w:p w14:paraId="6CBCB6DB" w14:textId="1D2337D3" w:rsidR="00657EF2" w:rsidRPr="00A96255" w:rsidRDefault="00657EF2" w:rsidP="008C3A3B">
      <w:pPr>
        <w:pStyle w:val="MText"/>
      </w:pPr>
      <w:r>
        <w:t>Number</w:t>
      </w:r>
    </w:p>
    <w:p w14:paraId="1CAE3771" w14:textId="3B8D5008" w:rsidR="00576CFA" w:rsidRPr="00A96255" w:rsidRDefault="00576CFA" w:rsidP="00576CFA">
      <w:pPr>
        <w:pStyle w:val="MText"/>
      </w:pPr>
    </w:p>
    <w:p w14:paraId="548E9AAA" w14:textId="77777777" w:rsidR="00EC2915" w:rsidRPr="00A96255" w:rsidRDefault="00EC2915" w:rsidP="00576CFA">
      <w:pPr>
        <w:pStyle w:val="MText"/>
      </w:pPr>
    </w:p>
    <w:p w14:paraId="651AA7AC" w14:textId="5E858E8D" w:rsidR="00DA615C" w:rsidRPr="00A96255" w:rsidRDefault="008B0AC7" w:rsidP="00F719A8">
      <w:pPr>
        <w:pStyle w:val="MHeader2"/>
      </w:pPr>
      <w:r w:rsidRPr="00A96255">
        <w:t>2.c. Classifications</w:t>
      </w:r>
      <w:r w:rsidR="00E739C8" w:rsidRPr="00A96255">
        <w:t xml:space="preserve"> </w:t>
      </w:r>
      <w:r w:rsidR="00E739C8">
        <w:rPr>
          <w:color w:val="B4B4B4"/>
          <w:sz w:val="20"/>
        </w:rPr>
        <w:t>(CLASS_SYSTEM)</w:t>
      </w:r>
    </w:p>
    <w:p w14:paraId="3D384BA8" w14:textId="6C3ED8F5" w:rsidR="00EC2915" w:rsidRDefault="008C3A3B" w:rsidP="00576CFA">
      <w:pPr>
        <w:pStyle w:val="MText"/>
      </w:pPr>
      <w:r>
        <w:t xml:space="preserve">Suicides are </w:t>
      </w:r>
      <w:r w:rsidRPr="008C3A3B">
        <w:t>defin</w:t>
      </w:r>
      <w:r>
        <w:t>ed</w:t>
      </w:r>
      <w:r w:rsidRPr="008C3A3B">
        <w:t xml:space="preserve"> in terms of the International Classification of Diseases, Tenth Revision (ICD-10)</w:t>
      </w:r>
      <w:r>
        <w:t xml:space="preserve"> (See 3.a)</w:t>
      </w:r>
    </w:p>
    <w:p w14:paraId="123172F4" w14:textId="77777777" w:rsidR="00F719A8" w:rsidRPr="00A96255" w:rsidRDefault="00F719A8" w:rsidP="00576CFA">
      <w:pPr>
        <w:pStyle w:val="MText"/>
      </w:pPr>
    </w:p>
    <w:p w14:paraId="1D3AEECA" w14:textId="1FADE98C" w:rsidR="00B31E2C" w:rsidRPr="00F719A8" w:rsidRDefault="00B31E2C" w:rsidP="00F719A8">
      <w:pPr>
        <w:pStyle w:val="MHeader"/>
      </w:pPr>
      <w:r w:rsidRPr="00F719A8">
        <w:t>3. Data source type and data collection method</w:t>
      </w:r>
      <w:r w:rsidR="00E739C8" w:rsidRPr="00F719A8">
        <w:t xml:space="preserve"> </w:t>
      </w:r>
      <w:r w:rsidR="00E739C8">
        <w:rPr>
          <w:color w:val="B4B4B4"/>
          <w:sz w:val="20"/>
        </w:rPr>
        <w:t>(SRC_TYPE_COLL_METHOD)</w:t>
      </w:r>
    </w:p>
    <w:p w14:paraId="340B050E" w14:textId="21D46FC0" w:rsidR="008B0AC7" w:rsidRPr="00A96255" w:rsidRDefault="008B0AC7" w:rsidP="00F719A8">
      <w:pPr>
        <w:pStyle w:val="MHeader2"/>
      </w:pPr>
      <w:r w:rsidRPr="00A96255">
        <w:t>3.a. Data sources</w:t>
      </w:r>
      <w:r w:rsidR="00E739C8" w:rsidRPr="00A96255">
        <w:t xml:space="preserve"> </w:t>
      </w:r>
      <w:r w:rsidR="00E739C8">
        <w:rPr>
          <w:color w:val="B4B4B4"/>
          <w:sz w:val="20"/>
        </w:rPr>
        <w:t>(SOURCE_TYPE)</w:t>
      </w:r>
    </w:p>
    <w:p w14:paraId="13B83AE8" w14:textId="6B258C4C" w:rsidR="00486500" w:rsidRDefault="00486500" w:rsidP="000710DF">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The preferred data source is death registration systems with complete coverage and medical certification of cause of death, coded using the international classification of diseases (ICD). The ICD-10 codes for suicide are: X60-X84, Y87.0. Other possible data sources include household surveys with verbal autopsy, sample or sentinel registration systems, special studies and surveillance systems.</w:t>
      </w:r>
      <w:r>
        <w:rPr>
          <w:rStyle w:val="eop"/>
          <w:rFonts w:ascii="Calibri" w:hAnsi="Calibri" w:cs="Calibri"/>
          <w:color w:val="4A4A4A"/>
          <w:sz w:val="21"/>
          <w:szCs w:val="21"/>
        </w:rPr>
        <w:t> </w:t>
      </w:r>
    </w:p>
    <w:p w14:paraId="3018A8D8" w14:textId="77777777" w:rsidR="00EC2915" w:rsidRPr="00A96255" w:rsidRDefault="00EC2915" w:rsidP="00576CFA">
      <w:pPr>
        <w:pStyle w:val="MText"/>
      </w:pPr>
    </w:p>
    <w:p w14:paraId="79368080" w14:textId="1A3F89F3" w:rsidR="008B0AC7" w:rsidRPr="00A96255" w:rsidRDefault="00576CFA" w:rsidP="00F719A8">
      <w:pPr>
        <w:pStyle w:val="MHeader2"/>
      </w:pPr>
      <w:r w:rsidRPr="00A96255">
        <w:t>3.b</w:t>
      </w:r>
      <w:r w:rsidR="008B0AC7" w:rsidRPr="00A96255">
        <w:t>. Data collection method</w:t>
      </w:r>
      <w:r w:rsidR="00E739C8" w:rsidRPr="00A96255">
        <w:t xml:space="preserve"> </w:t>
      </w:r>
      <w:r w:rsidR="00E739C8">
        <w:rPr>
          <w:color w:val="B4B4B4"/>
          <w:sz w:val="20"/>
        </w:rPr>
        <w:t>(COLL_METHOD)</w:t>
      </w:r>
    </w:p>
    <w:p w14:paraId="7D9F065F" w14:textId="4DABF33A" w:rsidR="00EC2915" w:rsidRDefault="00486500" w:rsidP="00576CFA">
      <w:pPr>
        <w:pStyle w:val="MText"/>
        <w:rPr>
          <w:rStyle w:val="eop"/>
          <w:rFonts w:ascii="Calibri" w:hAnsi="Calibri" w:cs="Calibri"/>
        </w:rPr>
      </w:pPr>
      <w:r>
        <w:rPr>
          <w:rStyle w:val="normaltextrun"/>
          <w:rFonts w:ascii="Calibri" w:hAnsi="Calibri" w:cs="Calibri"/>
        </w:rPr>
        <w:t>WHO conducts a formal country consultation process before releasing its cause-of-death estimates.</w:t>
      </w:r>
      <w:r>
        <w:rPr>
          <w:rStyle w:val="eop"/>
          <w:rFonts w:ascii="Calibri" w:hAnsi="Calibri" w:cs="Calibri"/>
        </w:rPr>
        <w:t> </w:t>
      </w:r>
    </w:p>
    <w:p w14:paraId="589ED940" w14:textId="77777777" w:rsidR="00486500" w:rsidRPr="00A96255" w:rsidRDefault="00486500" w:rsidP="00576CFA">
      <w:pPr>
        <w:pStyle w:val="MText"/>
      </w:pPr>
    </w:p>
    <w:p w14:paraId="170A2C05" w14:textId="5D733AB0" w:rsidR="00E46D96" w:rsidRPr="00A96255" w:rsidRDefault="00E46D96" w:rsidP="00F719A8">
      <w:pPr>
        <w:pStyle w:val="MHeader2"/>
      </w:pPr>
      <w:r w:rsidRPr="00A96255">
        <w:t>3.c. Data collection calendar</w:t>
      </w:r>
      <w:r w:rsidR="00E739C8" w:rsidRPr="00A96255">
        <w:t xml:space="preserve"> </w:t>
      </w:r>
      <w:r w:rsidR="00E739C8">
        <w:rPr>
          <w:color w:val="B4B4B4"/>
          <w:sz w:val="20"/>
        </w:rPr>
        <w:t>(FREQ_COLL)</w:t>
      </w:r>
    </w:p>
    <w:p w14:paraId="53ED5AD8" w14:textId="1A843F11" w:rsidR="00486500" w:rsidRDefault="00486500" w:rsidP="000710DF">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WHO </w:t>
      </w:r>
      <w:r w:rsidR="00CE18DC">
        <w:rPr>
          <w:rStyle w:val="normaltextrun"/>
          <w:rFonts w:ascii="Calibri" w:hAnsi="Calibri" w:cs="Calibri"/>
          <w:color w:val="4A4A4A"/>
          <w:sz w:val="21"/>
          <w:szCs w:val="21"/>
          <w:lang w:val="en-GB"/>
        </w:rPr>
        <w:t>annually</w:t>
      </w:r>
      <w:r>
        <w:rPr>
          <w:rStyle w:val="normaltextrun"/>
          <w:rFonts w:ascii="Calibri" w:hAnsi="Calibri" w:cs="Calibri"/>
          <w:color w:val="4A4A4A"/>
          <w:sz w:val="21"/>
          <w:szCs w:val="21"/>
          <w:lang w:val="en-GB"/>
        </w:rPr>
        <w:t xml:space="preserve"> request</w:t>
      </w:r>
      <w:r w:rsidR="00CE18DC">
        <w:rPr>
          <w:rStyle w:val="normaltextrun"/>
          <w:rFonts w:ascii="Calibri" w:hAnsi="Calibri" w:cs="Calibri"/>
          <w:color w:val="4A4A4A"/>
          <w:sz w:val="21"/>
          <w:szCs w:val="21"/>
          <w:lang w:val="en-GB"/>
        </w:rPr>
        <w:t>s</w:t>
      </w:r>
      <w:r>
        <w:rPr>
          <w:rStyle w:val="normaltextrun"/>
          <w:rFonts w:ascii="Calibri" w:hAnsi="Calibri" w:cs="Calibri"/>
          <w:color w:val="4A4A4A"/>
          <w:sz w:val="21"/>
          <w:szCs w:val="21"/>
          <w:lang w:val="en-GB"/>
        </w:rPr>
        <w:t xml:space="preserve"> tabulated death registration data (including all causes of death) from Member States. Countries </w:t>
      </w:r>
      <w:r w:rsidR="00CE18DC">
        <w:rPr>
          <w:rStyle w:val="normaltextrun"/>
          <w:rFonts w:ascii="Calibri" w:hAnsi="Calibri" w:cs="Calibri"/>
          <w:color w:val="4A4A4A"/>
          <w:sz w:val="21"/>
          <w:szCs w:val="21"/>
          <w:lang w:val="en-GB"/>
        </w:rPr>
        <w:t xml:space="preserve">may </w:t>
      </w:r>
      <w:r>
        <w:rPr>
          <w:rStyle w:val="normaltextrun"/>
          <w:rFonts w:ascii="Calibri" w:hAnsi="Calibri" w:cs="Calibri"/>
          <w:color w:val="4A4A4A"/>
          <w:sz w:val="21"/>
          <w:szCs w:val="21"/>
          <w:lang w:val="en-GB"/>
        </w:rPr>
        <w:t xml:space="preserve">submit annual cause-of-death statistics to WHO on an ongoing basis. </w:t>
      </w:r>
    </w:p>
    <w:p w14:paraId="01BA862E" w14:textId="77777777" w:rsidR="00EC2915" w:rsidRPr="00A96255" w:rsidRDefault="00EC2915" w:rsidP="00576CFA">
      <w:pPr>
        <w:pStyle w:val="MText"/>
      </w:pPr>
    </w:p>
    <w:p w14:paraId="7D466604" w14:textId="1F0872ED" w:rsidR="00E46D96" w:rsidRPr="00F719A8" w:rsidRDefault="00E46D96" w:rsidP="00F719A8">
      <w:pPr>
        <w:pStyle w:val="MHeader2"/>
      </w:pPr>
      <w:r w:rsidRPr="00A96255">
        <w:t>3.d. Data release calendar</w:t>
      </w:r>
      <w:r w:rsidR="00E739C8" w:rsidRPr="00A96255">
        <w:t xml:space="preserve"> </w:t>
      </w:r>
      <w:r w:rsidR="00E739C8">
        <w:rPr>
          <w:color w:val="B4B4B4"/>
          <w:sz w:val="20"/>
        </w:rPr>
        <w:t>(REL_CAL_POLICY)</w:t>
      </w:r>
    </w:p>
    <w:p w14:paraId="64C749BD" w14:textId="2839F427" w:rsidR="00EC2915" w:rsidRDefault="00DC467F" w:rsidP="00576CFA">
      <w:pPr>
        <w:pStyle w:val="MText"/>
        <w:rPr>
          <w:rStyle w:val="eop"/>
          <w:rFonts w:ascii="Calibri" w:hAnsi="Calibri" w:cs="Calibri"/>
        </w:rPr>
      </w:pPr>
      <w:r>
        <w:rPr>
          <w:rStyle w:val="normaltextrun"/>
          <w:rFonts w:ascii="Calibri" w:hAnsi="Calibri" w:cs="Calibri"/>
        </w:rPr>
        <w:t>Every 2-3 years</w:t>
      </w:r>
    </w:p>
    <w:p w14:paraId="73CC7FC2" w14:textId="77777777" w:rsidR="00486500" w:rsidRPr="00A96255" w:rsidRDefault="00486500" w:rsidP="00576CFA">
      <w:pPr>
        <w:pStyle w:val="MText"/>
      </w:pPr>
    </w:p>
    <w:p w14:paraId="3A4F3065" w14:textId="6AAA02DF" w:rsidR="00E46D96" w:rsidRPr="00A96255" w:rsidRDefault="00E46D96" w:rsidP="00E84317">
      <w:pPr>
        <w:pStyle w:val="MHeader2"/>
      </w:pPr>
      <w:r w:rsidRPr="00A96255">
        <w:t>3.e. Data providers</w:t>
      </w:r>
      <w:r w:rsidR="00E739C8" w:rsidRPr="00A96255">
        <w:t xml:space="preserve"> </w:t>
      </w:r>
      <w:r w:rsidR="00E739C8">
        <w:rPr>
          <w:color w:val="B4B4B4"/>
          <w:sz w:val="20"/>
        </w:rPr>
        <w:t>(DATA_SOURCE)</w:t>
      </w:r>
    </w:p>
    <w:p w14:paraId="2917FF3C" w14:textId="173D04EC" w:rsidR="00486500" w:rsidRDefault="00486500" w:rsidP="008041A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National statistics offices and/or ministries of health.</w:t>
      </w:r>
      <w:r>
        <w:rPr>
          <w:rStyle w:val="eop"/>
          <w:rFonts w:ascii="Calibri" w:hAnsi="Calibri" w:cs="Calibri"/>
          <w:color w:val="4A4A4A"/>
          <w:sz w:val="21"/>
          <w:szCs w:val="21"/>
        </w:rPr>
        <w:t> </w:t>
      </w:r>
    </w:p>
    <w:p w14:paraId="50A66E64" w14:textId="77777777" w:rsidR="00EC2915" w:rsidRPr="00A96255" w:rsidRDefault="00EC2915" w:rsidP="00576CFA">
      <w:pPr>
        <w:pStyle w:val="MText"/>
      </w:pPr>
    </w:p>
    <w:p w14:paraId="30DC8E05" w14:textId="5F227405" w:rsidR="00E46D96" w:rsidRPr="00A96255" w:rsidRDefault="00E46D96" w:rsidP="00F719A8">
      <w:pPr>
        <w:pStyle w:val="MHeader2"/>
      </w:pPr>
      <w:r w:rsidRPr="00A96255">
        <w:t>3.f. Data compilers</w:t>
      </w:r>
      <w:r w:rsidR="00E739C8" w:rsidRPr="00A96255">
        <w:t xml:space="preserve"> </w:t>
      </w:r>
      <w:r w:rsidR="00E739C8">
        <w:rPr>
          <w:color w:val="B4B4B4"/>
          <w:sz w:val="20"/>
        </w:rPr>
        <w:t>(COMPILING_ORG)</w:t>
      </w:r>
    </w:p>
    <w:p w14:paraId="62196145" w14:textId="1AF29865" w:rsidR="00486500" w:rsidRDefault="003443D0" w:rsidP="008041A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World Health Organization (</w:t>
      </w:r>
      <w:r w:rsidR="00486500">
        <w:rPr>
          <w:rStyle w:val="normaltextrun"/>
          <w:rFonts w:ascii="Calibri" w:hAnsi="Calibri" w:cs="Calibri"/>
          <w:color w:val="4A4A4A"/>
          <w:sz w:val="21"/>
          <w:szCs w:val="21"/>
          <w:lang w:val="en-GB"/>
        </w:rPr>
        <w:t>WHO</w:t>
      </w:r>
      <w:r w:rsidR="0081261C">
        <w:rPr>
          <w:rStyle w:val="normaltextrun"/>
          <w:rFonts w:ascii="Calibri" w:hAnsi="Calibri" w:cs="Calibri"/>
          <w:color w:val="4A4A4A"/>
          <w:sz w:val="21"/>
          <w:szCs w:val="21"/>
          <w:lang w:val="en-GB"/>
        </w:rPr>
        <w:t>)</w:t>
      </w:r>
      <w:r w:rsidR="00486500">
        <w:rPr>
          <w:rStyle w:val="eop"/>
          <w:rFonts w:ascii="Calibri" w:hAnsi="Calibri" w:cs="Calibri"/>
          <w:color w:val="4A4A4A"/>
          <w:sz w:val="21"/>
          <w:szCs w:val="21"/>
        </w:rPr>
        <w:t> </w:t>
      </w:r>
    </w:p>
    <w:p w14:paraId="5C43435B" w14:textId="77777777" w:rsidR="00EC2915" w:rsidRPr="00A96255" w:rsidRDefault="00EC2915" w:rsidP="00576CFA">
      <w:pPr>
        <w:pStyle w:val="MText"/>
      </w:pPr>
    </w:p>
    <w:p w14:paraId="5655E768" w14:textId="4178F1FD" w:rsidR="00E46D96" w:rsidRPr="00A96255" w:rsidRDefault="00E46D96" w:rsidP="00F719A8">
      <w:pPr>
        <w:pStyle w:val="MHeader2"/>
      </w:pPr>
      <w:r w:rsidRPr="00A96255">
        <w:t>3.g. Institutional mandate</w:t>
      </w:r>
      <w:r w:rsidR="00E739C8" w:rsidRPr="00A96255">
        <w:t xml:space="preserve"> </w:t>
      </w:r>
      <w:r w:rsidR="00E739C8">
        <w:rPr>
          <w:color w:val="B4B4B4"/>
          <w:sz w:val="20"/>
        </w:rPr>
        <w:t>(INST_MANDATE)</w:t>
      </w:r>
    </w:p>
    <w:p w14:paraId="7D007C3C" w14:textId="4AB97A0F" w:rsidR="00EC2915" w:rsidRDefault="00CE18DC" w:rsidP="00576CFA">
      <w:pPr>
        <w:pStyle w:val="MText"/>
      </w:pPr>
      <w:r w:rsidRPr="00CE18DC">
        <w:t xml:space="preserve">According to Article 64 of its constitution, WHO is mandated to request each Member State to provide statistics on mortality. Furthermore, the WHO Nomenclature Regulations of 1967 affirms the importance of compiling and publishing statistics of mortality and morbidity in comparable form. Member States started to report mortality data to WHO since the early fifties and this reporting activity is continuing until today. </w:t>
      </w:r>
    </w:p>
    <w:p w14:paraId="3D063F4C" w14:textId="77777777" w:rsidR="00F719A8" w:rsidRPr="00A96255" w:rsidRDefault="00F719A8" w:rsidP="00576CFA">
      <w:pPr>
        <w:pStyle w:val="MText"/>
      </w:pPr>
    </w:p>
    <w:p w14:paraId="6149DC94" w14:textId="438FBF08" w:rsidR="00B31E2C" w:rsidRPr="00A96255" w:rsidRDefault="00B31E2C" w:rsidP="00AF5ED1">
      <w:pPr>
        <w:pStyle w:val="MHeader"/>
      </w:pPr>
      <w:r w:rsidRPr="00A96255">
        <w:t>4. Other methodological considerations</w:t>
      </w:r>
      <w:r w:rsidR="00E739C8" w:rsidRPr="00A96255">
        <w:t xml:space="preserve"> </w:t>
      </w:r>
      <w:r w:rsidR="00E739C8">
        <w:rPr>
          <w:color w:val="B4B4B4"/>
          <w:sz w:val="20"/>
        </w:rPr>
        <w:t>(OTHER_METHOD)</w:t>
      </w:r>
    </w:p>
    <w:p w14:paraId="1AFA5517" w14:textId="6D8B4A51" w:rsidR="00AF5ED1" w:rsidRPr="00A96255" w:rsidRDefault="00576CFA" w:rsidP="00F719A8">
      <w:pPr>
        <w:pStyle w:val="MHeader2"/>
      </w:pPr>
      <w:r w:rsidRPr="00A96255">
        <w:t>4.a. Rationale</w:t>
      </w:r>
      <w:r w:rsidR="00E739C8" w:rsidRPr="00A96255">
        <w:t xml:space="preserve"> </w:t>
      </w:r>
      <w:r w:rsidR="00E739C8">
        <w:rPr>
          <w:color w:val="B4B4B4"/>
          <w:sz w:val="20"/>
        </w:rPr>
        <w:t>(RATIONALE)</w:t>
      </w:r>
    </w:p>
    <w:p w14:paraId="6A6B9A5E" w14:textId="10ABD820" w:rsidR="00B50096" w:rsidRPr="000710DF" w:rsidRDefault="00B50096" w:rsidP="000710DF">
      <w:pPr>
        <w:pStyle w:val="paragraph"/>
        <w:shd w:val="clear" w:color="auto" w:fill="FFFFFF"/>
        <w:spacing w:before="0" w:beforeAutospacing="0" w:after="0" w:afterAutospacing="0" w:line="276" w:lineRule="auto"/>
        <w:textAlignment w:val="baseline"/>
        <w:rPr>
          <w:rStyle w:val="eop"/>
          <w:rFonts w:ascii="Calibri" w:hAnsi="Calibri"/>
          <w:color w:val="4A4A4A"/>
          <w:sz w:val="21"/>
          <w:lang w:val="en-GB"/>
        </w:rPr>
      </w:pPr>
      <w:r>
        <w:rPr>
          <w:rStyle w:val="normaltextrun"/>
          <w:rFonts w:ascii="Calibri" w:hAnsi="Calibri" w:cs="Calibri"/>
          <w:color w:val="4A4A4A"/>
          <w:sz w:val="21"/>
          <w:szCs w:val="21"/>
          <w:lang w:val="en-GB"/>
        </w:rPr>
        <w:lastRenderedPageBreak/>
        <w:t xml:space="preserve">Mental disorders occur in all regions and cultures of the world. The most prevalent of these disorders are depression and anxiety, which are estimated to affect nearly 1 in 10 people. At its worst, depression can lead to suicide. </w:t>
      </w:r>
    </w:p>
    <w:p w14:paraId="70AA6041" w14:textId="533B926D" w:rsidR="00B50096" w:rsidRDefault="00B50096" w:rsidP="00B50096">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p>
    <w:p w14:paraId="2529B069" w14:textId="529C8CEB" w:rsidR="00E1050F" w:rsidRPr="00A96255" w:rsidRDefault="00E1050F" w:rsidP="00F719A8">
      <w:pPr>
        <w:pStyle w:val="MHeader2"/>
      </w:pPr>
      <w:r w:rsidRPr="00A96255">
        <w:t>4.b. Comment and limitations</w:t>
      </w:r>
      <w:r w:rsidR="00E739C8" w:rsidRPr="00A96255">
        <w:t xml:space="preserve"> </w:t>
      </w:r>
      <w:r w:rsidR="00E739C8">
        <w:rPr>
          <w:color w:val="B4B4B4"/>
          <w:sz w:val="20"/>
        </w:rPr>
        <w:t>(REC_USE_LIM)</w:t>
      </w:r>
    </w:p>
    <w:p w14:paraId="3387D922" w14:textId="4C5D7477" w:rsidR="00B50096" w:rsidRDefault="00B50096" w:rsidP="000710DF">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The complete recording of suicide deaths in death-registration systems requires good linkages with coronial and police systems, but can be seriously impeded by stigma, social and legal considerations, and delays in determining cause of death. Less than one half of WHO Member States have well-functioning death-registration systems that record causes of death.</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0508596" w:rsidR="00E1050F" w:rsidRPr="00A96255" w:rsidRDefault="00E1050F" w:rsidP="00F719A8">
      <w:pPr>
        <w:pStyle w:val="MHeader2"/>
      </w:pPr>
      <w:r w:rsidRPr="00A96255">
        <w:t>4.c. Method of computation</w:t>
      </w:r>
      <w:r w:rsidR="00E739C8" w:rsidRPr="00A96255">
        <w:t xml:space="preserve"> </w:t>
      </w:r>
      <w:r w:rsidR="00E739C8">
        <w:rPr>
          <w:color w:val="B4B4B4"/>
          <w:sz w:val="20"/>
        </w:rPr>
        <w:t>(DATA_COMP)</w:t>
      </w:r>
    </w:p>
    <w:p w14:paraId="11F95CB9" w14:textId="77777777" w:rsidR="009419C5" w:rsidRDefault="009419C5" w:rsidP="00B50096">
      <w:pPr>
        <w:pStyle w:val="paragraph"/>
        <w:shd w:val="clear" w:color="auto" w:fill="FFFFFF"/>
        <w:spacing w:before="0" w:beforeAutospacing="0" w:after="0" w:afterAutospacing="0"/>
        <w:textAlignment w:val="baseline"/>
        <w:rPr>
          <w:rStyle w:val="eop"/>
          <w:color w:val="4A4A4A"/>
          <w:sz w:val="21"/>
          <w:szCs w:val="21"/>
        </w:rPr>
      </w:pPr>
    </w:p>
    <w:p w14:paraId="53A1B717" w14:textId="700FE98F" w:rsidR="009419C5" w:rsidRDefault="009419C5" w:rsidP="00B50096">
      <w:pPr>
        <w:pStyle w:val="paragraph"/>
        <w:shd w:val="clear" w:color="auto" w:fill="FFFFFF"/>
        <w:spacing w:before="0" w:beforeAutospacing="0" w:after="0" w:afterAutospacing="0"/>
        <w:textAlignment w:val="baseline"/>
        <w:rPr>
          <w:rStyle w:val="eop"/>
          <w:color w:val="4A4A4A"/>
          <w:sz w:val="21"/>
          <w:szCs w:val="21"/>
        </w:rPr>
      </w:pPr>
      <m:oMathPara>
        <m:oMath>
          <m:r>
            <w:rPr>
              <w:rStyle w:val="eop"/>
              <w:rFonts w:ascii="Cambria Math" w:hAnsi="Cambria Math"/>
              <w:color w:val="4A4A4A"/>
              <w:sz w:val="21"/>
              <w:szCs w:val="21"/>
            </w:rPr>
            <m:t xml:space="preserve">Suicide mortality rate </m:t>
          </m:r>
          <m:d>
            <m:dPr>
              <m:ctrlPr>
                <w:rPr>
                  <w:rStyle w:val="eop"/>
                  <w:rFonts w:ascii="Cambria Math" w:hAnsi="Cambria Math"/>
                  <w:i/>
                  <w:color w:val="4A4A4A"/>
                  <w:sz w:val="21"/>
                  <w:szCs w:val="21"/>
                </w:rPr>
              </m:ctrlPr>
            </m:dPr>
            <m:e>
              <m:r>
                <w:rPr>
                  <w:rStyle w:val="eop"/>
                  <w:rFonts w:ascii="Cambria Math" w:hAnsi="Cambria Math"/>
                  <w:color w:val="4A4A4A"/>
                  <w:sz w:val="21"/>
                  <w:szCs w:val="21"/>
                </w:rPr>
                <m:t>per 100,000 population</m:t>
              </m:r>
            </m:e>
          </m:d>
          <m:r>
            <w:rPr>
              <w:rStyle w:val="eop"/>
              <w:rFonts w:ascii="Cambria Math" w:hAnsi="Cambria Math"/>
              <w:color w:val="4A4A4A"/>
              <w:sz w:val="21"/>
              <w:szCs w:val="21"/>
            </w:rPr>
            <m:t xml:space="preserve">= </m:t>
          </m:r>
          <m:f>
            <m:fPr>
              <m:ctrlPr>
                <w:rPr>
                  <w:rStyle w:val="eop"/>
                  <w:rFonts w:ascii="Cambria Math" w:hAnsi="Cambria Math"/>
                  <w:i/>
                  <w:color w:val="4A4A4A"/>
                  <w:sz w:val="21"/>
                  <w:szCs w:val="21"/>
                </w:rPr>
              </m:ctrlPr>
            </m:fPr>
            <m:num>
              <m:r>
                <w:rPr>
                  <w:rStyle w:val="eop"/>
                  <w:rFonts w:ascii="Cambria Math" w:hAnsi="Cambria Math"/>
                  <w:color w:val="4A4A4A"/>
                  <w:sz w:val="21"/>
                  <w:szCs w:val="21"/>
                </w:rPr>
                <m:t xml:space="preserve">Number of suicide deaths in a year </m:t>
              </m:r>
            </m:num>
            <m:den>
              <m:r>
                <w:rPr>
                  <w:rStyle w:val="eop"/>
                  <w:rFonts w:ascii="Cambria Math" w:hAnsi="Cambria Math"/>
                  <w:color w:val="4A4A4A"/>
                  <w:sz w:val="21"/>
                  <w:szCs w:val="21"/>
                </w:rPr>
                <m:t>Mid-year population for the same calendar year</m:t>
              </m:r>
            </m:den>
          </m:f>
          <m:r>
            <w:rPr>
              <w:rStyle w:val="eop"/>
              <w:rFonts w:ascii="Cambria Math" w:hAnsi="Cambria Math"/>
              <w:color w:val="4A4A4A"/>
              <w:sz w:val="21"/>
              <w:szCs w:val="21"/>
            </w:rPr>
            <m:t xml:space="preserve"> ×100,000</m:t>
          </m:r>
        </m:oMath>
      </m:oMathPara>
    </w:p>
    <w:p w14:paraId="5798B4C1" w14:textId="2666DFBA" w:rsidR="00B50096" w:rsidRDefault="00B50096" w:rsidP="00B50096">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85B3C2A" w14:textId="77777777" w:rsidR="00B50096" w:rsidRDefault="00B50096" w:rsidP="000710DF">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The methods used for the analysis of causes of death depend on the type of data available from countries:</w:t>
      </w:r>
      <w:r>
        <w:rPr>
          <w:rStyle w:val="eop"/>
          <w:rFonts w:ascii="Calibri" w:hAnsi="Calibri" w:cs="Calibri"/>
          <w:color w:val="4A4A4A"/>
          <w:sz w:val="21"/>
          <w:szCs w:val="21"/>
        </w:rPr>
        <w:t> </w:t>
      </w:r>
    </w:p>
    <w:p w14:paraId="7F1FC7E2" w14:textId="77777777" w:rsidR="00B50096" w:rsidRDefault="00B50096" w:rsidP="000710DF">
      <w:pPr>
        <w:pStyle w:val="NoSpacing"/>
        <w:rPr>
          <w:rFonts w:ascii="Segoe UI" w:hAnsi="Segoe UI" w:cs="Segoe UI"/>
          <w:sz w:val="18"/>
          <w:szCs w:val="18"/>
        </w:rPr>
      </w:pPr>
      <w:r>
        <w:rPr>
          <w:rStyle w:val="eop"/>
          <w:color w:val="4A4A4A"/>
          <w:sz w:val="21"/>
          <w:szCs w:val="21"/>
        </w:rPr>
        <w:t> </w:t>
      </w:r>
    </w:p>
    <w:p w14:paraId="014424E3" w14:textId="6D8CD9F4" w:rsidR="00B50096" w:rsidRDefault="00B50096" w:rsidP="000710DF">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For countries with a high-quality vital registration system including information on cause of death, the vital registration that member states submit to the WHO Mortality Database were used, with adjustments where necessary, e.g. for under-reporting of deaths.</w:t>
      </w:r>
      <w:r>
        <w:rPr>
          <w:rStyle w:val="eop"/>
          <w:rFonts w:ascii="Calibri" w:hAnsi="Calibri" w:cs="Calibri"/>
          <w:color w:val="4A4A4A"/>
          <w:sz w:val="21"/>
          <w:szCs w:val="21"/>
        </w:rPr>
        <w:t> </w:t>
      </w:r>
    </w:p>
    <w:p w14:paraId="2E47CEA4" w14:textId="77777777" w:rsidR="00B50096" w:rsidRDefault="00B50096" w:rsidP="000710DF">
      <w:pPr>
        <w:pStyle w:val="NoSpacing"/>
        <w:rPr>
          <w:rFonts w:ascii="Segoe UI" w:hAnsi="Segoe UI" w:cs="Segoe UI"/>
          <w:sz w:val="18"/>
          <w:szCs w:val="18"/>
        </w:rPr>
      </w:pPr>
      <w:r>
        <w:rPr>
          <w:rStyle w:val="eop"/>
          <w:color w:val="4A4A4A"/>
          <w:sz w:val="21"/>
          <w:szCs w:val="21"/>
        </w:rPr>
        <w:t> </w:t>
      </w:r>
    </w:p>
    <w:p w14:paraId="13CF2992" w14:textId="506B417B" w:rsidR="00B50096" w:rsidRDefault="00B50096" w:rsidP="000710DF">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For countries without high-quality death registration data, cause of death estimates </w:t>
      </w:r>
      <w:proofErr w:type="gramStart"/>
      <w:r>
        <w:rPr>
          <w:rStyle w:val="normaltextrun"/>
          <w:rFonts w:ascii="Calibri" w:hAnsi="Calibri" w:cs="Calibri"/>
          <w:color w:val="4A4A4A"/>
          <w:sz w:val="21"/>
          <w:szCs w:val="21"/>
          <w:lang w:val="en-GB"/>
        </w:rPr>
        <w:t>are</w:t>
      </w:r>
      <w:proofErr w:type="gramEnd"/>
      <w:r>
        <w:rPr>
          <w:rStyle w:val="normaltextrun"/>
          <w:rFonts w:ascii="Calibri" w:hAnsi="Calibri" w:cs="Calibri"/>
          <w:color w:val="4A4A4A"/>
          <w:sz w:val="21"/>
          <w:szCs w:val="21"/>
          <w:lang w:val="en-GB"/>
        </w:rPr>
        <w:t> calculated using other data, including household surveys with verbal autopsy, sample or sentinel registration systems, special studies and</w:t>
      </w:r>
      <w:r w:rsidR="002244F3">
        <w:rPr>
          <w:rStyle w:val="normaltextrun"/>
          <w:rFonts w:ascii="Calibri" w:hAnsi="Calibri" w:cs="Calibri"/>
          <w:color w:val="4A4A4A"/>
          <w:sz w:val="21"/>
          <w:szCs w:val="21"/>
          <w:lang w:val="en-GB"/>
        </w:rPr>
        <w:t xml:space="preserve"> surveillance systems.</w:t>
      </w:r>
      <w:r>
        <w:rPr>
          <w:rStyle w:val="normaltextrun"/>
          <w:rFonts w:ascii="Calibri" w:hAnsi="Calibri" w:cs="Calibri"/>
          <w:color w:val="4A4A4A"/>
          <w:sz w:val="21"/>
          <w:szCs w:val="21"/>
          <w:lang w:val="en-GB"/>
        </w:rPr>
        <w:t> </w:t>
      </w:r>
    </w:p>
    <w:p w14:paraId="6A89839E" w14:textId="77777777" w:rsidR="00576CFA" w:rsidRPr="00A96255" w:rsidRDefault="00576CFA" w:rsidP="00576CFA">
      <w:pPr>
        <w:pStyle w:val="MText"/>
      </w:pPr>
    </w:p>
    <w:p w14:paraId="514CE3C0" w14:textId="7A96BFF4" w:rsidR="00E1050F" w:rsidRPr="00A96255" w:rsidRDefault="00576CFA" w:rsidP="00F719A8">
      <w:pPr>
        <w:pStyle w:val="MHeader2"/>
      </w:pPr>
      <w:r w:rsidRPr="00A96255">
        <w:t>4.d. Validation</w:t>
      </w:r>
      <w:r w:rsidR="00E739C8" w:rsidRPr="00A96255">
        <w:t xml:space="preserve"> </w:t>
      </w:r>
      <w:r w:rsidR="00E739C8">
        <w:rPr>
          <w:color w:val="B4B4B4"/>
          <w:sz w:val="20"/>
        </w:rPr>
        <w:t>(DATA_VALIDATION)</w:t>
      </w:r>
    </w:p>
    <w:p w14:paraId="4EAAAC97" w14:textId="3BA27B3E" w:rsidR="00F334A7" w:rsidRPr="00A96255" w:rsidRDefault="00F334A7" w:rsidP="00576CFA">
      <w:pPr>
        <w:pStyle w:val="MText"/>
      </w:pPr>
      <w:r>
        <w:t>The number of suicide deaths were country</w:t>
      </w:r>
      <w:r w:rsidR="002244F3">
        <w:t>-</w:t>
      </w:r>
      <w:r>
        <w:t xml:space="preserve">consulted </w:t>
      </w:r>
      <w:r w:rsidR="00BE5800" w:rsidRPr="00246D19">
        <w:t>with country designated focal points (usually at the Ministry of Health or National Statistics Office)</w:t>
      </w:r>
      <w:r w:rsidR="00BE5800">
        <w:t xml:space="preserve"> </w:t>
      </w:r>
      <w:r>
        <w:t>as part of the full set of causes of death prior to the release.</w:t>
      </w:r>
    </w:p>
    <w:p w14:paraId="0025F830" w14:textId="359910E2" w:rsidR="00F719A8" w:rsidRPr="00A96255" w:rsidRDefault="00F719A8" w:rsidP="00576CFA">
      <w:pPr>
        <w:pStyle w:val="MText"/>
      </w:pPr>
    </w:p>
    <w:p w14:paraId="2CF2A343" w14:textId="1720D9A8" w:rsidR="00E1050F" w:rsidRPr="00A96255" w:rsidRDefault="00E1050F" w:rsidP="00F719A8">
      <w:pPr>
        <w:pStyle w:val="MHeader2"/>
      </w:pPr>
      <w:r w:rsidRPr="00A96255">
        <w:t>4.e. Adjustments</w:t>
      </w:r>
      <w:r w:rsidR="00E739C8" w:rsidRPr="00A96255">
        <w:t xml:space="preserve"> </w:t>
      </w:r>
      <w:r w:rsidR="00E739C8">
        <w:rPr>
          <w:color w:val="B4B4B4"/>
          <w:sz w:val="20"/>
        </w:rPr>
        <w:t>(ADJUSTMENT)</w:t>
      </w:r>
    </w:p>
    <w:p w14:paraId="22EB394F" w14:textId="2E0191BF" w:rsidR="005D6B3F" w:rsidRPr="00EF25F0" w:rsidRDefault="005D6B3F" w:rsidP="001A215B">
      <w:pPr>
        <w:pStyle w:val="MText"/>
      </w:pPr>
      <w:r w:rsidRPr="00EF25F0">
        <w:rPr>
          <w:spacing w:val="1"/>
        </w:rPr>
        <w:t>D</w:t>
      </w:r>
      <w:r w:rsidRPr="00EF25F0">
        <w:t>eat</w:t>
      </w:r>
      <w:r w:rsidRPr="00EF25F0">
        <w:rPr>
          <w:spacing w:val="-1"/>
        </w:rPr>
        <w:t>h</w:t>
      </w:r>
      <w:r w:rsidRPr="00EF25F0">
        <w:t>s</w:t>
      </w:r>
      <w:r w:rsidRPr="00EF25F0">
        <w:rPr>
          <w:spacing w:val="1"/>
        </w:rPr>
        <w:t xml:space="preserve"> o</w:t>
      </w:r>
      <w:r w:rsidRPr="00EF25F0">
        <w:t>f</w:t>
      </w:r>
      <w:r w:rsidRPr="00EF25F0">
        <w:rPr>
          <w:spacing w:val="1"/>
        </w:rPr>
        <w:t xml:space="preserve"> </w:t>
      </w:r>
      <w:r w:rsidRPr="00EF25F0">
        <w:rPr>
          <w:spacing w:val="-1"/>
        </w:rPr>
        <w:t>un</w:t>
      </w:r>
      <w:r w:rsidRPr="00EF25F0">
        <w:t>k</w:t>
      </w:r>
      <w:r w:rsidRPr="00EF25F0">
        <w:rPr>
          <w:spacing w:val="-1"/>
        </w:rPr>
        <w:t>n</w:t>
      </w:r>
      <w:r w:rsidRPr="00EF25F0">
        <w:rPr>
          <w:spacing w:val="1"/>
        </w:rPr>
        <w:t>o</w:t>
      </w:r>
      <w:r w:rsidRPr="00EF25F0">
        <w:t>wn</w:t>
      </w:r>
      <w:r w:rsidRPr="00EF25F0">
        <w:rPr>
          <w:spacing w:val="2"/>
        </w:rPr>
        <w:t xml:space="preserve"> </w:t>
      </w:r>
      <w:r w:rsidRPr="00EF25F0">
        <w:t>s</w:t>
      </w:r>
      <w:r w:rsidRPr="00EF25F0">
        <w:rPr>
          <w:spacing w:val="1"/>
        </w:rPr>
        <w:t>e</w:t>
      </w:r>
      <w:r w:rsidRPr="00EF25F0">
        <w:t>x</w:t>
      </w:r>
      <w:r w:rsidRPr="00EF25F0">
        <w:rPr>
          <w:spacing w:val="1"/>
        </w:rPr>
        <w:t xml:space="preserve"> </w:t>
      </w:r>
      <w:r w:rsidRPr="00EF25F0">
        <w:t>were</w:t>
      </w:r>
      <w:r w:rsidRPr="00EF25F0">
        <w:rPr>
          <w:spacing w:val="1"/>
        </w:rPr>
        <w:t xml:space="preserve"> </w:t>
      </w:r>
      <w:r w:rsidRPr="00EF25F0">
        <w:t>re</w:t>
      </w:r>
      <w:r w:rsidRPr="00EF25F0">
        <w:rPr>
          <w:spacing w:val="-1"/>
        </w:rPr>
        <w:t>d</w:t>
      </w:r>
      <w:r w:rsidRPr="00EF25F0">
        <w:t>istri</w:t>
      </w:r>
      <w:r w:rsidRPr="00EF25F0">
        <w:rPr>
          <w:spacing w:val="-1"/>
        </w:rPr>
        <w:t>bu</w:t>
      </w:r>
      <w:r w:rsidRPr="00EF25F0">
        <w:t>ted</w:t>
      </w:r>
      <w:r w:rsidRPr="00EF25F0">
        <w:rPr>
          <w:spacing w:val="2"/>
        </w:rPr>
        <w:t xml:space="preserve"> </w:t>
      </w:r>
      <w:r w:rsidRPr="00EF25F0">
        <w:rPr>
          <w:spacing w:val="-1"/>
        </w:rPr>
        <w:t>p</w:t>
      </w:r>
      <w:r w:rsidRPr="00EF25F0">
        <w:t>r</w:t>
      </w:r>
      <w:r w:rsidRPr="00EF25F0">
        <w:rPr>
          <w:spacing w:val="1"/>
        </w:rPr>
        <w:t>o</w:t>
      </w:r>
      <w:r w:rsidRPr="00EF25F0">
        <w:t>-ra</w:t>
      </w:r>
      <w:r w:rsidRPr="00EF25F0">
        <w:rPr>
          <w:spacing w:val="1"/>
        </w:rPr>
        <w:t>t</w:t>
      </w:r>
      <w:r w:rsidRPr="00EF25F0">
        <w:t>a</w:t>
      </w:r>
      <w:r w:rsidRPr="00EF25F0">
        <w:rPr>
          <w:spacing w:val="1"/>
        </w:rPr>
        <w:t xml:space="preserve"> </w:t>
      </w:r>
      <w:r w:rsidRPr="00EF25F0">
        <w:t>wit</w:t>
      </w:r>
      <w:r w:rsidRPr="00EF25F0">
        <w:rPr>
          <w:spacing w:val="-1"/>
        </w:rPr>
        <w:t>h</w:t>
      </w:r>
      <w:r w:rsidRPr="00EF25F0">
        <w:t>in ca</w:t>
      </w:r>
      <w:r w:rsidRPr="00EF25F0">
        <w:rPr>
          <w:spacing w:val="-1"/>
        </w:rPr>
        <w:t>u</w:t>
      </w:r>
      <w:r w:rsidRPr="00EF25F0">
        <w:t>s</w:t>
      </w:r>
      <w:r w:rsidRPr="00EF25F0">
        <w:rPr>
          <w:spacing w:val="1"/>
        </w:rPr>
        <w:t>e</w:t>
      </w:r>
      <w:r w:rsidRPr="00EF25F0">
        <w:t>-a</w:t>
      </w:r>
      <w:r w:rsidRPr="00EF25F0">
        <w:rPr>
          <w:spacing w:val="-1"/>
        </w:rPr>
        <w:t>g</w:t>
      </w:r>
      <w:r w:rsidRPr="00EF25F0">
        <w:t>e</w:t>
      </w:r>
      <w:r w:rsidRPr="00EF25F0">
        <w:rPr>
          <w:spacing w:val="4"/>
        </w:rPr>
        <w:t xml:space="preserve"> </w:t>
      </w:r>
      <w:r w:rsidRPr="00EF25F0">
        <w:rPr>
          <w:spacing w:val="-1"/>
        </w:rPr>
        <w:t>g</w:t>
      </w:r>
      <w:r w:rsidRPr="00EF25F0">
        <w:t>r</w:t>
      </w:r>
      <w:r w:rsidRPr="00EF25F0">
        <w:rPr>
          <w:spacing w:val="1"/>
        </w:rPr>
        <w:t>o</w:t>
      </w:r>
      <w:r w:rsidRPr="00EF25F0">
        <w:rPr>
          <w:spacing w:val="-1"/>
        </w:rPr>
        <w:t>up</w:t>
      </w:r>
      <w:r w:rsidRPr="00EF25F0">
        <w:t>s</w:t>
      </w:r>
      <w:r w:rsidRPr="00EF25F0">
        <w:rPr>
          <w:spacing w:val="1"/>
        </w:rPr>
        <w:t xml:space="preserve"> o</w:t>
      </w:r>
      <w:r w:rsidRPr="00EF25F0">
        <w:t>f</w:t>
      </w:r>
      <w:r w:rsidRPr="00EF25F0">
        <w:rPr>
          <w:spacing w:val="1"/>
        </w:rPr>
        <w:t xml:space="preserve"> </w:t>
      </w:r>
      <w:r w:rsidRPr="00EF25F0">
        <w:t>k</w:t>
      </w:r>
      <w:r w:rsidRPr="00EF25F0">
        <w:rPr>
          <w:spacing w:val="-1"/>
        </w:rPr>
        <w:t>n</w:t>
      </w:r>
      <w:r w:rsidRPr="00EF25F0">
        <w:rPr>
          <w:spacing w:val="1"/>
        </w:rPr>
        <w:t>o</w:t>
      </w:r>
      <w:r w:rsidRPr="00EF25F0">
        <w:t>wn</w:t>
      </w:r>
      <w:r w:rsidRPr="00EF25F0">
        <w:rPr>
          <w:spacing w:val="2"/>
        </w:rPr>
        <w:t xml:space="preserve"> </w:t>
      </w:r>
      <w:r w:rsidRPr="00EF25F0">
        <w:t>sexes,</w:t>
      </w:r>
      <w:r w:rsidRPr="00EF25F0">
        <w:rPr>
          <w:spacing w:val="1"/>
        </w:rPr>
        <w:t xml:space="preserve"> </w:t>
      </w:r>
      <w:r w:rsidRPr="00EF25F0">
        <w:t>a</w:t>
      </w:r>
      <w:r w:rsidRPr="00EF25F0">
        <w:rPr>
          <w:spacing w:val="-1"/>
        </w:rPr>
        <w:t>n</w:t>
      </w:r>
      <w:r w:rsidRPr="00EF25F0">
        <w:t>d</w:t>
      </w:r>
      <w:r w:rsidRPr="00EF25F0">
        <w:rPr>
          <w:spacing w:val="2"/>
        </w:rPr>
        <w:t xml:space="preserve"> </w:t>
      </w:r>
      <w:r w:rsidRPr="00EF25F0">
        <w:t>t</w:t>
      </w:r>
      <w:r w:rsidRPr="00EF25F0">
        <w:rPr>
          <w:spacing w:val="-1"/>
        </w:rPr>
        <w:t>h</w:t>
      </w:r>
      <w:r w:rsidRPr="00EF25F0">
        <w:rPr>
          <w:spacing w:val="1"/>
        </w:rPr>
        <w:t>e</w:t>
      </w:r>
      <w:r w:rsidRPr="00EF25F0">
        <w:t xml:space="preserve">n </w:t>
      </w:r>
      <w:r w:rsidRPr="00EF25F0">
        <w:rPr>
          <w:spacing w:val="-1"/>
        </w:rPr>
        <w:t>d</w:t>
      </w:r>
      <w:r w:rsidRPr="00EF25F0">
        <w:rPr>
          <w:spacing w:val="1"/>
        </w:rPr>
        <w:t>e</w:t>
      </w:r>
      <w:r w:rsidRPr="00EF25F0">
        <w:t>at</w:t>
      </w:r>
      <w:r w:rsidRPr="00EF25F0">
        <w:rPr>
          <w:spacing w:val="-1"/>
        </w:rPr>
        <w:t>h</w:t>
      </w:r>
      <w:r w:rsidRPr="00EF25F0">
        <w:t>s</w:t>
      </w:r>
      <w:r w:rsidRPr="00EF25F0">
        <w:rPr>
          <w:spacing w:val="1"/>
        </w:rPr>
        <w:t xml:space="preserve"> o</w:t>
      </w:r>
      <w:r w:rsidRPr="00EF25F0">
        <w:t>f</w:t>
      </w:r>
      <w:r w:rsidRPr="00EF25F0">
        <w:rPr>
          <w:spacing w:val="1"/>
        </w:rPr>
        <w:t xml:space="preserve"> </w:t>
      </w:r>
      <w:r w:rsidRPr="00EF25F0">
        <w:rPr>
          <w:spacing w:val="-1"/>
        </w:rPr>
        <w:t>un</w:t>
      </w:r>
      <w:r w:rsidRPr="00EF25F0">
        <w:t>k</w:t>
      </w:r>
      <w:r w:rsidRPr="00EF25F0">
        <w:rPr>
          <w:spacing w:val="-1"/>
        </w:rPr>
        <w:t>n</w:t>
      </w:r>
      <w:r w:rsidRPr="00EF25F0">
        <w:rPr>
          <w:spacing w:val="1"/>
        </w:rPr>
        <w:t>o</w:t>
      </w:r>
      <w:r w:rsidRPr="00EF25F0">
        <w:t>wn a</w:t>
      </w:r>
      <w:r w:rsidRPr="00EF25F0">
        <w:rPr>
          <w:spacing w:val="-1"/>
        </w:rPr>
        <w:t>g</w:t>
      </w:r>
      <w:r w:rsidRPr="00EF25F0">
        <w:t>e</w:t>
      </w:r>
      <w:r w:rsidRPr="00EF25F0">
        <w:rPr>
          <w:spacing w:val="2"/>
        </w:rPr>
        <w:t xml:space="preserve"> </w:t>
      </w:r>
      <w:r w:rsidRPr="00EF25F0">
        <w:t>were</w:t>
      </w:r>
      <w:r w:rsidRPr="00EF25F0">
        <w:rPr>
          <w:spacing w:val="1"/>
        </w:rPr>
        <w:t xml:space="preserve"> </w:t>
      </w:r>
      <w:r w:rsidRPr="00EF25F0">
        <w:t>re</w:t>
      </w:r>
      <w:r w:rsidRPr="00EF25F0">
        <w:rPr>
          <w:spacing w:val="-1"/>
        </w:rPr>
        <w:t>d</w:t>
      </w:r>
      <w:r w:rsidRPr="00EF25F0">
        <w:t>istri</w:t>
      </w:r>
      <w:r w:rsidRPr="00EF25F0">
        <w:rPr>
          <w:spacing w:val="-1"/>
        </w:rPr>
        <w:t>bu</w:t>
      </w:r>
      <w:r w:rsidRPr="00EF25F0">
        <w:t xml:space="preserve">ted </w:t>
      </w:r>
      <w:r w:rsidRPr="00EF25F0">
        <w:rPr>
          <w:spacing w:val="-1"/>
        </w:rPr>
        <w:t>p</w:t>
      </w:r>
      <w:r w:rsidRPr="00EF25F0">
        <w:t>r</w:t>
      </w:r>
      <w:r w:rsidRPr="00EF25F0">
        <w:rPr>
          <w:spacing w:val="1"/>
        </w:rPr>
        <w:t>o</w:t>
      </w:r>
      <w:r w:rsidRPr="00EF25F0">
        <w:t>-ra</w:t>
      </w:r>
      <w:r w:rsidRPr="00EF25F0">
        <w:rPr>
          <w:spacing w:val="1"/>
        </w:rPr>
        <w:t>t</w:t>
      </w:r>
      <w:r w:rsidRPr="00EF25F0">
        <w:t>a</w:t>
      </w:r>
      <w:r w:rsidRPr="00EF25F0">
        <w:rPr>
          <w:spacing w:val="1"/>
        </w:rPr>
        <w:t xml:space="preserve"> </w:t>
      </w:r>
      <w:r w:rsidRPr="00EF25F0">
        <w:t>wit</w:t>
      </w:r>
      <w:r w:rsidRPr="00EF25F0">
        <w:rPr>
          <w:spacing w:val="-1"/>
        </w:rPr>
        <w:t>h</w:t>
      </w:r>
      <w:r w:rsidRPr="00EF25F0">
        <w:t>in ca</w:t>
      </w:r>
      <w:r w:rsidRPr="00EF25F0">
        <w:rPr>
          <w:spacing w:val="-1"/>
        </w:rPr>
        <w:t>u</w:t>
      </w:r>
      <w:r w:rsidRPr="00EF25F0">
        <w:t>s</w:t>
      </w:r>
      <w:r w:rsidRPr="00EF25F0">
        <w:rPr>
          <w:spacing w:val="1"/>
        </w:rPr>
        <w:t>e</w:t>
      </w:r>
      <w:r w:rsidRPr="00EF25F0">
        <w:t>-s</w:t>
      </w:r>
      <w:r w:rsidRPr="00EF25F0">
        <w:rPr>
          <w:spacing w:val="1"/>
        </w:rPr>
        <w:t>e</w:t>
      </w:r>
      <w:r w:rsidRPr="00EF25F0">
        <w:t>x</w:t>
      </w:r>
      <w:r w:rsidRPr="00EF25F0">
        <w:rPr>
          <w:spacing w:val="1"/>
        </w:rPr>
        <w:t xml:space="preserve"> </w:t>
      </w:r>
      <w:r w:rsidRPr="00EF25F0">
        <w:rPr>
          <w:spacing w:val="-1"/>
        </w:rPr>
        <w:t>g</w:t>
      </w:r>
      <w:r w:rsidRPr="00EF25F0">
        <w:t>r</w:t>
      </w:r>
      <w:r w:rsidRPr="00EF25F0">
        <w:rPr>
          <w:spacing w:val="1"/>
        </w:rPr>
        <w:t>o</w:t>
      </w:r>
      <w:r w:rsidRPr="00EF25F0">
        <w:rPr>
          <w:spacing w:val="-1"/>
        </w:rPr>
        <w:t>up</w:t>
      </w:r>
      <w:r w:rsidRPr="00EF25F0">
        <w:t>s</w:t>
      </w:r>
      <w:r w:rsidRPr="00EF25F0">
        <w:rPr>
          <w:spacing w:val="1"/>
        </w:rPr>
        <w:t xml:space="preserve"> o</w:t>
      </w:r>
      <w:r w:rsidRPr="00EF25F0">
        <w:t>f</w:t>
      </w:r>
      <w:r w:rsidRPr="00EF25F0">
        <w:rPr>
          <w:spacing w:val="1"/>
        </w:rPr>
        <w:t xml:space="preserve"> k</w:t>
      </w:r>
      <w:r w:rsidRPr="00EF25F0">
        <w:rPr>
          <w:spacing w:val="-1"/>
        </w:rPr>
        <w:t>n</w:t>
      </w:r>
      <w:r w:rsidRPr="00EF25F0">
        <w:rPr>
          <w:spacing w:val="1"/>
        </w:rPr>
        <w:t>o</w:t>
      </w:r>
      <w:r w:rsidRPr="00EF25F0">
        <w:t>wn a</w:t>
      </w:r>
      <w:r w:rsidRPr="00EF25F0">
        <w:rPr>
          <w:spacing w:val="-1"/>
        </w:rPr>
        <w:t>g</w:t>
      </w:r>
      <w:r w:rsidRPr="00EF25F0">
        <w:rPr>
          <w:spacing w:val="1"/>
        </w:rPr>
        <w:t>e</w:t>
      </w:r>
      <w:r w:rsidRPr="00EF25F0">
        <w:t xml:space="preserve">s. </w:t>
      </w:r>
    </w:p>
    <w:p w14:paraId="7FBAEBBA" w14:textId="77777777" w:rsidR="00EC2915" w:rsidRPr="00A96255" w:rsidRDefault="00EC2915" w:rsidP="00576CFA">
      <w:pPr>
        <w:pStyle w:val="MText"/>
      </w:pPr>
    </w:p>
    <w:p w14:paraId="17735630" w14:textId="21F9537C"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r w:rsidR="00E739C8" w:rsidRPr="004D3AFA">
        <w:t xml:space="preserve"> </w:t>
      </w:r>
      <w:r w:rsidR="00E739C8">
        <w:rPr>
          <w:color w:val="B4B4B4"/>
          <w:sz w:val="20"/>
        </w:rPr>
        <w:t>(IMPUTATION)</w:t>
      </w:r>
    </w:p>
    <w:p w14:paraId="0FBB187F" w14:textId="28065DB8" w:rsidR="00B50096" w:rsidRPr="001C6C9C" w:rsidRDefault="00D51E7C" w:rsidP="00B50096">
      <w:pPr>
        <w:pStyle w:val="paragraph"/>
        <w:numPr>
          <w:ilvl w:val="0"/>
          <w:numId w:val="5"/>
        </w:numPr>
        <w:shd w:val="clear" w:color="auto" w:fill="FFFFFF"/>
        <w:spacing w:before="0" w:beforeAutospacing="0" w:after="0" w:afterAutospacing="0"/>
        <w:ind w:left="135" w:firstLine="0"/>
        <w:textAlignment w:val="baseline"/>
        <w:rPr>
          <w:rStyle w:val="normaltextrun"/>
          <w:rFonts w:ascii="Calibri" w:hAnsi="Calibri"/>
          <w:b/>
          <w:color w:val="4A4A4A"/>
          <w:lang w:val="en-GB"/>
        </w:rPr>
      </w:pPr>
      <w:r w:rsidRPr="001C6C9C">
        <w:rPr>
          <w:rStyle w:val="normaltextrun"/>
          <w:rFonts w:ascii="Calibri" w:hAnsi="Calibri"/>
          <w:b/>
          <w:color w:val="4A4A4A"/>
          <w:sz w:val="21"/>
          <w:lang w:val="en-GB"/>
        </w:rPr>
        <w:t>At country level</w:t>
      </w:r>
      <w:r w:rsidR="00B50096" w:rsidRPr="001C6C9C">
        <w:rPr>
          <w:rStyle w:val="normaltextrun"/>
          <w:rFonts w:ascii="Calibri" w:hAnsi="Calibri"/>
          <w:b/>
          <w:color w:val="4A4A4A"/>
          <w:sz w:val="21"/>
          <w:lang w:val="en-GB"/>
        </w:rPr>
        <w:t xml:space="preserve">: </w:t>
      </w:r>
    </w:p>
    <w:p w14:paraId="17A76A53" w14:textId="77777777" w:rsidR="00B50096" w:rsidRDefault="00B50096" w:rsidP="000710DF">
      <w:pPr>
        <w:pStyle w:val="NoSpacing"/>
        <w:rPr>
          <w:rFonts w:ascii="Segoe UI" w:hAnsi="Segoe UI" w:cs="Segoe UI"/>
          <w:sz w:val="18"/>
          <w:szCs w:val="18"/>
        </w:rPr>
      </w:pPr>
      <w:r>
        <w:rPr>
          <w:rStyle w:val="eop"/>
          <w:color w:val="4A4A4A"/>
          <w:sz w:val="21"/>
          <w:szCs w:val="21"/>
        </w:rPr>
        <w:t> </w:t>
      </w:r>
    </w:p>
    <w:p w14:paraId="0CA6AFBF" w14:textId="77777777" w:rsidR="00B50096" w:rsidRDefault="00B50096" w:rsidP="000710DF">
      <w:pPr>
        <w:pStyle w:val="paragraph"/>
        <w:shd w:val="clear" w:color="auto" w:fill="FFFFFF"/>
        <w:spacing w:before="0" w:beforeAutospacing="0" w:after="0" w:afterAutospacing="0" w:line="276" w:lineRule="auto"/>
        <w:ind w:left="495"/>
        <w:textAlignment w:val="baseline"/>
        <w:rPr>
          <w:rFonts w:ascii="Segoe UI" w:hAnsi="Segoe UI" w:cs="Segoe UI"/>
          <w:sz w:val="18"/>
          <w:szCs w:val="18"/>
        </w:rPr>
      </w:pPr>
      <w:r>
        <w:rPr>
          <w:rStyle w:val="normaltextrun"/>
          <w:rFonts w:ascii="Calibri" w:hAnsi="Calibri" w:cs="Calibri"/>
          <w:color w:val="4A4A4A"/>
          <w:sz w:val="21"/>
          <w:szCs w:val="21"/>
          <w:lang w:val="en-GB"/>
        </w:rPr>
        <w:t>For countries with high-quality cause-of-death statistics, interpolation/extrapolation was done for missing country-years; for countries with only low-quality or no data on causes of death, modelling was used. Complete methodology may be found here:</w:t>
      </w:r>
      <w:r>
        <w:rPr>
          <w:rStyle w:val="eop"/>
          <w:rFonts w:ascii="Calibri" w:hAnsi="Calibri" w:cs="Calibri"/>
          <w:color w:val="4A4A4A"/>
          <w:sz w:val="21"/>
          <w:szCs w:val="21"/>
        </w:rPr>
        <w:t> </w:t>
      </w:r>
    </w:p>
    <w:p w14:paraId="71B0F1B3" w14:textId="675957AA" w:rsidR="00B50096" w:rsidRDefault="00B50096" w:rsidP="000710DF">
      <w:pPr>
        <w:pStyle w:val="paragraph"/>
        <w:shd w:val="clear" w:color="auto" w:fill="FFFFFF"/>
        <w:spacing w:before="0" w:beforeAutospacing="0" w:after="0" w:afterAutospacing="0" w:line="276" w:lineRule="auto"/>
        <w:ind w:left="495"/>
        <w:textAlignment w:val="baseline"/>
        <w:rPr>
          <w:rFonts w:ascii="Segoe UI" w:hAnsi="Segoe UI" w:cs="Segoe UI"/>
          <w:sz w:val="18"/>
          <w:szCs w:val="18"/>
        </w:rPr>
      </w:pPr>
      <w:r>
        <w:rPr>
          <w:rStyle w:val="normaltextrun"/>
          <w:rFonts w:ascii="Calibri" w:hAnsi="Calibri" w:cs="Calibri"/>
          <w:color w:val="4A4A4A"/>
          <w:sz w:val="21"/>
          <w:szCs w:val="21"/>
          <w:lang w:val="en-GB"/>
        </w:rPr>
        <w:t>WHO methods and data sources for global causes of death, 2000–</w:t>
      </w:r>
      <w:r w:rsidR="00D63D65">
        <w:rPr>
          <w:rStyle w:val="normaltextrun"/>
          <w:rFonts w:ascii="Calibri" w:hAnsi="Calibri" w:cs="Calibri"/>
          <w:color w:val="4A4A4A"/>
          <w:sz w:val="21"/>
          <w:szCs w:val="21"/>
          <w:lang w:val="en-GB"/>
        </w:rPr>
        <w:t>2021</w:t>
      </w:r>
      <w:r w:rsidR="00D63D65">
        <w:rPr>
          <w:rStyle w:val="normaltextrun"/>
          <w:color w:val="4A4A4A"/>
          <w:sz w:val="21"/>
          <w:szCs w:val="21"/>
          <w:lang w:val="en-GB"/>
        </w:rPr>
        <w:t> </w:t>
      </w:r>
      <w:r w:rsidRPr="000710DF">
        <w:rPr>
          <w:rStyle w:val="normaltextrun"/>
          <w:rFonts w:ascii="Calibri" w:hAnsi="Calibri"/>
          <w:color w:val="4A4A4A"/>
          <w:sz w:val="22"/>
          <w:lang w:val="en-GB"/>
        </w:rPr>
        <w:t>(</w:t>
      </w:r>
      <w:r w:rsidR="00D63D65" w:rsidRPr="00D63D65">
        <w:rPr>
          <w:rStyle w:val="MTextChar"/>
          <w:rFonts w:asciiTheme="minorHAnsi" w:hAnsiTheme="minorHAnsi"/>
        </w:rPr>
        <w:t>https://www.who.int/data/global-health-estimates</w:t>
      </w:r>
      <w:r w:rsidR="00F30103" w:rsidRPr="000710DF">
        <w:rPr>
          <w:rStyle w:val="MTextChar"/>
          <w:rFonts w:asciiTheme="minorHAnsi" w:hAnsiTheme="minorHAnsi"/>
        </w:rPr>
        <w:t>)</w:t>
      </w:r>
      <w:r>
        <w:rPr>
          <w:rStyle w:val="eop"/>
          <w:rFonts w:ascii="Calibri" w:hAnsi="Calibri" w:cs="Calibri"/>
          <w:color w:val="004080"/>
          <w:sz w:val="22"/>
          <w:szCs w:val="22"/>
        </w:rPr>
        <w:t> </w:t>
      </w:r>
    </w:p>
    <w:p w14:paraId="13C58B1F" w14:textId="77777777" w:rsidR="00B50096" w:rsidRDefault="00B50096" w:rsidP="00E84317">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lastRenderedPageBreak/>
        <w:t> </w:t>
      </w:r>
    </w:p>
    <w:p w14:paraId="1C76E0F5" w14:textId="77777777" w:rsidR="00B50096" w:rsidRPr="001C6C9C" w:rsidRDefault="00B50096" w:rsidP="00B50096">
      <w:pPr>
        <w:pStyle w:val="paragraph"/>
        <w:numPr>
          <w:ilvl w:val="0"/>
          <w:numId w:val="6"/>
        </w:numPr>
        <w:shd w:val="clear" w:color="auto" w:fill="FFFFFF"/>
        <w:spacing w:before="0" w:beforeAutospacing="0" w:after="0" w:afterAutospacing="0"/>
        <w:ind w:left="135" w:firstLine="0"/>
        <w:textAlignment w:val="baseline"/>
        <w:rPr>
          <w:rStyle w:val="normaltextrun"/>
          <w:rFonts w:ascii="Calibri" w:hAnsi="Calibri"/>
          <w:b/>
          <w:color w:val="4A4A4A"/>
          <w:lang w:val="en-GB"/>
        </w:rPr>
      </w:pPr>
      <w:r w:rsidRPr="001C6C9C">
        <w:rPr>
          <w:rStyle w:val="normaltextrun"/>
          <w:rFonts w:ascii="Calibri" w:hAnsi="Calibri"/>
          <w:b/>
          <w:color w:val="4A4A4A"/>
          <w:sz w:val="21"/>
          <w:lang w:val="en-GB"/>
        </w:rPr>
        <w:t>At regional and global levels</w:t>
      </w:r>
      <w:r w:rsidRPr="001C6C9C">
        <w:rPr>
          <w:rStyle w:val="normaltextrun"/>
          <w:b/>
          <w:color w:val="4A4A4A"/>
          <w:lang w:val="en-GB"/>
        </w:rPr>
        <w:t> </w:t>
      </w:r>
    </w:p>
    <w:p w14:paraId="17A0CF6D" w14:textId="77777777" w:rsidR="00B50096" w:rsidRDefault="00B50096" w:rsidP="000710DF">
      <w:pPr>
        <w:pStyle w:val="NoSpacing"/>
        <w:rPr>
          <w:rFonts w:ascii="Segoe UI" w:hAnsi="Segoe UI" w:cs="Segoe UI"/>
          <w:sz w:val="18"/>
          <w:szCs w:val="18"/>
        </w:rPr>
      </w:pPr>
      <w:r>
        <w:rPr>
          <w:rStyle w:val="eop"/>
          <w:color w:val="4A4A4A"/>
          <w:sz w:val="21"/>
          <w:szCs w:val="21"/>
        </w:rPr>
        <w:t> </w:t>
      </w:r>
    </w:p>
    <w:p w14:paraId="0F4259D3" w14:textId="0D595ADC" w:rsidR="00B50096" w:rsidRDefault="00B50096" w:rsidP="00B50096">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N</w:t>
      </w:r>
      <w:r w:rsidR="0081261C">
        <w:rPr>
          <w:rStyle w:val="normaltextrun"/>
          <w:rFonts w:ascii="Calibri" w:hAnsi="Calibri" w:cs="Calibri"/>
          <w:color w:val="4A4A4A"/>
          <w:sz w:val="21"/>
          <w:szCs w:val="21"/>
          <w:lang w:val="en-GB"/>
        </w:rPr>
        <w:t>ot applicable</w:t>
      </w:r>
      <w:r>
        <w:rPr>
          <w:rStyle w:val="eop"/>
          <w:rFonts w:ascii="Calibri" w:hAnsi="Calibri" w:cs="Calibri"/>
          <w:color w:val="4A4A4A"/>
          <w:sz w:val="21"/>
          <w:szCs w:val="21"/>
        </w:rPr>
        <w:t> </w:t>
      </w:r>
    </w:p>
    <w:p w14:paraId="27033367" w14:textId="2BE4C071" w:rsidR="00EC2915" w:rsidRPr="00A96255" w:rsidRDefault="00EC2915" w:rsidP="00576CFA">
      <w:pPr>
        <w:pStyle w:val="MText"/>
      </w:pPr>
    </w:p>
    <w:p w14:paraId="51FCD280" w14:textId="2956FA34"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w:t>
      </w:r>
      <w:r w:rsidR="00E739C8" w:rsidRPr="00A96255">
        <w:t xml:space="preserve"> </w:t>
      </w:r>
      <w:r w:rsidR="00E739C8">
        <w:rPr>
          <w:color w:val="B4B4B4"/>
          <w:sz w:val="20"/>
        </w:rPr>
        <w:t>(REG_AGG)</w:t>
      </w:r>
    </w:p>
    <w:p w14:paraId="53C9D723" w14:textId="727160CE" w:rsidR="00B50096" w:rsidRDefault="00B50096" w:rsidP="000710DF">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Country estimates of number of deaths by cause</w:t>
      </w:r>
      <w:r w:rsidR="0027636A">
        <w:rPr>
          <w:rStyle w:val="normaltextrun"/>
          <w:rFonts w:ascii="Calibri" w:hAnsi="Calibri" w:cs="Calibri"/>
          <w:color w:val="4A4A4A"/>
          <w:sz w:val="21"/>
          <w:szCs w:val="21"/>
          <w:lang w:val="en-GB"/>
        </w:rPr>
        <w:t>, along with corresponding population estimates,</w:t>
      </w:r>
      <w:r w:rsidR="00F30103">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are summed to obtain regional and global aggregates.</w:t>
      </w:r>
      <w:r>
        <w:rPr>
          <w:rStyle w:val="eop"/>
          <w:rFonts w:ascii="Calibri" w:hAnsi="Calibri" w:cs="Calibri"/>
          <w:color w:val="4A4A4A"/>
          <w:sz w:val="21"/>
          <w:szCs w:val="21"/>
        </w:rPr>
        <w:t> </w:t>
      </w:r>
    </w:p>
    <w:p w14:paraId="2EA010B7" w14:textId="77777777" w:rsidR="00EC2915" w:rsidRPr="00A96255" w:rsidRDefault="00EC2915" w:rsidP="00576CFA">
      <w:pPr>
        <w:pStyle w:val="MText"/>
      </w:pPr>
    </w:p>
    <w:p w14:paraId="71213FF2" w14:textId="5F8AC221"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00E739C8" w:rsidRPr="00A96255">
        <w:t xml:space="preserve"> </w:t>
      </w:r>
      <w:r w:rsidR="00E739C8">
        <w:rPr>
          <w:color w:val="B4B4B4"/>
          <w:sz w:val="20"/>
        </w:rPr>
        <w:t>(DOC_METHOD)</w:t>
      </w:r>
    </w:p>
    <w:p w14:paraId="245C9A20" w14:textId="3AFF4FA2" w:rsidR="00F334A7" w:rsidRPr="00A96255" w:rsidRDefault="00F334A7" w:rsidP="00576CFA">
      <w:pPr>
        <w:pStyle w:val="MText"/>
      </w:pPr>
      <w:r>
        <w:t xml:space="preserve">The cause of death categories (including suicides) </w:t>
      </w:r>
      <w:proofErr w:type="gramStart"/>
      <w:r>
        <w:t>follow</w:t>
      </w:r>
      <w:proofErr w:type="gramEnd"/>
      <w:r>
        <w:t xml:space="preserve"> the definitions </w:t>
      </w:r>
      <w:r w:rsidRPr="00F334A7">
        <w:t>in terms of the International Classification of Diseases, Tenth Revision (ICD-10)</w:t>
      </w:r>
      <w:r>
        <w:t xml:space="preserve">. Please see Annex Table A of the </w:t>
      </w:r>
      <w:r>
        <w:rPr>
          <w:rStyle w:val="normaltextrun"/>
          <w:rFonts w:ascii="Calibri" w:hAnsi="Calibri" w:cs="Calibri"/>
        </w:rPr>
        <w:t>WHO methods and data sources for global causes of death, 2000–</w:t>
      </w:r>
      <w:r w:rsidR="00F446F7">
        <w:rPr>
          <w:rStyle w:val="normaltextrun"/>
          <w:rFonts w:ascii="Calibri" w:hAnsi="Calibri" w:cs="Calibri"/>
        </w:rPr>
        <w:t>2021</w:t>
      </w:r>
      <w:r w:rsidR="00F446F7">
        <w:rPr>
          <w:rStyle w:val="normaltextrun"/>
        </w:rPr>
        <w:t> </w:t>
      </w:r>
      <w:r w:rsidRPr="000710DF">
        <w:rPr>
          <w:rStyle w:val="normaltextrun"/>
          <w:rFonts w:ascii="Calibri" w:hAnsi="Calibri"/>
          <w:sz w:val="22"/>
        </w:rPr>
        <w:t>(</w:t>
      </w:r>
      <w:r w:rsidR="00F446F7" w:rsidRPr="00F446F7">
        <w:t>https://www.who.int/data/global-health-estimates</w:t>
      </w:r>
      <w:r>
        <w:t>)</w:t>
      </w:r>
    </w:p>
    <w:p w14:paraId="2939895F" w14:textId="77777777" w:rsidR="00EC2915" w:rsidRPr="00A96255" w:rsidRDefault="00EC2915" w:rsidP="00576CFA">
      <w:pPr>
        <w:pStyle w:val="MText"/>
      </w:pPr>
    </w:p>
    <w:p w14:paraId="494C36E8" w14:textId="655431BD" w:rsidR="00E1050F" w:rsidRPr="00A96255" w:rsidRDefault="00576CFA" w:rsidP="00F719A8">
      <w:pPr>
        <w:pStyle w:val="MHeader2"/>
      </w:pPr>
      <w:bookmarkStart w:id="5" w:name="_Hlk64277279"/>
      <w:r w:rsidRPr="00A96255">
        <w:t xml:space="preserve">4.i. </w:t>
      </w:r>
      <w:r w:rsidR="00E1050F" w:rsidRPr="00A96255">
        <w:t>Quality management</w:t>
      </w:r>
      <w:r w:rsidR="00E739C8" w:rsidRPr="00A96255">
        <w:t xml:space="preserve"> </w:t>
      </w:r>
      <w:r w:rsidR="00E739C8">
        <w:rPr>
          <w:color w:val="B4B4B4"/>
          <w:sz w:val="20"/>
        </w:rPr>
        <w:t>(QUALITY_MGMNT)</w:t>
      </w:r>
    </w:p>
    <w:p w14:paraId="53B510D5" w14:textId="6F9ECC1F" w:rsidR="00A36128" w:rsidRPr="00F30103" w:rsidRDefault="00A36128" w:rsidP="001A215B">
      <w:pPr>
        <w:pStyle w:val="MText"/>
      </w:pPr>
      <w:r w:rsidRPr="001A215B">
        <w:t xml:space="preserve">The World Health Organization (WHO) established a Reference Group on Health Statistics in 2013 to provide advice on population health statistics to </w:t>
      </w:r>
      <w:r w:rsidR="00F143B0">
        <w:t xml:space="preserve">the organization </w:t>
      </w:r>
      <w:r w:rsidRPr="001A215B">
        <w:t>with a focus on methodological and data issues related to the measurement of mortality and cause-of-death patterns. The group facilitated interaction between multilateral development institutions and other independent academic groups with WHO expert groups in specific subject areas including methods to the estimation on causes of death</w:t>
      </w:r>
      <w:r w:rsidR="00F30103">
        <w:t>.</w:t>
      </w:r>
    </w:p>
    <w:p w14:paraId="5484B16D" w14:textId="77777777" w:rsidR="00EC2915" w:rsidRPr="00A96255" w:rsidRDefault="00EC2915" w:rsidP="00576CFA">
      <w:pPr>
        <w:pStyle w:val="MText"/>
      </w:pPr>
    </w:p>
    <w:p w14:paraId="17B979CA" w14:textId="3B7BE5F8" w:rsidR="00E1050F" w:rsidRPr="00A96255" w:rsidRDefault="00E1050F" w:rsidP="00F719A8">
      <w:pPr>
        <w:pStyle w:val="MHeader2"/>
      </w:pPr>
      <w:r w:rsidRPr="00A96255">
        <w:t>4.j Quality assurance</w:t>
      </w:r>
      <w:r w:rsidR="00E739C8" w:rsidRPr="00A96255">
        <w:t xml:space="preserve"> </w:t>
      </w:r>
      <w:r w:rsidR="00E739C8">
        <w:rPr>
          <w:color w:val="B4B4B4"/>
          <w:sz w:val="20"/>
        </w:rPr>
        <w:t>(QUALITY_ASSURE)</w:t>
      </w:r>
    </w:p>
    <w:p w14:paraId="763CF1F2" w14:textId="09825551" w:rsidR="00A36128" w:rsidRPr="00F30103" w:rsidRDefault="00A36128" w:rsidP="00F30103">
      <w:pPr>
        <w:pStyle w:val="MText"/>
      </w:pPr>
      <w:r w:rsidRPr="001A215B">
        <w:t xml:space="preserve">The data principles of the World Health Organization (WHO) provide a foundation for continually reaffirming trust in WHO’s information and evidence on public health. The five principles are designed to provide a framework for data governance for </w:t>
      </w:r>
      <w:r w:rsidR="00F143B0">
        <w:t>the organization</w:t>
      </w:r>
      <w:r w:rsidRPr="001A215B">
        <w:t xml:space="preserve">. The principles are intended primarily for use by WHO staff across all parts of the </w:t>
      </w:r>
      <w:r w:rsidR="00F143B0">
        <w:t>o</w:t>
      </w:r>
      <w:r w:rsidRPr="001A215B">
        <w:t xml:space="preserve">rganization </w:t>
      </w:r>
      <w:proofErr w:type="gramStart"/>
      <w:r w:rsidRPr="001A215B">
        <w:t>in order to</w:t>
      </w:r>
      <w:proofErr w:type="gramEnd"/>
      <w:r w:rsidRPr="001A215B">
        <w:t xml:space="preserve"> help define the values and standards that govern how data that flows into, across and out of </w:t>
      </w:r>
      <w:r w:rsidR="00F143B0">
        <w:t>the organization</w:t>
      </w:r>
      <w:r w:rsidR="00F143B0" w:rsidRPr="001A215B">
        <w:t xml:space="preserve"> </w:t>
      </w:r>
      <w:r w:rsidRPr="001A215B">
        <w:t xml:space="preserve">is collected, processed, shared and used. These principles are made publicly available so that they may be used and referred to by Member States and non-state actors collaborating with </w:t>
      </w:r>
      <w:r w:rsidR="00F143B0">
        <w:t>the organization</w:t>
      </w:r>
      <w:r w:rsidRPr="001A215B">
        <w:t>.</w:t>
      </w:r>
    </w:p>
    <w:p w14:paraId="03EF3244" w14:textId="77777777" w:rsidR="00EC2915" w:rsidRPr="00A96255" w:rsidRDefault="00EC2915" w:rsidP="00576CFA">
      <w:pPr>
        <w:pStyle w:val="MText"/>
      </w:pPr>
    </w:p>
    <w:p w14:paraId="34ADD322" w14:textId="0C443181" w:rsidR="00E1050F" w:rsidRPr="00A96255" w:rsidRDefault="00576CFA" w:rsidP="00F719A8">
      <w:pPr>
        <w:pStyle w:val="MHeader2"/>
      </w:pPr>
      <w:r w:rsidRPr="00A96255">
        <w:t>4.k Qua</w:t>
      </w:r>
      <w:r w:rsidR="00E1050F" w:rsidRPr="00A96255">
        <w:t>lity assessment</w:t>
      </w:r>
      <w:r w:rsidR="00E739C8" w:rsidRPr="00A96255">
        <w:t xml:space="preserve"> </w:t>
      </w:r>
      <w:r w:rsidR="00E739C8">
        <w:rPr>
          <w:color w:val="B4B4B4"/>
          <w:sz w:val="20"/>
        </w:rPr>
        <w:t>(QUALITY_ASSMNT)</w:t>
      </w:r>
    </w:p>
    <w:p w14:paraId="7D36ED89" w14:textId="680FCB02" w:rsidR="00A36128" w:rsidRPr="001A215B" w:rsidRDefault="00A36128" w:rsidP="001A215B">
      <w:pPr>
        <w:pStyle w:val="MText"/>
      </w:pPr>
      <w:r w:rsidRPr="001A215B">
        <w:t xml:space="preserve">All statements and claims made officially by WHO headquarters about population-level (country, regional, global) estimates of health status (e.g. mortality, incidence, prevalence, burden of disease), are cleared by the Department of Data and Analytics (DNA) through the executive clearance process. This includes </w:t>
      </w:r>
      <w:r w:rsidR="000A2B99" w:rsidRPr="001A215B">
        <w:t>the</w:t>
      </w:r>
      <w:r w:rsidRPr="001A215B">
        <w:t xml:space="preserve"> </w:t>
      </w:r>
      <w:r w:rsidR="00F143B0">
        <w:t>Guidelines for Accurate and Transparent Health Estimates Reporting (</w:t>
      </w:r>
      <w:r w:rsidRPr="001A215B">
        <w:t>GATHER</w:t>
      </w:r>
      <w:r w:rsidR="00F143B0">
        <w:t>)</w:t>
      </w:r>
      <w:r w:rsidRPr="001A215B">
        <w:t xml:space="preserve"> statement. GATHER promotes best practices in reporting health estimates using a checklist of 18 items that should be reported every time new global health estimates are published, including descriptions of input data and estimation methods. Developed by a working group convened by the World Health Organization, the guidelines aim to define and promote good practice in reporting health estimates.</w:t>
      </w:r>
    </w:p>
    <w:bookmarkEnd w:id="5"/>
    <w:p w14:paraId="5B7C52CE" w14:textId="77777777" w:rsidR="00576CFA" w:rsidRPr="00A96255" w:rsidRDefault="00576CFA" w:rsidP="00576CFA">
      <w:pPr>
        <w:pStyle w:val="MText"/>
      </w:pPr>
    </w:p>
    <w:p w14:paraId="17787B3C" w14:textId="34197093" w:rsidR="00E1050F" w:rsidRPr="00A96255" w:rsidRDefault="00576CFA" w:rsidP="000412A0">
      <w:pPr>
        <w:pStyle w:val="MHeader"/>
        <w:spacing w:after="100"/>
      </w:pPr>
      <w:r w:rsidRPr="00A96255">
        <w:t>5. Data availability and disaggregation</w:t>
      </w:r>
      <w:r w:rsidR="00E739C8" w:rsidRPr="00A96255">
        <w:t xml:space="preserve"> </w:t>
      </w:r>
      <w:r w:rsidR="00E739C8">
        <w:rPr>
          <w:color w:val="B4B4B4"/>
          <w:sz w:val="20"/>
        </w:rPr>
        <w:t>(COVERAGE)</w:t>
      </w:r>
    </w:p>
    <w:p w14:paraId="464A8CCF" w14:textId="61015CA4" w:rsidR="00576CFA" w:rsidRPr="001C6C9C" w:rsidRDefault="00D51E7C" w:rsidP="00F143B0">
      <w:pPr>
        <w:pStyle w:val="MText"/>
        <w:rPr>
          <w:b/>
        </w:rPr>
      </w:pPr>
      <w:r w:rsidRPr="001C6C9C">
        <w:rPr>
          <w:b/>
        </w:rPr>
        <w:lastRenderedPageBreak/>
        <w:t>Data availability:</w:t>
      </w:r>
    </w:p>
    <w:p w14:paraId="06FF7F39" w14:textId="70779DBC" w:rsidR="00486500" w:rsidRDefault="00F97E6B" w:rsidP="000710DF">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Almost </w:t>
      </w:r>
      <w:r w:rsidR="00486500">
        <w:rPr>
          <w:rStyle w:val="normaltextrun"/>
          <w:rFonts w:ascii="Calibri" w:hAnsi="Calibri" w:cs="Calibri"/>
          <w:color w:val="4A4A4A"/>
          <w:sz w:val="21"/>
          <w:szCs w:val="21"/>
          <w:lang w:val="en-GB"/>
        </w:rPr>
        <w:t xml:space="preserve">70 countries currently provide WHO with regular high-quality data on mortality by age, sex and causes of death, and another </w:t>
      </w:r>
      <w:r>
        <w:rPr>
          <w:rStyle w:val="normaltextrun"/>
          <w:rFonts w:ascii="Calibri" w:hAnsi="Calibri" w:cs="Calibri"/>
          <w:color w:val="4A4A4A"/>
          <w:sz w:val="21"/>
          <w:szCs w:val="21"/>
          <w:lang w:val="en-GB"/>
        </w:rPr>
        <w:t xml:space="preserve">58 </w:t>
      </w:r>
      <w:r w:rsidR="00486500">
        <w:rPr>
          <w:rStyle w:val="normaltextrun"/>
          <w:rFonts w:ascii="Calibri" w:hAnsi="Calibri" w:cs="Calibri"/>
          <w:color w:val="4A4A4A"/>
          <w:sz w:val="21"/>
          <w:szCs w:val="21"/>
          <w:lang w:val="en-GB"/>
        </w:rPr>
        <w:t>countries submit data of lower quality. However, comprehensive cause-of-death estimates are calculated by WHO systematically for </w:t>
      </w:r>
      <w:proofErr w:type="gramStart"/>
      <w:r w:rsidR="00486500">
        <w:rPr>
          <w:rStyle w:val="normaltextrun"/>
          <w:rFonts w:ascii="Calibri" w:hAnsi="Calibri" w:cs="Calibri"/>
          <w:color w:val="4A4A4A"/>
          <w:sz w:val="21"/>
          <w:szCs w:val="21"/>
          <w:lang w:val="en-GB"/>
        </w:rPr>
        <w:t>all of</w:t>
      </w:r>
      <w:proofErr w:type="gramEnd"/>
      <w:r w:rsidR="00486500">
        <w:rPr>
          <w:rStyle w:val="normaltextrun"/>
          <w:rFonts w:ascii="Calibri" w:hAnsi="Calibri" w:cs="Calibri"/>
          <w:color w:val="4A4A4A"/>
          <w:sz w:val="21"/>
          <w:szCs w:val="21"/>
          <w:lang w:val="en-GB"/>
        </w:rPr>
        <w:t> its Member States (with a certain population threshold) every 3 years.</w:t>
      </w:r>
      <w:r w:rsidR="00486500">
        <w:rPr>
          <w:rStyle w:val="eop"/>
          <w:rFonts w:ascii="Calibri" w:hAnsi="Calibri" w:cs="Calibri"/>
          <w:color w:val="4A4A4A"/>
          <w:sz w:val="21"/>
          <w:szCs w:val="21"/>
        </w:rPr>
        <w:t> </w:t>
      </w:r>
    </w:p>
    <w:p w14:paraId="2D0542F7" w14:textId="3DE6BFAB" w:rsidR="00D51E7C" w:rsidRPr="00C019E5" w:rsidRDefault="00D51E7C" w:rsidP="00576CFA">
      <w:pPr>
        <w:pStyle w:val="MText"/>
        <w:rPr>
          <w:highlight w:val="cyan"/>
        </w:rPr>
      </w:pPr>
    </w:p>
    <w:p w14:paraId="24A1ABE6" w14:textId="77777777" w:rsidR="004957DE" w:rsidRDefault="00D51E7C" w:rsidP="00576CFA">
      <w:pPr>
        <w:pStyle w:val="MText"/>
      </w:pPr>
      <w:r w:rsidRPr="001C6C9C">
        <w:rPr>
          <w:b/>
        </w:rPr>
        <w:t>Time series:</w:t>
      </w:r>
    </w:p>
    <w:p w14:paraId="5853D6F7" w14:textId="4FF05226" w:rsidR="00D51E7C" w:rsidRPr="001A215B" w:rsidRDefault="003B4864" w:rsidP="00576CFA">
      <w:pPr>
        <w:pStyle w:val="MText"/>
      </w:pPr>
      <w:r w:rsidRPr="001A215B">
        <w:t xml:space="preserve">From 2000 to </w:t>
      </w:r>
      <w:r w:rsidR="003167A4" w:rsidRPr="001A215B">
        <w:t>20</w:t>
      </w:r>
      <w:r w:rsidR="003167A4">
        <w:t>21</w:t>
      </w:r>
    </w:p>
    <w:p w14:paraId="760C013A" w14:textId="4597FCBD" w:rsidR="00D51E7C" w:rsidRPr="00C019E5" w:rsidRDefault="00D51E7C" w:rsidP="00576CFA">
      <w:pPr>
        <w:pStyle w:val="MText"/>
        <w:rPr>
          <w:highlight w:val="cyan"/>
        </w:rPr>
      </w:pPr>
    </w:p>
    <w:p w14:paraId="0A8B22A7" w14:textId="77777777" w:rsidR="00B50096" w:rsidRPr="001C6C9C" w:rsidRDefault="00D51E7C" w:rsidP="00576CFA">
      <w:pPr>
        <w:pStyle w:val="MText"/>
        <w:rPr>
          <w:b/>
        </w:rPr>
      </w:pPr>
      <w:r w:rsidRPr="001C6C9C">
        <w:rPr>
          <w:b/>
        </w:rPr>
        <w:t>Disaggregation:</w:t>
      </w:r>
      <w:r w:rsidR="00B50096" w:rsidRPr="001C6C9C">
        <w:rPr>
          <w:b/>
        </w:rPr>
        <w:t xml:space="preserve"> </w:t>
      </w:r>
    </w:p>
    <w:p w14:paraId="72C7C370" w14:textId="122A151C" w:rsidR="00D51E7C" w:rsidRDefault="00B50096" w:rsidP="00576CFA">
      <w:pPr>
        <w:pStyle w:val="MText"/>
        <w:rPr>
          <w:rStyle w:val="eop"/>
          <w:rFonts w:ascii="Calibri" w:hAnsi="Calibri" w:cs="Calibri"/>
        </w:rPr>
      </w:pPr>
      <w:r>
        <w:rPr>
          <w:rStyle w:val="normaltextrun"/>
          <w:rFonts w:ascii="Calibri" w:hAnsi="Calibri" w:cs="Calibri"/>
        </w:rPr>
        <w:t>Sex, age group</w:t>
      </w:r>
      <w:r>
        <w:rPr>
          <w:rStyle w:val="eop"/>
          <w:rFonts w:ascii="Calibri" w:hAnsi="Calibri" w:cs="Calibri"/>
        </w:rPr>
        <w:t> </w:t>
      </w:r>
    </w:p>
    <w:p w14:paraId="42E8CA56" w14:textId="77777777" w:rsidR="00D51E7C" w:rsidRPr="00A96255" w:rsidRDefault="00D51E7C" w:rsidP="00576CFA">
      <w:pPr>
        <w:pStyle w:val="MText"/>
      </w:pPr>
    </w:p>
    <w:p w14:paraId="4D0520F7" w14:textId="65635E99"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r w:rsidR="00E739C8" w:rsidRPr="00A96255">
        <w:t xml:space="preserve"> </w:t>
      </w:r>
      <w:r w:rsidR="00E739C8">
        <w:rPr>
          <w:color w:val="B4B4B4"/>
          <w:sz w:val="20"/>
        </w:rPr>
        <w:t>(COMPARABILITY)</w:t>
      </w:r>
    </w:p>
    <w:p w14:paraId="3595E072" w14:textId="6D8758D8" w:rsidR="00D51E7C" w:rsidRPr="001C6C9C" w:rsidRDefault="00D51E7C" w:rsidP="00576CFA">
      <w:pPr>
        <w:pStyle w:val="MText"/>
        <w:rPr>
          <w:b/>
        </w:rPr>
      </w:pPr>
      <w:r w:rsidRPr="001C6C9C">
        <w:rPr>
          <w:b/>
        </w:rPr>
        <w:t>Sources of discrepancies:</w:t>
      </w:r>
    </w:p>
    <w:p w14:paraId="7C683BEB" w14:textId="41F2C9EE" w:rsidR="00486500" w:rsidRDefault="00486500" w:rsidP="00576CFA">
      <w:pPr>
        <w:pStyle w:val="MText"/>
      </w:pPr>
      <w:r>
        <w:rPr>
          <w:rStyle w:val="normaltextrun"/>
          <w:rFonts w:ascii="Calibri" w:hAnsi="Calibri" w:cs="Calibri"/>
        </w:rPr>
        <w:t>In countries with high quality vital registration systems, point estimates sometimes differ primarily for two reasons: 1) WHO redistributes deaths with ill-defined cause of death (i.e. injuries of unknown intent, ICD codes Y10-Y34 and Y872) to suicide; and 2) WHO corrects for incomplete death registration.</w:t>
      </w:r>
      <w:r>
        <w:rPr>
          <w:rStyle w:val="eop"/>
          <w:rFonts w:ascii="Calibri" w:hAnsi="Calibri" w:cs="Calibri"/>
        </w:rPr>
        <w:t> </w:t>
      </w:r>
    </w:p>
    <w:p w14:paraId="5AB6DD91" w14:textId="77777777" w:rsidR="00F719A8" w:rsidRPr="00A96255" w:rsidRDefault="00F719A8" w:rsidP="00576CFA">
      <w:pPr>
        <w:pStyle w:val="MText"/>
      </w:pPr>
    </w:p>
    <w:p w14:paraId="76DF099C" w14:textId="6E8BC467" w:rsidR="00382CF3" w:rsidRPr="00A96255" w:rsidRDefault="00576CFA" w:rsidP="000412A0">
      <w:pPr>
        <w:pStyle w:val="MHeader"/>
        <w:spacing w:after="100"/>
      </w:pPr>
      <w:r w:rsidRPr="00A96255">
        <w:t>7</w:t>
      </w:r>
      <w:r w:rsidR="00382CF3" w:rsidRPr="00A96255">
        <w:t>. References and Documentation</w:t>
      </w:r>
      <w:r w:rsidR="00E739C8" w:rsidRPr="00A96255">
        <w:t xml:space="preserve"> </w:t>
      </w:r>
      <w:r w:rsidR="00E739C8">
        <w:rPr>
          <w:color w:val="B4B4B4"/>
          <w:sz w:val="20"/>
        </w:rPr>
        <w:t>(OTHER_DOC)</w:t>
      </w:r>
    </w:p>
    <w:p w14:paraId="6C43D855"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URL:</w:t>
      </w:r>
      <w:r>
        <w:rPr>
          <w:rStyle w:val="eop"/>
          <w:rFonts w:ascii="Calibri" w:hAnsi="Calibri" w:cs="Calibri"/>
          <w:color w:val="4A4A4A"/>
          <w:sz w:val="21"/>
          <w:szCs w:val="21"/>
        </w:rPr>
        <w:t> </w:t>
      </w:r>
    </w:p>
    <w:p w14:paraId="01CF1A1C" w14:textId="77777777" w:rsidR="00486500" w:rsidRDefault="00486500" w:rsidP="000710DF">
      <w:pPr>
        <w:pStyle w:val="NoSpacing"/>
        <w:rPr>
          <w:rFonts w:ascii="Segoe UI" w:hAnsi="Segoe UI" w:cs="Segoe UI"/>
          <w:sz w:val="18"/>
          <w:szCs w:val="18"/>
        </w:rPr>
      </w:pPr>
      <w:r>
        <w:rPr>
          <w:rStyle w:val="eop"/>
          <w:color w:val="4A4A4A"/>
          <w:sz w:val="21"/>
          <w:szCs w:val="21"/>
        </w:rPr>
        <w:t> </w:t>
      </w:r>
    </w:p>
    <w:p w14:paraId="012966F0" w14:textId="4CBCF7EC" w:rsidR="00486500" w:rsidRDefault="003B75F6" w:rsidP="00486500">
      <w:pPr>
        <w:pStyle w:val="paragraph"/>
        <w:shd w:val="clear" w:color="auto" w:fill="FFFFFF"/>
        <w:spacing w:before="0" w:beforeAutospacing="0" w:after="0" w:afterAutospacing="0"/>
        <w:textAlignment w:val="baseline"/>
        <w:rPr>
          <w:rFonts w:ascii="Segoe UI" w:hAnsi="Segoe UI" w:cs="Segoe UI"/>
          <w:sz w:val="18"/>
          <w:szCs w:val="18"/>
        </w:rPr>
      </w:pPr>
      <w:hyperlink r:id="rId11" w:history="1">
        <w:r w:rsidRPr="00125F14">
          <w:rPr>
            <w:rStyle w:val="Hyperlink"/>
            <w:rFonts w:ascii="Calibri" w:hAnsi="Calibri" w:cs="Calibri"/>
            <w:sz w:val="21"/>
            <w:szCs w:val="21"/>
            <w:lang w:val="en-GB"/>
          </w:rPr>
          <w:t>http://www.who.int/gho/en/</w:t>
        </w:r>
      </w:hyperlink>
      <w:r>
        <w:rPr>
          <w:rStyle w:val="normaltextrun"/>
          <w:rFonts w:ascii="Calibri" w:hAnsi="Calibri" w:cs="Calibri"/>
          <w:color w:val="4A4A4A"/>
          <w:sz w:val="21"/>
          <w:szCs w:val="21"/>
          <w:lang w:val="en-GB"/>
        </w:rPr>
        <w:t xml:space="preserve"> </w:t>
      </w:r>
      <w:r w:rsidR="00486500">
        <w:rPr>
          <w:rStyle w:val="eop"/>
          <w:rFonts w:ascii="Calibri" w:hAnsi="Calibri" w:cs="Calibri"/>
          <w:color w:val="4A4A4A"/>
          <w:sz w:val="21"/>
          <w:szCs w:val="21"/>
        </w:rPr>
        <w:t> </w:t>
      </w:r>
    </w:p>
    <w:p w14:paraId="2C5EB299"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7F664E7"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References:</w:t>
      </w:r>
      <w:r>
        <w:rPr>
          <w:rStyle w:val="eop"/>
          <w:rFonts w:ascii="Calibri" w:hAnsi="Calibri" w:cs="Calibri"/>
          <w:color w:val="4A4A4A"/>
          <w:sz w:val="21"/>
          <w:szCs w:val="21"/>
        </w:rPr>
        <w:t> </w:t>
      </w:r>
    </w:p>
    <w:p w14:paraId="0FB999D5" w14:textId="7AA530A0" w:rsidR="00486500" w:rsidRDefault="00486500" w:rsidP="000710DF">
      <w:pPr>
        <w:pStyle w:val="NoSpacing"/>
        <w:rPr>
          <w:rFonts w:ascii="Segoe UI" w:hAnsi="Segoe UI" w:cs="Segoe UI"/>
          <w:sz w:val="18"/>
          <w:szCs w:val="18"/>
        </w:rPr>
      </w:pPr>
    </w:p>
    <w:p w14:paraId="5E4F34AD" w14:textId="33073039" w:rsidR="00486500" w:rsidRDefault="00486500" w:rsidP="000710DF">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WHO methods and data sources for global causes of death, 2000–</w:t>
      </w:r>
      <w:r w:rsidR="00AB2484">
        <w:rPr>
          <w:rStyle w:val="normaltextrun"/>
          <w:rFonts w:ascii="Calibri" w:hAnsi="Calibri" w:cs="Calibri"/>
          <w:color w:val="4A4A4A"/>
          <w:sz w:val="21"/>
          <w:szCs w:val="21"/>
          <w:lang w:val="en-GB"/>
        </w:rPr>
        <w:t>2021</w:t>
      </w:r>
      <w:r w:rsidR="00AB2484">
        <w:rPr>
          <w:rStyle w:val="eop"/>
          <w:color w:val="4A4A4A"/>
          <w:sz w:val="21"/>
          <w:szCs w:val="21"/>
        </w:rPr>
        <w:t> </w:t>
      </w:r>
    </w:p>
    <w:p w14:paraId="1FA4C8CF" w14:textId="35D1DC58" w:rsidR="00486500" w:rsidRDefault="00486500" w:rsidP="000710DF">
      <w:pPr>
        <w:pStyle w:val="paragraph"/>
        <w:shd w:val="clear" w:color="auto" w:fill="FFFFFF"/>
        <w:spacing w:before="0" w:beforeAutospacing="0" w:after="0" w:afterAutospacing="0" w:line="276" w:lineRule="auto"/>
        <w:textAlignment w:val="baseline"/>
        <w:rPr>
          <w:rFonts w:ascii="Segoe UI" w:hAnsi="Segoe UI" w:cs="Segoe UI"/>
          <w:sz w:val="18"/>
          <w:szCs w:val="18"/>
        </w:rPr>
      </w:pPr>
      <w:proofErr w:type="gramStart"/>
      <w:r w:rsidRPr="000710DF">
        <w:rPr>
          <w:rStyle w:val="normaltextrun"/>
          <w:rFonts w:ascii="Calibri" w:hAnsi="Calibri"/>
          <w:color w:val="4A4A4A"/>
          <w:sz w:val="22"/>
          <w:lang w:val="en-GB"/>
        </w:rPr>
        <w:t>(</w:t>
      </w:r>
      <w:r w:rsidR="001C2048" w:rsidRPr="001C2048">
        <w:t xml:space="preserve"> </w:t>
      </w:r>
      <w:r w:rsidR="001C2048" w:rsidRPr="001C2048">
        <w:rPr>
          <w:rStyle w:val="MTextChar"/>
          <w:rFonts w:asciiTheme="minorHAnsi" w:hAnsiTheme="minorHAnsi"/>
        </w:rPr>
        <w:t>https://www.who.int/data/global-health-estimates</w:t>
      </w:r>
      <w:proofErr w:type="gramEnd"/>
      <w:r w:rsidRPr="000710DF">
        <w:rPr>
          <w:rStyle w:val="normaltextrun"/>
          <w:rFonts w:ascii="Calibri" w:hAnsi="Calibri"/>
          <w:color w:val="4A4A4A"/>
          <w:sz w:val="22"/>
          <w:lang w:val="en-GB"/>
        </w:rPr>
        <w:t>)</w:t>
      </w:r>
      <w:r>
        <w:rPr>
          <w:rStyle w:val="eop"/>
          <w:rFonts w:ascii="Calibri" w:hAnsi="Calibri" w:cs="Calibri"/>
          <w:color w:val="004080"/>
          <w:sz w:val="22"/>
          <w:szCs w:val="22"/>
        </w:rPr>
        <w:t> </w:t>
      </w:r>
    </w:p>
    <w:p w14:paraId="0FB87FA0"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404C91C" w14:textId="4551A329" w:rsidR="00486500" w:rsidRDefault="00486500" w:rsidP="000710DF">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World Health Assembly Resolution WHA66.8 (2013): Comprehensive mental health action plan 2013–2020, including Appendix 1: Indicators for Measuring Progress Towards Defined Targets of the Comprehensive Mental Health Action Plan 2013-2020 (</w:t>
      </w:r>
      <w:hyperlink r:id="rId12" w:history="1">
        <w:r w:rsidR="005E292B" w:rsidRPr="00125F14">
          <w:rPr>
            <w:rStyle w:val="Hyperlink"/>
            <w:rFonts w:ascii="Calibri" w:hAnsi="Calibri" w:cs="Calibri"/>
            <w:sz w:val="21"/>
            <w:szCs w:val="21"/>
            <w:lang w:val="en-GB"/>
          </w:rPr>
          <w:t>http://apps.who.int/gb/ebwha/pdf_files/WHA66/A66_R8-en.pdf?ua=1</w:t>
        </w:r>
      </w:hyperlink>
      <w:r>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36A4028D" w14:textId="77777777" w:rsidR="00486500" w:rsidRDefault="00486500" w:rsidP="00486500">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84B0992" w14:textId="36889691" w:rsidR="00186795" w:rsidRDefault="00186795"/>
    <w:sectPr w:rsidR="00186795">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8E983" w14:textId="77777777" w:rsidR="0035356B" w:rsidRDefault="0035356B" w:rsidP="00573C0B">
      <w:pPr>
        <w:spacing w:after="0" w:line="240" w:lineRule="auto"/>
      </w:pPr>
      <w:r>
        <w:separator/>
      </w:r>
    </w:p>
  </w:endnote>
  <w:endnote w:type="continuationSeparator" w:id="0">
    <w:p w14:paraId="1FF9AB5D" w14:textId="77777777" w:rsidR="0035356B" w:rsidRDefault="0035356B" w:rsidP="00573C0B">
      <w:pPr>
        <w:spacing w:after="0" w:line="240" w:lineRule="auto"/>
      </w:pPr>
      <w:r>
        <w:continuationSeparator/>
      </w:r>
    </w:p>
  </w:endnote>
  <w:endnote w:type="continuationNotice" w:id="1">
    <w:p w14:paraId="6E3BD37B" w14:textId="77777777" w:rsidR="0035356B" w:rsidRDefault="003535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C3FDF" w14:textId="77777777" w:rsidR="0035356B" w:rsidRDefault="0035356B" w:rsidP="00573C0B">
      <w:pPr>
        <w:spacing w:after="0" w:line="240" w:lineRule="auto"/>
      </w:pPr>
      <w:r>
        <w:separator/>
      </w:r>
    </w:p>
  </w:footnote>
  <w:footnote w:type="continuationSeparator" w:id="0">
    <w:p w14:paraId="64315C2B" w14:textId="77777777" w:rsidR="0035356B" w:rsidRDefault="0035356B" w:rsidP="00573C0B">
      <w:pPr>
        <w:spacing w:after="0" w:line="240" w:lineRule="auto"/>
      </w:pPr>
      <w:r>
        <w:continuationSeparator/>
      </w:r>
    </w:p>
  </w:footnote>
  <w:footnote w:type="continuationNotice" w:id="1">
    <w:p w14:paraId="12D82307" w14:textId="77777777" w:rsidR="0035356B" w:rsidRDefault="003535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D5D76" w14:textId="220147B9"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152704">
      <w:rPr>
        <w:color w:val="404040" w:themeColor="text1" w:themeTint="BF"/>
        <w:sz w:val="18"/>
        <w:szCs w:val="18"/>
      </w:rPr>
      <w:t>2024-12-</w:t>
    </w:r>
    <w:r w:rsidR="0018097A">
      <w:rPr>
        <w:color w:val="404040" w:themeColor="text1" w:themeTint="BF"/>
        <w:sz w:val="18"/>
        <w:szCs w:val="18"/>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24370C"/>
    <w:multiLevelType w:val="multilevel"/>
    <w:tmpl w:val="EF90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552CEA"/>
    <w:multiLevelType w:val="multilevel"/>
    <w:tmpl w:val="71E0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3410621">
    <w:abstractNumId w:val="3"/>
  </w:num>
  <w:num w:numId="2" w16cid:durableId="855314709">
    <w:abstractNumId w:val="0"/>
  </w:num>
  <w:num w:numId="3" w16cid:durableId="265163604">
    <w:abstractNumId w:val="5"/>
  </w:num>
  <w:num w:numId="4" w16cid:durableId="1214121755">
    <w:abstractNumId w:val="1"/>
  </w:num>
  <w:num w:numId="5" w16cid:durableId="870335264">
    <w:abstractNumId w:val="4"/>
  </w:num>
  <w:num w:numId="6" w16cid:durableId="1962567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2E54"/>
    <w:rsid w:val="0005455A"/>
    <w:rsid w:val="000710DF"/>
    <w:rsid w:val="00071F07"/>
    <w:rsid w:val="0007759D"/>
    <w:rsid w:val="000777AB"/>
    <w:rsid w:val="00077F46"/>
    <w:rsid w:val="00090FB1"/>
    <w:rsid w:val="00096186"/>
    <w:rsid w:val="000A2B99"/>
    <w:rsid w:val="000A72E4"/>
    <w:rsid w:val="000B0E2F"/>
    <w:rsid w:val="000B1DE6"/>
    <w:rsid w:val="000B2430"/>
    <w:rsid w:val="000D0B30"/>
    <w:rsid w:val="000E21F1"/>
    <w:rsid w:val="000F703E"/>
    <w:rsid w:val="00120E86"/>
    <w:rsid w:val="00125DE9"/>
    <w:rsid w:val="001332E0"/>
    <w:rsid w:val="00134DE7"/>
    <w:rsid w:val="00152704"/>
    <w:rsid w:val="001547EF"/>
    <w:rsid w:val="0018097A"/>
    <w:rsid w:val="00185354"/>
    <w:rsid w:val="001854DC"/>
    <w:rsid w:val="00186795"/>
    <w:rsid w:val="00194D09"/>
    <w:rsid w:val="00194EED"/>
    <w:rsid w:val="001A215B"/>
    <w:rsid w:val="001A296B"/>
    <w:rsid w:val="001A6435"/>
    <w:rsid w:val="001A7D5C"/>
    <w:rsid w:val="001B60AA"/>
    <w:rsid w:val="001B63C8"/>
    <w:rsid w:val="001C1972"/>
    <w:rsid w:val="001C2048"/>
    <w:rsid w:val="001C421F"/>
    <w:rsid w:val="001C6C9C"/>
    <w:rsid w:val="001D15F2"/>
    <w:rsid w:val="001D360D"/>
    <w:rsid w:val="002244F3"/>
    <w:rsid w:val="00261A8D"/>
    <w:rsid w:val="002734C4"/>
    <w:rsid w:val="0027636A"/>
    <w:rsid w:val="00283C1C"/>
    <w:rsid w:val="00291A00"/>
    <w:rsid w:val="00291A11"/>
    <w:rsid w:val="002A315C"/>
    <w:rsid w:val="002A3342"/>
    <w:rsid w:val="002A64BA"/>
    <w:rsid w:val="002B4989"/>
    <w:rsid w:val="002C2510"/>
    <w:rsid w:val="002D714E"/>
    <w:rsid w:val="002E53C3"/>
    <w:rsid w:val="002F1468"/>
    <w:rsid w:val="002F5F0C"/>
    <w:rsid w:val="003055FD"/>
    <w:rsid w:val="003167A4"/>
    <w:rsid w:val="00320611"/>
    <w:rsid w:val="003252EC"/>
    <w:rsid w:val="003265EB"/>
    <w:rsid w:val="00326F5C"/>
    <w:rsid w:val="00327014"/>
    <w:rsid w:val="0034329E"/>
    <w:rsid w:val="00343FAA"/>
    <w:rsid w:val="003443D0"/>
    <w:rsid w:val="003457EF"/>
    <w:rsid w:val="00347F5E"/>
    <w:rsid w:val="0035356B"/>
    <w:rsid w:val="00353C98"/>
    <w:rsid w:val="00371A20"/>
    <w:rsid w:val="00375EC7"/>
    <w:rsid w:val="0037610D"/>
    <w:rsid w:val="003821B4"/>
    <w:rsid w:val="00382CF3"/>
    <w:rsid w:val="00387D52"/>
    <w:rsid w:val="003A7CEA"/>
    <w:rsid w:val="003B4864"/>
    <w:rsid w:val="003B75F6"/>
    <w:rsid w:val="003C3206"/>
    <w:rsid w:val="003F0BD3"/>
    <w:rsid w:val="003F278A"/>
    <w:rsid w:val="003F7A02"/>
    <w:rsid w:val="00422EA5"/>
    <w:rsid w:val="00422EFA"/>
    <w:rsid w:val="00423711"/>
    <w:rsid w:val="004251B0"/>
    <w:rsid w:val="0042791F"/>
    <w:rsid w:val="00432D0D"/>
    <w:rsid w:val="004456ED"/>
    <w:rsid w:val="0048045A"/>
    <w:rsid w:val="004841B8"/>
    <w:rsid w:val="00486500"/>
    <w:rsid w:val="00487AE5"/>
    <w:rsid w:val="004930F2"/>
    <w:rsid w:val="004957DE"/>
    <w:rsid w:val="004A19A9"/>
    <w:rsid w:val="004B0F1C"/>
    <w:rsid w:val="004E2B8E"/>
    <w:rsid w:val="004F2EE6"/>
    <w:rsid w:val="00502DBA"/>
    <w:rsid w:val="005040C4"/>
    <w:rsid w:val="00507637"/>
    <w:rsid w:val="00507852"/>
    <w:rsid w:val="00514DBF"/>
    <w:rsid w:val="00550921"/>
    <w:rsid w:val="00563712"/>
    <w:rsid w:val="00573631"/>
    <w:rsid w:val="00573C0B"/>
    <w:rsid w:val="005768D7"/>
    <w:rsid w:val="00576CFA"/>
    <w:rsid w:val="0058556D"/>
    <w:rsid w:val="00590037"/>
    <w:rsid w:val="00592AF2"/>
    <w:rsid w:val="005947AD"/>
    <w:rsid w:val="00597748"/>
    <w:rsid w:val="005979E8"/>
    <w:rsid w:val="005A0523"/>
    <w:rsid w:val="005B1238"/>
    <w:rsid w:val="005C0586"/>
    <w:rsid w:val="005D0AF4"/>
    <w:rsid w:val="005D239F"/>
    <w:rsid w:val="005D6B3F"/>
    <w:rsid w:val="005E292B"/>
    <w:rsid w:val="005E54BD"/>
    <w:rsid w:val="005F6CCA"/>
    <w:rsid w:val="006104AF"/>
    <w:rsid w:val="006125DD"/>
    <w:rsid w:val="00621893"/>
    <w:rsid w:val="006351E1"/>
    <w:rsid w:val="006447B1"/>
    <w:rsid w:val="00657EF2"/>
    <w:rsid w:val="00662775"/>
    <w:rsid w:val="006852FC"/>
    <w:rsid w:val="006B40AB"/>
    <w:rsid w:val="006B5DC5"/>
    <w:rsid w:val="006C4BFD"/>
    <w:rsid w:val="006C7D30"/>
    <w:rsid w:val="006D5BB2"/>
    <w:rsid w:val="006E3C08"/>
    <w:rsid w:val="006E7C14"/>
    <w:rsid w:val="00700ACF"/>
    <w:rsid w:val="00712487"/>
    <w:rsid w:val="00730CC5"/>
    <w:rsid w:val="00750BF5"/>
    <w:rsid w:val="007530CA"/>
    <w:rsid w:val="00756D68"/>
    <w:rsid w:val="007578D9"/>
    <w:rsid w:val="00757E8A"/>
    <w:rsid w:val="00763E43"/>
    <w:rsid w:val="00764EB5"/>
    <w:rsid w:val="00777A95"/>
    <w:rsid w:val="00782416"/>
    <w:rsid w:val="007B0364"/>
    <w:rsid w:val="007C592A"/>
    <w:rsid w:val="007D0981"/>
    <w:rsid w:val="007D1929"/>
    <w:rsid w:val="007F7859"/>
    <w:rsid w:val="00803CF1"/>
    <w:rsid w:val="008041AE"/>
    <w:rsid w:val="008104BB"/>
    <w:rsid w:val="0081261C"/>
    <w:rsid w:val="008227FC"/>
    <w:rsid w:val="00823FA1"/>
    <w:rsid w:val="008249C5"/>
    <w:rsid w:val="008526F9"/>
    <w:rsid w:val="0085285E"/>
    <w:rsid w:val="00853023"/>
    <w:rsid w:val="008534D4"/>
    <w:rsid w:val="00881E28"/>
    <w:rsid w:val="00894C4B"/>
    <w:rsid w:val="008A12E3"/>
    <w:rsid w:val="008A42FA"/>
    <w:rsid w:val="008B0AC7"/>
    <w:rsid w:val="008C2335"/>
    <w:rsid w:val="008C3A3B"/>
    <w:rsid w:val="008C67C1"/>
    <w:rsid w:val="008D1D39"/>
    <w:rsid w:val="008F07D2"/>
    <w:rsid w:val="00910618"/>
    <w:rsid w:val="00917851"/>
    <w:rsid w:val="00917F65"/>
    <w:rsid w:val="009311E7"/>
    <w:rsid w:val="009419C5"/>
    <w:rsid w:val="00942694"/>
    <w:rsid w:val="009448F5"/>
    <w:rsid w:val="009A7E3A"/>
    <w:rsid w:val="009B1265"/>
    <w:rsid w:val="009B4A15"/>
    <w:rsid w:val="009B5693"/>
    <w:rsid w:val="009C61A2"/>
    <w:rsid w:val="009C6DBB"/>
    <w:rsid w:val="009C78E4"/>
    <w:rsid w:val="009D687E"/>
    <w:rsid w:val="009E0FFF"/>
    <w:rsid w:val="009F0547"/>
    <w:rsid w:val="009F12BF"/>
    <w:rsid w:val="009F2936"/>
    <w:rsid w:val="009F6DE7"/>
    <w:rsid w:val="00A04851"/>
    <w:rsid w:val="00A07787"/>
    <w:rsid w:val="00A10583"/>
    <w:rsid w:val="00A36128"/>
    <w:rsid w:val="00A37FCB"/>
    <w:rsid w:val="00A54863"/>
    <w:rsid w:val="00A61D74"/>
    <w:rsid w:val="00A865C6"/>
    <w:rsid w:val="00A8688B"/>
    <w:rsid w:val="00A91163"/>
    <w:rsid w:val="00A9286F"/>
    <w:rsid w:val="00A96255"/>
    <w:rsid w:val="00AB2484"/>
    <w:rsid w:val="00AB285B"/>
    <w:rsid w:val="00AB5B89"/>
    <w:rsid w:val="00AB7BA6"/>
    <w:rsid w:val="00AF5552"/>
    <w:rsid w:val="00AF5CB4"/>
    <w:rsid w:val="00AF5ED1"/>
    <w:rsid w:val="00AF71D6"/>
    <w:rsid w:val="00B216EE"/>
    <w:rsid w:val="00B3175F"/>
    <w:rsid w:val="00B31E2C"/>
    <w:rsid w:val="00B329B0"/>
    <w:rsid w:val="00B402D8"/>
    <w:rsid w:val="00B4237C"/>
    <w:rsid w:val="00B42FE8"/>
    <w:rsid w:val="00B50096"/>
    <w:rsid w:val="00B52AFD"/>
    <w:rsid w:val="00B54077"/>
    <w:rsid w:val="00B7180C"/>
    <w:rsid w:val="00B8087E"/>
    <w:rsid w:val="00BB646E"/>
    <w:rsid w:val="00BD1BA1"/>
    <w:rsid w:val="00BE5800"/>
    <w:rsid w:val="00C019E5"/>
    <w:rsid w:val="00C1189A"/>
    <w:rsid w:val="00C254B5"/>
    <w:rsid w:val="00C34CB3"/>
    <w:rsid w:val="00C35BC4"/>
    <w:rsid w:val="00C43F5B"/>
    <w:rsid w:val="00C900BD"/>
    <w:rsid w:val="00C91AC9"/>
    <w:rsid w:val="00CB4371"/>
    <w:rsid w:val="00CC36AA"/>
    <w:rsid w:val="00CC516D"/>
    <w:rsid w:val="00CE18DC"/>
    <w:rsid w:val="00D24330"/>
    <w:rsid w:val="00D40056"/>
    <w:rsid w:val="00D51E7C"/>
    <w:rsid w:val="00D54F29"/>
    <w:rsid w:val="00D63D65"/>
    <w:rsid w:val="00D7020C"/>
    <w:rsid w:val="00D70AD9"/>
    <w:rsid w:val="00D72152"/>
    <w:rsid w:val="00D94BA5"/>
    <w:rsid w:val="00D9510F"/>
    <w:rsid w:val="00DA615C"/>
    <w:rsid w:val="00DC467F"/>
    <w:rsid w:val="00DD1BC6"/>
    <w:rsid w:val="00DE5DC3"/>
    <w:rsid w:val="00DF53D7"/>
    <w:rsid w:val="00E00D8A"/>
    <w:rsid w:val="00E10300"/>
    <w:rsid w:val="00E1050F"/>
    <w:rsid w:val="00E11604"/>
    <w:rsid w:val="00E11D92"/>
    <w:rsid w:val="00E130A0"/>
    <w:rsid w:val="00E210C4"/>
    <w:rsid w:val="00E23DB7"/>
    <w:rsid w:val="00E32609"/>
    <w:rsid w:val="00E42D23"/>
    <w:rsid w:val="00E46D96"/>
    <w:rsid w:val="00E52CCA"/>
    <w:rsid w:val="00E66409"/>
    <w:rsid w:val="00E739C8"/>
    <w:rsid w:val="00E81D5B"/>
    <w:rsid w:val="00E84317"/>
    <w:rsid w:val="00E9560C"/>
    <w:rsid w:val="00E976B9"/>
    <w:rsid w:val="00EA05D3"/>
    <w:rsid w:val="00EB19AD"/>
    <w:rsid w:val="00EB2F31"/>
    <w:rsid w:val="00EB6493"/>
    <w:rsid w:val="00EC2915"/>
    <w:rsid w:val="00ED05A9"/>
    <w:rsid w:val="00ED1BA0"/>
    <w:rsid w:val="00F06DA8"/>
    <w:rsid w:val="00F143B0"/>
    <w:rsid w:val="00F17257"/>
    <w:rsid w:val="00F21776"/>
    <w:rsid w:val="00F30103"/>
    <w:rsid w:val="00F31E8E"/>
    <w:rsid w:val="00F334A7"/>
    <w:rsid w:val="00F34D24"/>
    <w:rsid w:val="00F4130B"/>
    <w:rsid w:val="00F446F7"/>
    <w:rsid w:val="00F556A2"/>
    <w:rsid w:val="00F719A8"/>
    <w:rsid w:val="00F8636B"/>
    <w:rsid w:val="00F878B9"/>
    <w:rsid w:val="00F97E6B"/>
    <w:rsid w:val="00FB24E8"/>
    <w:rsid w:val="00FB3B2B"/>
    <w:rsid w:val="00FC18DA"/>
    <w:rsid w:val="00FC3917"/>
    <w:rsid w:val="00FD60DA"/>
    <w:rsid w:val="00FE364D"/>
    <w:rsid w:val="00FF07B4"/>
    <w:rsid w:val="495E9E1D"/>
    <w:rsid w:val="4D883247"/>
    <w:rsid w:val="7D5D22E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2A8F1FA3-430B-45FA-B00D-D94403AB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B50096"/>
  </w:style>
  <w:style w:type="character" w:customStyle="1" w:styleId="eop">
    <w:name w:val="eop"/>
    <w:basedOn w:val="DefaultParagraphFont"/>
    <w:rsid w:val="00B50096"/>
  </w:style>
  <w:style w:type="paragraph" w:customStyle="1" w:styleId="paragraph">
    <w:name w:val="paragraph"/>
    <w:basedOn w:val="Normal"/>
    <w:rsid w:val="00B5009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msonormal">
    <w:name w:val="x_msonormal"/>
    <w:basedOn w:val="Normal"/>
    <w:rsid w:val="00A36128"/>
    <w:pPr>
      <w:spacing w:after="0" w:line="240" w:lineRule="auto"/>
    </w:pPr>
    <w:rPr>
      <w:rFonts w:ascii="Calibri" w:eastAsiaTheme="minorHAnsi" w:hAnsi="Calibri" w:cs="Calibri"/>
      <w:lang w:val="en-US" w:eastAsia="en-US"/>
    </w:rPr>
  </w:style>
  <w:style w:type="paragraph" w:customStyle="1" w:styleId="xmtext">
    <w:name w:val="x_mtext"/>
    <w:basedOn w:val="Normal"/>
    <w:rsid w:val="00A36128"/>
    <w:pPr>
      <w:shd w:val="clear" w:color="auto" w:fill="FFFFFF"/>
      <w:spacing w:after="0"/>
    </w:pPr>
    <w:rPr>
      <w:rFonts w:ascii="Times New Roman" w:eastAsiaTheme="minorHAnsi" w:hAnsi="Times New Roman" w:cs="Times New Roman"/>
      <w:color w:val="4A4A4A"/>
      <w:sz w:val="21"/>
      <w:szCs w:val="21"/>
      <w:lang w:val="en-US" w:eastAsia="en-US"/>
    </w:rPr>
  </w:style>
  <w:style w:type="paragraph" w:styleId="NoSpacing">
    <w:name w:val="No Spacing"/>
    <w:uiPriority w:val="1"/>
    <w:qFormat/>
    <w:rsid w:val="002244F3"/>
    <w:pPr>
      <w:spacing w:after="0" w:line="240" w:lineRule="auto"/>
    </w:pPr>
  </w:style>
  <w:style w:type="paragraph" w:styleId="Revision">
    <w:name w:val="Revision"/>
    <w:hidden/>
    <w:uiPriority w:val="99"/>
    <w:semiHidden/>
    <w:rsid w:val="00657EF2"/>
    <w:pPr>
      <w:spacing w:after="0" w:line="240" w:lineRule="auto"/>
    </w:pPr>
  </w:style>
  <w:style w:type="character" w:styleId="UnresolvedMention">
    <w:name w:val="Unresolved Mention"/>
    <w:basedOn w:val="DefaultParagraphFont"/>
    <w:uiPriority w:val="99"/>
    <w:semiHidden/>
    <w:unhideWhenUsed/>
    <w:rsid w:val="003B75F6"/>
    <w:rPr>
      <w:color w:val="605E5C"/>
      <w:shd w:val="clear" w:color="auto" w:fill="E1DFDD"/>
    </w:rPr>
  </w:style>
  <w:style w:type="character" w:styleId="FollowedHyperlink">
    <w:name w:val="FollowedHyperlink"/>
    <w:basedOn w:val="DefaultParagraphFont"/>
    <w:uiPriority w:val="99"/>
    <w:semiHidden/>
    <w:unhideWhenUsed/>
    <w:rsid w:val="003B75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78110">
      <w:bodyDiv w:val="1"/>
      <w:marLeft w:val="0"/>
      <w:marRight w:val="0"/>
      <w:marTop w:val="0"/>
      <w:marBottom w:val="0"/>
      <w:divBdr>
        <w:top w:val="none" w:sz="0" w:space="0" w:color="auto"/>
        <w:left w:val="none" w:sz="0" w:space="0" w:color="auto"/>
        <w:bottom w:val="none" w:sz="0" w:space="0" w:color="auto"/>
        <w:right w:val="none" w:sz="0" w:space="0" w:color="auto"/>
      </w:divBdr>
    </w:div>
    <w:div w:id="592709345">
      <w:bodyDiv w:val="1"/>
      <w:marLeft w:val="0"/>
      <w:marRight w:val="0"/>
      <w:marTop w:val="0"/>
      <w:marBottom w:val="0"/>
      <w:divBdr>
        <w:top w:val="none" w:sz="0" w:space="0" w:color="auto"/>
        <w:left w:val="none" w:sz="0" w:space="0" w:color="auto"/>
        <w:bottom w:val="none" w:sz="0" w:space="0" w:color="auto"/>
        <w:right w:val="none" w:sz="0" w:space="0" w:color="auto"/>
      </w:divBdr>
      <w:divsChild>
        <w:div w:id="98991421">
          <w:marLeft w:val="0"/>
          <w:marRight w:val="0"/>
          <w:marTop w:val="0"/>
          <w:marBottom w:val="0"/>
          <w:divBdr>
            <w:top w:val="none" w:sz="0" w:space="0" w:color="auto"/>
            <w:left w:val="none" w:sz="0" w:space="0" w:color="auto"/>
            <w:bottom w:val="none" w:sz="0" w:space="0" w:color="auto"/>
            <w:right w:val="none" w:sz="0" w:space="0" w:color="auto"/>
          </w:divBdr>
          <w:divsChild>
            <w:div w:id="453252394">
              <w:marLeft w:val="0"/>
              <w:marRight w:val="0"/>
              <w:marTop w:val="0"/>
              <w:marBottom w:val="0"/>
              <w:divBdr>
                <w:top w:val="none" w:sz="0" w:space="0" w:color="auto"/>
                <w:left w:val="none" w:sz="0" w:space="0" w:color="auto"/>
                <w:bottom w:val="none" w:sz="0" w:space="0" w:color="auto"/>
                <w:right w:val="none" w:sz="0" w:space="0" w:color="auto"/>
              </w:divBdr>
            </w:div>
            <w:div w:id="1959068129">
              <w:marLeft w:val="0"/>
              <w:marRight w:val="0"/>
              <w:marTop w:val="0"/>
              <w:marBottom w:val="0"/>
              <w:divBdr>
                <w:top w:val="none" w:sz="0" w:space="0" w:color="auto"/>
                <w:left w:val="none" w:sz="0" w:space="0" w:color="auto"/>
                <w:bottom w:val="none" w:sz="0" w:space="0" w:color="auto"/>
                <w:right w:val="none" w:sz="0" w:space="0" w:color="auto"/>
              </w:divBdr>
            </w:div>
            <w:div w:id="756948007">
              <w:marLeft w:val="0"/>
              <w:marRight w:val="0"/>
              <w:marTop w:val="0"/>
              <w:marBottom w:val="0"/>
              <w:divBdr>
                <w:top w:val="none" w:sz="0" w:space="0" w:color="auto"/>
                <w:left w:val="none" w:sz="0" w:space="0" w:color="auto"/>
                <w:bottom w:val="none" w:sz="0" w:space="0" w:color="auto"/>
                <w:right w:val="none" w:sz="0" w:space="0" w:color="auto"/>
              </w:divBdr>
            </w:div>
          </w:divsChild>
        </w:div>
        <w:div w:id="1480615817">
          <w:marLeft w:val="0"/>
          <w:marRight w:val="0"/>
          <w:marTop w:val="0"/>
          <w:marBottom w:val="0"/>
          <w:divBdr>
            <w:top w:val="none" w:sz="0" w:space="0" w:color="auto"/>
            <w:left w:val="none" w:sz="0" w:space="0" w:color="auto"/>
            <w:bottom w:val="none" w:sz="0" w:space="0" w:color="auto"/>
            <w:right w:val="none" w:sz="0" w:space="0" w:color="auto"/>
          </w:divBdr>
          <w:divsChild>
            <w:div w:id="1148398556">
              <w:marLeft w:val="0"/>
              <w:marRight w:val="0"/>
              <w:marTop w:val="0"/>
              <w:marBottom w:val="0"/>
              <w:divBdr>
                <w:top w:val="none" w:sz="0" w:space="0" w:color="auto"/>
                <w:left w:val="none" w:sz="0" w:space="0" w:color="auto"/>
                <w:bottom w:val="none" w:sz="0" w:space="0" w:color="auto"/>
                <w:right w:val="none" w:sz="0" w:space="0" w:color="auto"/>
              </w:divBdr>
            </w:div>
            <w:div w:id="859121678">
              <w:marLeft w:val="0"/>
              <w:marRight w:val="0"/>
              <w:marTop w:val="0"/>
              <w:marBottom w:val="0"/>
              <w:divBdr>
                <w:top w:val="none" w:sz="0" w:space="0" w:color="auto"/>
                <w:left w:val="none" w:sz="0" w:space="0" w:color="auto"/>
                <w:bottom w:val="none" w:sz="0" w:space="0" w:color="auto"/>
                <w:right w:val="none" w:sz="0" w:space="0" w:color="auto"/>
              </w:divBdr>
            </w:div>
            <w:div w:id="937952058">
              <w:marLeft w:val="0"/>
              <w:marRight w:val="0"/>
              <w:marTop w:val="0"/>
              <w:marBottom w:val="0"/>
              <w:divBdr>
                <w:top w:val="none" w:sz="0" w:space="0" w:color="auto"/>
                <w:left w:val="none" w:sz="0" w:space="0" w:color="auto"/>
                <w:bottom w:val="none" w:sz="0" w:space="0" w:color="auto"/>
                <w:right w:val="none" w:sz="0" w:space="0" w:color="auto"/>
              </w:divBdr>
            </w:div>
            <w:div w:id="1565942695">
              <w:marLeft w:val="0"/>
              <w:marRight w:val="0"/>
              <w:marTop w:val="0"/>
              <w:marBottom w:val="0"/>
              <w:divBdr>
                <w:top w:val="none" w:sz="0" w:space="0" w:color="auto"/>
                <w:left w:val="none" w:sz="0" w:space="0" w:color="auto"/>
                <w:bottom w:val="none" w:sz="0" w:space="0" w:color="auto"/>
                <w:right w:val="none" w:sz="0" w:space="0" w:color="auto"/>
              </w:divBdr>
            </w:div>
            <w:div w:id="274561048">
              <w:marLeft w:val="0"/>
              <w:marRight w:val="0"/>
              <w:marTop w:val="0"/>
              <w:marBottom w:val="0"/>
              <w:divBdr>
                <w:top w:val="none" w:sz="0" w:space="0" w:color="auto"/>
                <w:left w:val="none" w:sz="0" w:space="0" w:color="auto"/>
                <w:bottom w:val="none" w:sz="0" w:space="0" w:color="auto"/>
                <w:right w:val="none" w:sz="0" w:space="0" w:color="auto"/>
              </w:divBdr>
            </w:div>
          </w:divsChild>
        </w:div>
        <w:div w:id="346294727">
          <w:marLeft w:val="0"/>
          <w:marRight w:val="0"/>
          <w:marTop w:val="0"/>
          <w:marBottom w:val="0"/>
          <w:divBdr>
            <w:top w:val="none" w:sz="0" w:space="0" w:color="auto"/>
            <w:left w:val="none" w:sz="0" w:space="0" w:color="auto"/>
            <w:bottom w:val="none" w:sz="0" w:space="0" w:color="auto"/>
            <w:right w:val="none" w:sz="0" w:space="0" w:color="auto"/>
          </w:divBdr>
        </w:div>
      </w:divsChild>
    </w:div>
    <w:div w:id="846098049">
      <w:bodyDiv w:val="1"/>
      <w:marLeft w:val="0"/>
      <w:marRight w:val="0"/>
      <w:marTop w:val="0"/>
      <w:marBottom w:val="0"/>
      <w:divBdr>
        <w:top w:val="none" w:sz="0" w:space="0" w:color="auto"/>
        <w:left w:val="none" w:sz="0" w:space="0" w:color="auto"/>
        <w:bottom w:val="none" w:sz="0" w:space="0" w:color="auto"/>
        <w:right w:val="none" w:sz="0" w:space="0" w:color="auto"/>
      </w:divBdr>
      <w:divsChild>
        <w:div w:id="979336234">
          <w:marLeft w:val="0"/>
          <w:marRight w:val="0"/>
          <w:marTop w:val="0"/>
          <w:marBottom w:val="0"/>
          <w:divBdr>
            <w:top w:val="none" w:sz="0" w:space="0" w:color="auto"/>
            <w:left w:val="none" w:sz="0" w:space="0" w:color="auto"/>
            <w:bottom w:val="none" w:sz="0" w:space="0" w:color="auto"/>
            <w:right w:val="none" w:sz="0" w:space="0" w:color="auto"/>
          </w:divBdr>
        </w:div>
        <w:div w:id="1917858791">
          <w:marLeft w:val="0"/>
          <w:marRight w:val="0"/>
          <w:marTop w:val="0"/>
          <w:marBottom w:val="0"/>
          <w:divBdr>
            <w:top w:val="none" w:sz="0" w:space="0" w:color="auto"/>
            <w:left w:val="none" w:sz="0" w:space="0" w:color="auto"/>
            <w:bottom w:val="none" w:sz="0" w:space="0" w:color="auto"/>
            <w:right w:val="none" w:sz="0" w:space="0" w:color="auto"/>
          </w:divBdr>
        </w:div>
      </w:divsChild>
    </w:div>
    <w:div w:id="865020478">
      <w:bodyDiv w:val="1"/>
      <w:marLeft w:val="0"/>
      <w:marRight w:val="0"/>
      <w:marTop w:val="0"/>
      <w:marBottom w:val="0"/>
      <w:divBdr>
        <w:top w:val="none" w:sz="0" w:space="0" w:color="auto"/>
        <w:left w:val="none" w:sz="0" w:space="0" w:color="auto"/>
        <w:bottom w:val="none" w:sz="0" w:space="0" w:color="auto"/>
        <w:right w:val="none" w:sz="0" w:space="0" w:color="auto"/>
      </w:divBdr>
      <w:divsChild>
        <w:div w:id="403796632">
          <w:marLeft w:val="0"/>
          <w:marRight w:val="0"/>
          <w:marTop w:val="0"/>
          <w:marBottom w:val="0"/>
          <w:divBdr>
            <w:top w:val="none" w:sz="0" w:space="0" w:color="auto"/>
            <w:left w:val="none" w:sz="0" w:space="0" w:color="auto"/>
            <w:bottom w:val="none" w:sz="0" w:space="0" w:color="auto"/>
            <w:right w:val="none" w:sz="0" w:space="0" w:color="auto"/>
          </w:divBdr>
        </w:div>
        <w:div w:id="1370181356">
          <w:marLeft w:val="0"/>
          <w:marRight w:val="0"/>
          <w:marTop w:val="0"/>
          <w:marBottom w:val="0"/>
          <w:divBdr>
            <w:top w:val="none" w:sz="0" w:space="0" w:color="auto"/>
            <w:left w:val="none" w:sz="0" w:space="0" w:color="auto"/>
            <w:bottom w:val="none" w:sz="0" w:space="0" w:color="auto"/>
            <w:right w:val="none" w:sz="0" w:space="0" w:color="auto"/>
          </w:divBdr>
        </w:div>
        <w:div w:id="1189368902">
          <w:marLeft w:val="0"/>
          <w:marRight w:val="0"/>
          <w:marTop w:val="0"/>
          <w:marBottom w:val="0"/>
          <w:divBdr>
            <w:top w:val="none" w:sz="0" w:space="0" w:color="auto"/>
            <w:left w:val="none" w:sz="0" w:space="0" w:color="auto"/>
            <w:bottom w:val="none" w:sz="0" w:space="0" w:color="auto"/>
            <w:right w:val="none" w:sz="0" w:space="0" w:color="auto"/>
          </w:divBdr>
        </w:div>
        <w:div w:id="327831616">
          <w:marLeft w:val="0"/>
          <w:marRight w:val="0"/>
          <w:marTop w:val="0"/>
          <w:marBottom w:val="0"/>
          <w:divBdr>
            <w:top w:val="none" w:sz="0" w:space="0" w:color="auto"/>
            <w:left w:val="none" w:sz="0" w:space="0" w:color="auto"/>
            <w:bottom w:val="none" w:sz="0" w:space="0" w:color="auto"/>
            <w:right w:val="none" w:sz="0" w:space="0" w:color="auto"/>
          </w:divBdr>
        </w:div>
        <w:div w:id="1175652408">
          <w:marLeft w:val="0"/>
          <w:marRight w:val="0"/>
          <w:marTop w:val="0"/>
          <w:marBottom w:val="0"/>
          <w:divBdr>
            <w:top w:val="none" w:sz="0" w:space="0" w:color="auto"/>
            <w:left w:val="none" w:sz="0" w:space="0" w:color="auto"/>
            <w:bottom w:val="none" w:sz="0" w:space="0" w:color="auto"/>
            <w:right w:val="none" w:sz="0" w:space="0" w:color="auto"/>
          </w:divBdr>
        </w:div>
        <w:div w:id="1383820986">
          <w:marLeft w:val="0"/>
          <w:marRight w:val="0"/>
          <w:marTop w:val="0"/>
          <w:marBottom w:val="0"/>
          <w:divBdr>
            <w:top w:val="none" w:sz="0" w:space="0" w:color="auto"/>
            <w:left w:val="none" w:sz="0" w:space="0" w:color="auto"/>
            <w:bottom w:val="none" w:sz="0" w:space="0" w:color="auto"/>
            <w:right w:val="none" w:sz="0" w:space="0" w:color="auto"/>
          </w:divBdr>
        </w:div>
        <w:div w:id="1890921783">
          <w:marLeft w:val="0"/>
          <w:marRight w:val="0"/>
          <w:marTop w:val="0"/>
          <w:marBottom w:val="0"/>
          <w:divBdr>
            <w:top w:val="none" w:sz="0" w:space="0" w:color="auto"/>
            <w:left w:val="none" w:sz="0" w:space="0" w:color="auto"/>
            <w:bottom w:val="none" w:sz="0" w:space="0" w:color="auto"/>
            <w:right w:val="none" w:sz="0" w:space="0" w:color="auto"/>
          </w:divBdr>
        </w:div>
        <w:div w:id="857498692">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63865853">
      <w:bodyDiv w:val="1"/>
      <w:marLeft w:val="0"/>
      <w:marRight w:val="0"/>
      <w:marTop w:val="0"/>
      <w:marBottom w:val="0"/>
      <w:divBdr>
        <w:top w:val="none" w:sz="0" w:space="0" w:color="auto"/>
        <w:left w:val="none" w:sz="0" w:space="0" w:color="auto"/>
        <w:bottom w:val="none" w:sz="0" w:space="0" w:color="auto"/>
        <w:right w:val="none" w:sz="0" w:space="0" w:color="auto"/>
      </w:divBdr>
    </w:div>
    <w:div w:id="1068961869">
      <w:bodyDiv w:val="1"/>
      <w:marLeft w:val="0"/>
      <w:marRight w:val="0"/>
      <w:marTop w:val="0"/>
      <w:marBottom w:val="0"/>
      <w:divBdr>
        <w:top w:val="none" w:sz="0" w:space="0" w:color="auto"/>
        <w:left w:val="none" w:sz="0" w:space="0" w:color="auto"/>
        <w:bottom w:val="none" w:sz="0" w:space="0" w:color="auto"/>
        <w:right w:val="none" w:sz="0" w:space="0" w:color="auto"/>
      </w:divBdr>
      <w:divsChild>
        <w:div w:id="1858423170">
          <w:marLeft w:val="0"/>
          <w:marRight w:val="0"/>
          <w:marTop w:val="0"/>
          <w:marBottom w:val="0"/>
          <w:divBdr>
            <w:top w:val="none" w:sz="0" w:space="0" w:color="auto"/>
            <w:left w:val="none" w:sz="0" w:space="0" w:color="auto"/>
            <w:bottom w:val="none" w:sz="0" w:space="0" w:color="auto"/>
            <w:right w:val="none" w:sz="0" w:space="0" w:color="auto"/>
          </w:divBdr>
        </w:div>
        <w:div w:id="748187447">
          <w:marLeft w:val="0"/>
          <w:marRight w:val="0"/>
          <w:marTop w:val="0"/>
          <w:marBottom w:val="0"/>
          <w:divBdr>
            <w:top w:val="none" w:sz="0" w:space="0" w:color="auto"/>
            <w:left w:val="none" w:sz="0" w:space="0" w:color="auto"/>
            <w:bottom w:val="none" w:sz="0" w:space="0" w:color="auto"/>
            <w:right w:val="none" w:sz="0" w:space="0" w:color="auto"/>
          </w:divBdr>
        </w:div>
      </w:divsChild>
    </w:div>
    <w:div w:id="1130249737">
      <w:bodyDiv w:val="1"/>
      <w:marLeft w:val="0"/>
      <w:marRight w:val="0"/>
      <w:marTop w:val="0"/>
      <w:marBottom w:val="0"/>
      <w:divBdr>
        <w:top w:val="none" w:sz="0" w:space="0" w:color="auto"/>
        <w:left w:val="none" w:sz="0" w:space="0" w:color="auto"/>
        <w:bottom w:val="none" w:sz="0" w:space="0" w:color="auto"/>
        <w:right w:val="none" w:sz="0" w:space="0" w:color="auto"/>
      </w:divBdr>
      <w:divsChild>
        <w:div w:id="745692559">
          <w:marLeft w:val="0"/>
          <w:marRight w:val="0"/>
          <w:marTop w:val="0"/>
          <w:marBottom w:val="0"/>
          <w:divBdr>
            <w:top w:val="none" w:sz="0" w:space="0" w:color="auto"/>
            <w:left w:val="none" w:sz="0" w:space="0" w:color="auto"/>
            <w:bottom w:val="none" w:sz="0" w:space="0" w:color="auto"/>
            <w:right w:val="none" w:sz="0" w:space="0" w:color="auto"/>
          </w:divBdr>
        </w:div>
        <w:div w:id="1545676788">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96994342">
      <w:bodyDiv w:val="1"/>
      <w:marLeft w:val="0"/>
      <w:marRight w:val="0"/>
      <w:marTop w:val="0"/>
      <w:marBottom w:val="0"/>
      <w:divBdr>
        <w:top w:val="none" w:sz="0" w:space="0" w:color="auto"/>
        <w:left w:val="none" w:sz="0" w:space="0" w:color="auto"/>
        <w:bottom w:val="none" w:sz="0" w:space="0" w:color="auto"/>
        <w:right w:val="none" w:sz="0" w:space="0" w:color="auto"/>
      </w:divBdr>
      <w:divsChild>
        <w:div w:id="399325721">
          <w:marLeft w:val="0"/>
          <w:marRight w:val="0"/>
          <w:marTop w:val="0"/>
          <w:marBottom w:val="0"/>
          <w:divBdr>
            <w:top w:val="none" w:sz="0" w:space="0" w:color="auto"/>
            <w:left w:val="none" w:sz="0" w:space="0" w:color="auto"/>
            <w:bottom w:val="none" w:sz="0" w:space="0" w:color="auto"/>
            <w:right w:val="none" w:sz="0" w:space="0" w:color="auto"/>
          </w:divBdr>
        </w:div>
        <w:div w:id="2058358410">
          <w:marLeft w:val="0"/>
          <w:marRight w:val="0"/>
          <w:marTop w:val="0"/>
          <w:marBottom w:val="0"/>
          <w:divBdr>
            <w:top w:val="none" w:sz="0" w:space="0" w:color="auto"/>
            <w:left w:val="none" w:sz="0" w:space="0" w:color="auto"/>
            <w:bottom w:val="none" w:sz="0" w:space="0" w:color="auto"/>
            <w:right w:val="none" w:sz="0" w:space="0" w:color="auto"/>
          </w:divBdr>
        </w:div>
        <w:div w:id="1342777957">
          <w:marLeft w:val="0"/>
          <w:marRight w:val="0"/>
          <w:marTop w:val="0"/>
          <w:marBottom w:val="0"/>
          <w:divBdr>
            <w:top w:val="none" w:sz="0" w:space="0" w:color="auto"/>
            <w:left w:val="none" w:sz="0" w:space="0" w:color="auto"/>
            <w:bottom w:val="none" w:sz="0" w:space="0" w:color="auto"/>
            <w:right w:val="none" w:sz="0" w:space="0" w:color="auto"/>
          </w:divBdr>
        </w:div>
        <w:div w:id="2020622439">
          <w:marLeft w:val="0"/>
          <w:marRight w:val="0"/>
          <w:marTop w:val="0"/>
          <w:marBottom w:val="0"/>
          <w:divBdr>
            <w:top w:val="none" w:sz="0" w:space="0" w:color="auto"/>
            <w:left w:val="none" w:sz="0" w:space="0" w:color="auto"/>
            <w:bottom w:val="none" w:sz="0" w:space="0" w:color="auto"/>
            <w:right w:val="none" w:sz="0" w:space="0" w:color="auto"/>
          </w:divBdr>
        </w:div>
      </w:divsChild>
    </w:div>
    <w:div w:id="1507400213">
      <w:bodyDiv w:val="1"/>
      <w:marLeft w:val="0"/>
      <w:marRight w:val="0"/>
      <w:marTop w:val="0"/>
      <w:marBottom w:val="0"/>
      <w:divBdr>
        <w:top w:val="none" w:sz="0" w:space="0" w:color="auto"/>
        <w:left w:val="none" w:sz="0" w:space="0" w:color="auto"/>
        <w:bottom w:val="none" w:sz="0" w:space="0" w:color="auto"/>
        <w:right w:val="none" w:sz="0" w:space="0" w:color="auto"/>
      </w:divBdr>
      <w:divsChild>
        <w:div w:id="1182548835">
          <w:marLeft w:val="0"/>
          <w:marRight w:val="0"/>
          <w:marTop w:val="0"/>
          <w:marBottom w:val="0"/>
          <w:divBdr>
            <w:top w:val="none" w:sz="0" w:space="0" w:color="auto"/>
            <w:left w:val="none" w:sz="0" w:space="0" w:color="auto"/>
            <w:bottom w:val="none" w:sz="0" w:space="0" w:color="auto"/>
            <w:right w:val="none" w:sz="0" w:space="0" w:color="auto"/>
          </w:divBdr>
        </w:div>
        <w:div w:id="1372606030">
          <w:marLeft w:val="0"/>
          <w:marRight w:val="0"/>
          <w:marTop w:val="0"/>
          <w:marBottom w:val="0"/>
          <w:divBdr>
            <w:top w:val="none" w:sz="0" w:space="0" w:color="auto"/>
            <w:left w:val="none" w:sz="0" w:space="0" w:color="auto"/>
            <w:bottom w:val="none" w:sz="0" w:space="0" w:color="auto"/>
            <w:right w:val="none" w:sz="0" w:space="0" w:color="auto"/>
          </w:divBdr>
        </w:div>
        <w:div w:id="312871954">
          <w:marLeft w:val="0"/>
          <w:marRight w:val="0"/>
          <w:marTop w:val="0"/>
          <w:marBottom w:val="0"/>
          <w:divBdr>
            <w:top w:val="none" w:sz="0" w:space="0" w:color="auto"/>
            <w:left w:val="none" w:sz="0" w:space="0" w:color="auto"/>
            <w:bottom w:val="none" w:sz="0" w:space="0" w:color="auto"/>
            <w:right w:val="none" w:sz="0" w:space="0" w:color="auto"/>
          </w:divBdr>
        </w:div>
        <w:div w:id="209416623">
          <w:marLeft w:val="0"/>
          <w:marRight w:val="0"/>
          <w:marTop w:val="0"/>
          <w:marBottom w:val="0"/>
          <w:divBdr>
            <w:top w:val="none" w:sz="0" w:space="0" w:color="auto"/>
            <w:left w:val="none" w:sz="0" w:space="0" w:color="auto"/>
            <w:bottom w:val="none" w:sz="0" w:space="0" w:color="auto"/>
            <w:right w:val="none" w:sz="0" w:space="0" w:color="auto"/>
          </w:divBdr>
        </w:div>
        <w:div w:id="2083334019">
          <w:marLeft w:val="0"/>
          <w:marRight w:val="0"/>
          <w:marTop w:val="0"/>
          <w:marBottom w:val="0"/>
          <w:divBdr>
            <w:top w:val="none" w:sz="0" w:space="0" w:color="auto"/>
            <w:left w:val="none" w:sz="0" w:space="0" w:color="auto"/>
            <w:bottom w:val="none" w:sz="0" w:space="0" w:color="auto"/>
            <w:right w:val="none" w:sz="0" w:space="0" w:color="auto"/>
          </w:divBdr>
        </w:div>
        <w:div w:id="1930846945">
          <w:marLeft w:val="0"/>
          <w:marRight w:val="0"/>
          <w:marTop w:val="0"/>
          <w:marBottom w:val="0"/>
          <w:divBdr>
            <w:top w:val="none" w:sz="0" w:space="0" w:color="auto"/>
            <w:left w:val="none" w:sz="0" w:space="0" w:color="auto"/>
            <w:bottom w:val="none" w:sz="0" w:space="0" w:color="auto"/>
            <w:right w:val="none" w:sz="0" w:space="0" w:color="auto"/>
          </w:divBdr>
        </w:div>
        <w:div w:id="2030713549">
          <w:marLeft w:val="0"/>
          <w:marRight w:val="0"/>
          <w:marTop w:val="0"/>
          <w:marBottom w:val="0"/>
          <w:divBdr>
            <w:top w:val="none" w:sz="0" w:space="0" w:color="auto"/>
            <w:left w:val="none" w:sz="0" w:space="0" w:color="auto"/>
            <w:bottom w:val="none" w:sz="0" w:space="0" w:color="auto"/>
            <w:right w:val="none" w:sz="0" w:space="0" w:color="auto"/>
          </w:divBdr>
        </w:div>
        <w:div w:id="1672171598">
          <w:marLeft w:val="0"/>
          <w:marRight w:val="0"/>
          <w:marTop w:val="0"/>
          <w:marBottom w:val="0"/>
          <w:divBdr>
            <w:top w:val="none" w:sz="0" w:space="0" w:color="auto"/>
            <w:left w:val="none" w:sz="0" w:space="0" w:color="auto"/>
            <w:bottom w:val="none" w:sz="0" w:space="0" w:color="auto"/>
            <w:right w:val="none" w:sz="0" w:space="0" w:color="auto"/>
          </w:divBdr>
        </w:div>
        <w:div w:id="1922446323">
          <w:marLeft w:val="0"/>
          <w:marRight w:val="0"/>
          <w:marTop w:val="0"/>
          <w:marBottom w:val="0"/>
          <w:divBdr>
            <w:top w:val="none" w:sz="0" w:space="0" w:color="auto"/>
            <w:left w:val="none" w:sz="0" w:space="0" w:color="auto"/>
            <w:bottom w:val="none" w:sz="0" w:space="0" w:color="auto"/>
            <w:right w:val="none" w:sz="0" w:space="0" w:color="auto"/>
          </w:divBdr>
        </w:div>
        <w:div w:id="90248651">
          <w:marLeft w:val="0"/>
          <w:marRight w:val="0"/>
          <w:marTop w:val="0"/>
          <w:marBottom w:val="0"/>
          <w:divBdr>
            <w:top w:val="none" w:sz="0" w:space="0" w:color="auto"/>
            <w:left w:val="none" w:sz="0" w:space="0" w:color="auto"/>
            <w:bottom w:val="none" w:sz="0" w:space="0" w:color="auto"/>
            <w:right w:val="none" w:sz="0" w:space="0" w:color="auto"/>
          </w:divBdr>
        </w:div>
        <w:div w:id="472140057">
          <w:marLeft w:val="0"/>
          <w:marRight w:val="0"/>
          <w:marTop w:val="0"/>
          <w:marBottom w:val="0"/>
          <w:divBdr>
            <w:top w:val="none" w:sz="0" w:space="0" w:color="auto"/>
            <w:left w:val="none" w:sz="0" w:space="0" w:color="auto"/>
            <w:bottom w:val="none" w:sz="0" w:space="0" w:color="auto"/>
            <w:right w:val="none" w:sz="0" w:space="0" w:color="auto"/>
          </w:divBdr>
        </w:div>
        <w:div w:id="1872451814">
          <w:marLeft w:val="0"/>
          <w:marRight w:val="0"/>
          <w:marTop w:val="0"/>
          <w:marBottom w:val="0"/>
          <w:divBdr>
            <w:top w:val="none" w:sz="0" w:space="0" w:color="auto"/>
            <w:left w:val="none" w:sz="0" w:space="0" w:color="auto"/>
            <w:bottom w:val="none" w:sz="0" w:space="0" w:color="auto"/>
            <w:right w:val="none" w:sz="0" w:space="0" w:color="auto"/>
          </w:divBdr>
        </w:div>
        <w:div w:id="439688630">
          <w:marLeft w:val="0"/>
          <w:marRight w:val="0"/>
          <w:marTop w:val="0"/>
          <w:marBottom w:val="0"/>
          <w:divBdr>
            <w:top w:val="none" w:sz="0" w:space="0" w:color="auto"/>
            <w:left w:val="none" w:sz="0" w:space="0" w:color="auto"/>
            <w:bottom w:val="none" w:sz="0" w:space="0" w:color="auto"/>
            <w:right w:val="none" w:sz="0" w:space="0" w:color="auto"/>
          </w:divBdr>
        </w:div>
      </w:divsChild>
    </w:div>
    <w:div w:id="1666934406">
      <w:bodyDiv w:val="1"/>
      <w:marLeft w:val="0"/>
      <w:marRight w:val="0"/>
      <w:marTop w:val="0"/>
      <w:marBottom w:val="0"/>
      <w:divBdr>
        <w:top w:val="none" w:sz="0" w:space="0" w:color="auto"/>
        <w:left w:val="none" w:sz="0" w:space="0" w:color="auto"/>
        <w:bottom w:val="none" w:sz="0" w:space="0" w:color="auto"/>
        <w:right w:val="none" w:sz="0" w:space="0" w:color="auto"/>
      </w:divBdr>
      <w:divsChild>
        <w:div w:id="664281579">
          <w:marLeft w:val="0"/>
          <w:marRight w:val="0"/>
          <w:marTop w:val="0"/>
          <w:marBottom w:val="0"/>
          <w:divBdr>
            <w:top w:val="none" w:sz="0" w:space="0" w:color="auto"/>
            <w:left w:val="none" w:sz="0" w:space="0" w:color="auto"/>
            <w:bottom w:val="none" w:sz="0" w:space="0" w:color="auto"/>
            <w:right w:val="none" w:sz="0" w:space="0" w:color="auto"/>
          </w:divBdr>
        </w:div>
        <w:div w:id="1412123563">
          <w:marLeft w:val="0"/>
          <w:marRight w:val="0"/>
          <w:marTop w:val="0"/>
          <w:marBottom w:val="0"/>
          <w:divBdr>
            <w:top w:val="none" w:sz="0" w:space="0" w:color="auto"/>
            <w:left w:val="none" w:sz="0" w:space="0" w:color="auto"/>
            <w:bottom w:val="none" w:sz="0" w:space="0" w:color="auto"/>
            <w:right w:val="none" w:sz="0" w:space="0" w:color="auto"/>
          </w:divBdr>
        </w:div>
        <w:div w:id="62610791">
          <w:marLeft w:val="0"/>
          <w:marRight w:val="0"/>
          <w:marTop w:val="0"/>
          <w:marBottom w:val="0"/>
          <w:divBdr>
            <w:top w:val="none" w:sz="0" w:space="0" w:color="auto"/>
            <w:left w:val="none" w:sz="0" w:space="0" w:color="auto"/>
            <w:bottom w:val="none" w:sz="0" w:space="0" w:color="auto"/>
            <w:right w:val="none" w:sz="0" w:space="0" w:color="auto"/>
          </w:divBdr>
        </w:div>
        <w:div w:id="1750274347">
          <w:marLeft w:val="0"/>
          <w:marRight w:val="0"/>
          <w:marTop w:val="0"/>
          <w:marBottom w:val="0"/>
          <w:divBdr>
            <w:top w:val="none" w:sz="0" w:space="0" w:color="auto"/>
            <w:left w:val="none" w:sz="0" w:space="0" w:color="auto"/>
            <w:bottom w:val="none" w:sz="0" w:space="0" w:color="auto"/>
            <w:right w:val="none" w:sz="0" w:space="0" w:color="auto"/>
          </w:divBdr>
        </w:div>
        <w:div w:id="717242950">
          <w:marLeft w:val="0"/>
          <w:marRight w:val="0"/>
          <w:marTop w:val="0"/>
          <w:marBottom w:val="0"/>
          <w:divBdr>
            <w:top w:val="none" w:sz="0" w:space="0" w:color="auto"/>
            <w:left w:val="none" w:sz="0" w:space="0" w:color="auto"/>
            <w:bottom w:val="none" w:sz="0" w:space="0" w:color="auto"/>
            <w:right w:val="none" w:sz="0" w:space="0" w:color="auto"/>
          </w:divBdr>
        </w:div>
        <w:div w:id="389812919">
          <w:marLeft w:val="0"/>
          <w:marRight w:val="0"/>
          <w:marTop w:val="0"/>
          <w:marBottom w:val="0"/>
          <w:divBdr>
            <w:top w:val="none" w:sz="0" w:space="0" w:color="auto"/>
            <w:left w:val="none" w:sz="0" w:space="0" w:color="auto"/>
            <w:bottom w:val="none" w:sz="0" w:space="0" w:color="auto"/>
            <w:right w:val="none" w:sz="0" w:space="0" w:color="auto"/>
          </w:divBdr>
        </w:div>
        <w:div w:id="334571231">
          <w:marLeft w:val="0"/>
          <w:marRight w:val="0"/>
          <w:marTop w:val="0"/>
          <w:marBottom w:val="0"/>
          <w:divBdr>
            <w:top w:val="none" w:sz="0" w:space="0" w:color="auto"/>
            <w:left w:val="none" w:sz="0" w:space="0" w:color="auto"/>
            <w:bottom w:val="none" w:sz="0" w:space="0" w:color="auto"/>
            <w:right w:val="none" w:sz="0" w:space="0" w:color="auto"/>
          </w:divBdr>
        </w:div>
        <w:div w:id="1070344937">
          <w:marLeft w:val="0"/>
          <w:marRight w:val="0"/>
          <w:marTop w:val="0"/>
          <w:marBottom w:val="0"/>
          <w:divBdr>
            <w:top w:val="none" w:sz="0" w:space="0" w:color="auto"/>
            <w:left w:val="none" w:sz="0" w:space="0" w:color="auto"/>
            <w:bottom w:val="none" w:sz="0" w:space="0" w:color="auto"/>
            <w:right w:val="none" w:sz="0" w:space="0" w:color="auto"/>
          </w:divBdr>
        </w:div>
        <w:div w:id="1040671876">
          <w:marLeft w:val="0"/>
          <w:marRight w:val="0"/>
          <w:marTop w:val="0"/>
          <w:marBottom w:val="0"/>
          <w:divBdr>
            <w:top w:val="none" w:sz="0" w:space="0" w:color="auto"/>
            <w:left w:val="none" w:sz="0" w:space="0" w:color="auto"/>
            <w:bottom w:val="none" w:sz="0" w:space="0" w:color="auto"/>
            <w:right w:val="none" w:sz="0" w:space="0" w:color="auto"/>
          </w:divBdr>
        </w:div>
        <w:div w:id="1312322819">
          <w:marLeft w:val="0"/>
          <w:marRight w:val="0"/>
          <w:marTop w:val="0"/>
          <w:marBottom w:val="0"/>
          <w:divBdr>
            <w:top w:val="none" w:sz="0" w:space="0" w:color="auto"/>
            <w:left w:val="none" w:sz="0" w:space="0" w:color="auto"/>
            <w:bottom w:val="none" w:sz="0" w:space="0" w:color="auto"/>
            <w:right w:val="none" w:sz="0" w:space="0" w:color="auto"/>
          </w:divBdr>
        </w:div>
        <w:div w:id="238028523">
          <w:marLeft w:val="0"/>
          <w:marRight w:val="0"/>
          <w:marTop w:val="0"/>
          <w:marBottom w:val="0"/>
          <w:divBdr>
            <w:top w:val="none" w:sz="0" w:space="0" w:color="auto"/>
            <w:left w:val="none" w:sz="0" w:space="0" w:color="auto"/>
            <w:bottom w:val="none" w:sz="0" w:space="0" w:color="auto"/>
            <w:right w:val="none" w:sz="0" w:space="0" w:color="auto"/>
          </w:divBdr>
        </w:div>
      </w:divsChild>
    </w:div>
    <w:div w:id="1801729085">
      <w:bodyDiv w:val="1"/>
      <w:marLeft w:val="0"/>
      <w:marRight w:val="0"/>
      <w:marTop w:val="0"/>
      <w:marBottom w:val="0"/>
      <w:divBdr>
        <w:top w:val="none" w:sz="0" w:space="0" w:color="auto"/>
        <w:left w:val="none" w:sz="0" w:space="0" w:color="auto"/>
        <w:bottom w:val="none" w:sz="0" w:space="0" w:color="auto"/>
        <w:right w:val="none" w:sz="0" w:space="0" w:color="auto"/>
      </w:divBdr>
      <w:divsChild>
        <w:div w:id="892887442">
          <w:marLeft w:val="0"/>
          <w:marRight w:val="0"/>
          <w:marTop w:val="0"/>
          <w:marBottom w:val="0"/>
          <w:divBdr>
            <w:top w:val="none" w:sz="0" w:space="0" w:color="auto"/>
            <w:left w:val="none" w:sz="0" w:space="0" w:color="auto"/>
            <w:bottom w:val="none" w:sz="0" w:space="0" w:color="auto"/>
            <w:right w:val="none" w:sz="0" w:space="0" w:color="auto"/>
          </w:divBdr>
        </w:div>
        <w:div w:id="1018775897">
          <w:marLeft w:val="0"/>
          <w:marRight w:val="0"/>
          <w:marTop w:val="0"/>
          <w:marBottom w:val="0"/>
          <w:divBdr>
            <w:top w:val="none" w:sz="0" w:space="0" w:color="auto"/>
            <w:left w:val="none" w:sz="0" w:space="0" w:color="auto"/>
            <w:bottom w:val="none" w:sz="0" w:space="0" w:color="auto"/>
            <w:right w:val="none" w:sz="0" w:space="0" w:color="auto"/>
          </w:divBdr>
        </w:div>
      </w:divsChild>
    </w:div>
    <w:div w:id="1813867944">
      <w:bodyDiv w:val="1"/>
      <w:marLeft w:val="0"/>
      <w:marRight w:val="0"/>
      <w:marTop w:val="0"/>
      <w:marBottom w:val="0"/>
      <w:divBdr>
        <w:top w:val="none" w:sz="0" w:space="0" w:color="auto"/>
        <w:left w:val="none" w:sz="0" w:space="0" w:color="auto"/>
        <w:bottom w:val="none" w:sz="0" w:space="0" w:color="auto"/>
        <w:right w:val="none" w:sz="0" w:space="0" w:color="auto"/>
      </w:divBdr>
      <w:divsChild>
        <w:div w:id="1873809707">
          <w:marLeft w:val="0"/>
          <w:marRight w:val="0"/>
          <w:marTop w:val="0"/>
          <w:marBottom w:val="0"/>
          <w:divBdr>
            <w:top w:val="none" w:sz="0" w:space="0" w:color="auto"/>
            <w:left w:val="none" w:sz="0" w:space="0" w:color="auto"/>
            <w:bottom w:val="none" w:sz="0" w:space="0" w:color="auto"/>
            <w:right w:val="none" w:sz="0" w:space="0" w:color="auto"/>
          </w:divBdr>
        </w:div>
        <w:div w:id="747657187">
          <w:marLeft w:val="0"/>
          <w:marRight w:val="0"/>
          <w:marTop w:val="0"/>
          <w:marBottom w:val="0"/>
          <w:divBdr>
            <w:top w:val="none" w:sz="0" w:space="0" w:color="auto"/>
            <w:left w:val="none" w:sz="0" w:space="0" w:color="auto"/>
            <w:bottom w:val="none" w:sz="0" w:space="0" w:color="auto"/>
            <w:right w:val="none" w:sz="0" w:space="0" w:color="auto"/>
          </w:divBdr>
        </w:div>
        <w:div w:id="1335644422">
          <w:marLeft w:val="0"/>
          <w:marRight w:val="0"/>
          <w:marTop w:val="0"/>
          <w:marBottom w:val="0"/>
          <w:divBdr>
            <w:top w:val="none" w:sz="0" w:space="0" w:color="auto"/>
            <w:left w:val="none" w:sz="0" w:space="0" w:color="auto"/>
            <w:bottom w:val="none" w:sz="0" w:space="0" w:color="auto"/>
            <w:right w:val="none" w:sz="0" w:space="0" w:color="auto"/>
          </w:divBdr>
        </w:div>
      </w:divsChild>
    </w:div>
    <w:div w:id="1967269882">
      <w:bodyDiv w:val="1"/>
      <w:marLeft w:val="0"/>
      <w:marRight w:val="0"/>
      <w:marTop w:val="0"/>
      <w:marBottom w:val="0"/>
      <w:divBdr>
        <w:top w:val="none" w:sz="0" w:space="0" w:color="auto"/>
        <w:left w:val="none" w:sz="0" w:space="0" w:color="auto"/>
        <w:bottom w:val="none" w:sz="0" w:space="0" w:color="auto"/>
        <w:right w:val="none" w:sz="0" w:space="0" w:color="auto"/>
      </w:divBdr>
      <w:divsChild>
        <w:div w:id="1064990093">
          <w:marLeft w:val="0"/>
          <w:marRight w:val="0"/>
          <w:marTop w:val="0"/>
          <w:marBottom w:val="0"/>
          <w:divBdr>
            <w:top w:val="none" w:sz="0" w:space="0" w:color="auto"/>
            <w:left w:val="none" w:sz="0" w:space="0" w:color="auto"/>
            <w:bottom w:val="none" w:sz="0" w:space="0" w:color="auto"/>
            <w:right w:val="none" w:sz="0" w:space="0" w:color="auto"/>
          </w:divBdr>
        </w:div>
        <w:div w:id="993221147">
          <w:marLeft w:val="0"/>
          <w:marRight w:val="0"/>
          <w:marTop w:val="0"/>
          <w:marBottom w:val="0"/>
          <w:divBdr>
            <w:top w:val="none" w:sz="0" w:space="0" w:color="auto"/>
            <w:left w:val="none" w:sz="0" w:space="0" w:color="auto"/>
            <w:bottom w:val="none" w:sz="0" w:space="0" w:color="auto"/>
            <w:right w:val="none" w:sz="0" w:space="0" w:color="auto"/>
          </w:divBdr>
        </w:div>
        <w:div w:id="1351562403">
          <w:marLeft w:val="0"/>
          <w:marRight w:val="0"/>
          <w:marTop w:val="0"/>
          <w:marBottom w:val="0"/>
          <w:divBdr>
            <w:top w:val="none" w:sz="0" w:space="0" w:color="auto"/>
            <w:left w:val="none" w:sz="0" w:space="0" w:color="auto"/>
            <w:bottom w:val="none" w:sz="0" w:space="0" w:color="auto"/>
            <w:right w:val="none" w:sz="0" w:space="0" w:color="auto"/>
          </w:divBdr>
        </w:div>
      </w:divsChild>
    </w:div>
    <w:div w:id="2054186584">
      <w:bodyDiv w:val="1"/>
      <w:marLeft w:val="0"/>
      <w:marRight w:val="0"/>
      <w:marTop w:val="0"/>
      <w:marBottom w:val="0"/>
      <w:divBdr>
        <w:top w:val="none" w:sz="0" w:space="0" w:color="auto"/>
        <w:left w:val="none" w:sz="0" w:space="0" w:color="auto"/>
        <w:bottom w:val="none" w:sz="0" w:space="0" w:color="auto"/>
        <w:right w:val="none" w:sz="0" w:space="0" w:color="auto"/>
      </w:divBdr>
      <w:divsChild>
        <w:div w:id="235210751">
          <w:marLeft w:val="0"/>
          <w:marRight w:val="0"/>
          <w:marTop w:val="0"/>
          <w:marBottom w:val="0"/>
          <w:divBdr>
            <w:top w:val="none" w:sz="0" w:space="0" w:color="auto"/>
            <w:left w:val="none" w:sz="0" w:space="0" w:color="auto"/>
            <w:bottom w:val="none" w:sz="0" w:space="0" w:color="auto"/>
            <w:right w:val="none" w:sz="0" w:space="0" w:color="auto"/>
          </w:divBdr>
        </w:div>
        <w:div w:id="1252399372">
          <w:marLeft w:val="0"/>
          <w:marRight w:val="0"/>
          <w:marTop w:val="0"/>
          <w:marBottom w:val="0"/>
          <w:divBdr>
            <w:top w:val="none" w:sz="0" w:space="0" w:color="auto"/>
            <w:left w:val="none" w:sz="0" w:space="0" w:color="auto"/>
            <w:bottom w:val="none" w:sz="0" w:space="0" w:color="auto"/>
            <w:right w:val="none" w:sz="0" w:space="0" w:color="auto"/>
          </w:divBdr>
        </w:div>
      </w:divsChild>
    </w:div>
    <w:div w:id="21442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pps.who.int/gb/ebwha/pdf_files/WHA66/A66_R8-en.pdf?ua=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ho.int/gho/en/"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05D9D0FE-0E90-479A-A9CB-FF51E0402DBF}"/>
      </w:docPartPr>
      <w:docPartBody>
        <w:p w:rsidR="00651983" w:rsidRDefault="00412C1F">
          <w:r w:rsidRPr="007F2EA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1F"/>
    <w:rsid w:val="00252B0D"/>
    <w:rsid w:val="00375EC7"/>
    <w:rsid w:val="00412C1F"/>
    <w:rsid w:val="00590037"/>
    <w:rsid w:val="00651983"/>
    <w:rsid w:val="006E7C14"/>
    <w:rsid w:val="00B0621A"/>
    <w:rsid w:val="00E326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2C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22376e-cd63-4e3a-9ae1-c617fc1c4f2c">
      <Terms xmlns="http://schemas.microsoft.com/office/infopath/2007/PartnerControls"/>
    </lcf76f155ced4ddcb4097134ff3c332f>
    <TaxCatchAll xmlns="bd879b36-96f5-4c4e-979a-9eb1cd712529"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BAB383CFE351E4980079CAB43D24491" ma:contentTypeVersion="20" ma:contentTypeDescription="Create a new document." ma:contentTypeScope="" ma:versionID="3043d4b45f796f1652c2adfe341b829e">
  <xsd:schema xmlns:xsd="http://www.w3.org/2001/XMLSchema" xmlns:xs="http://www.w3.org/2001/XMLSchema" xmlns:p="http://schemas.microsoft.com/office/2006/metadata/properties" xmlns:ns2="1022376e-cd63-4e3a-9ae1-c617fc1c4f2c" xmlns:ns3="bd879b36-96f5-4c4e-979a-9eb1cd712529" targetNamespace="http://schemas.microsoft.com/office/2006/metadata/properties" ma:root="true" ma:fieldsID="6969682a8e05f43864d4d675c15fa870" ns2:_="" ns3:_="">
    <xsd:import namespace="1022376e-cd63-4e3a-9ae1-c617fc1c4f2c"/>
    <xsd:import namespace="bd879b36-96f5-4c4e-979a-9eb1cd7125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22376e-cd63-4e3a-9ae1-c617fc1c4f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879b36-96f5-4c4e-979a-9eb1cd71252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7bd2d8d-f999-4313-a377-f1dde2d31951}" ma:internalName="TaxCatchAll" ma:showField="CatchAllData" ma:web="bd879b36-96f5-4c4e-979a-9eb1cd7125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1022376e-cd63-4e3a-9ae1-c617fc1c4f2c"/>
    <ds:schemaRef ds:uri="bd879b36-96f5-4c4e-979a-9eb1cd712529"/>
  </ds:schemaRefs>
</ds:datastoreItem>
</file>

<file path=customXml/itemProps2.xml><?xml version="1.0" encoding="utf-8"?>
<ds:datastoreItem xmlns:ds="http://schemas.openxmlformats.org/officeDocument/2006/customXml" ds:itemID="{F3AC09F4-E184-4BF8-AA09-CF9AF158FF14}">
  <ds:schemaRefs>
    <ds:schemaRef ds:uri="http://schemas.openxmlformats.org/officeDocument/2006/bibliography"/>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161A4D0-71ED-4CA9-8B6A-C9E2CBCBA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22376e-cd63-4e3a-9ae1-c617fc1c4f2c"/>
    <ds:schemaRef ds:uri="bd879b36-96f5-4c4e-979a-9eb1cd7125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22</TotalTime>
  <Pages>5</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8</cp:revision>
  <cp:lastPrinted>2016-07-16T14:25:00Z</cp:lastPrinted>
  <dcterms:created xsi:type="dcterms:W3CDTF">2024-11-21T16:13:00Z</dcterms:created>
  <dcterms:modified xsi:type="dcterms:W3CDTF">2024-12-20T07:15:00Z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MediaServiceImageTags">
    <vt:lpwstr/>
  </property>
</Properties>
</file>