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629CEC15"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87374F">
        <w:rPr>
          <w:b/>
          <w:color w:val="4A4A4A"/>
          <w:sz w:val="21"/>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2C2834C0" w:rsidR="00B31E2C" w:rsidRPr="00A96255" w:rsidRDefault="00B31E2C" w:rsidP="00EA05D3">
      <w:pPr>
        <w:pStyle w:val="MIndHeader2"/>
      </w:pPr>
      <w:r w:rsidRPr="00A96255">
        <w:t xml:space="preserve">0. Indicator information </w:t>
      </w:r>
      <w:r>
        <w:rPr>
          <w:color w:val="B4B4B4"/>
          <w:sz w:val="20"/>
        </w:rPr>
        <w:t>(SDG_INDICATOR_INFO)</w:t>
      </w:r>
    </w:p>
    <w:p w14:paraId="043ED752" w14:textId="1D7C7BF3"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7B9D8A7B" w14:textId="6B9ACB6B" w:rsidR="00784969" w:rsidRPr="0087374F" w:rsidRDefault="00784969" w:rsidP="00D24330">
      <w:pPr>
        <w:pStyle w:val="MIndHeader"/>
        <w:rPr>
          <w:rFonts w:ascii="Calibri" w:hAnsi="Calibri"/>
          <w:sz w:val="21"/>
        </w:rPr>
      </w:pPr>
      <w:r w:rsidRPr="0087374F">
        <w:rPr>
          <w:rFonts w:ascii="Calibri" w:hAnsi="Calibri"/>
          <w:color w:val="444444"/>
          <w:sz w:val="21"/>
        </w:rPr>
        <w:t>Goal 3: Ensure healthy lives and promote well-being for all at all ages</w:t>
      </w:r>
    </w:p>
    <w:p w14:paraId="084142D2" w14:textId="4BABD6B8" w:rsidR="00D24330" w:rsidRPr="00A96255" w:rsidRDefault="00D24330" w:rsidP="00D24330">
      <w:pPr>
        <w:pStyle w:val="MIndHeader"/>
      </w:pPr>
      <w:r w:rsidRPr="00A96255">
        <w:t xml:space="preserve">0.b. Target </w:t>
      </w:r>
      <w:r>
        <w:rPr>
          <w:color w:val="B4B4B4"/>
          <w:sz w:val="20"/>
        </w:rPr>
        <w:t>(SDG_TARGET)</w:t>
      </w:r>
    </w:p>
    <w:p w14:paraId="3113C4DF" w14:textId="2C7AC3CE" w:rsidR="00784969" w:rsidRPr="0087374F" w:rsidRDefault="00784969" w:rsidP="00D24330">
      <w:pPr>
        <w:pStyle w:val="MIndHeader"/>
        <w:rPr>
          <w:rFonts w:ascii="Calibri" w:hAnsi="Calibri"/>
          <w:sz w:val="21"/>
        </w:rPr>
      </w:pPr>
      <w:r w:rsidRPr="0087374F">
        <w:rPr>
          <w:rFonts w:ascii="Calibri" w:hAnsi="Calibri"/>
          <w:color w:val="444444"/>
          <w:sz w:val="21"/>
        </w:rPr>
        <w:t>Target 3.5: Strengthen the prevention and treatment of substance abuse, including narcotic drug abuse and harmful use of alcohol</w:t>
      </w:r>
    </w:p>
    <w:p w14:paraId="3E67E7E0" w14:textId="1A592896" w:rsidR="00D24330" w:rsidRPr="00A96255" w:rsidRDefault="00D24330" w:rsidP="00D24330">
      <w:pPr>
        <w:pStyle w:val="MIndHeader"/>
      </w:pPr>
      <w:r w:rsidRPr="00A96255">
        <w:t xml:space="preserve">0.c. Indicator </w:t>
      </w:r>
      <w:r>
        <w:rPr>
          <w:color w:val="B4B4B4"/>
          <w:sz w:val="20"/>
        </w:rPr>
        <w:t>(SDG_INDICATOR)</w:t>
      </w:r>
    </w:p>
    <w:p w14:paraId="73360879" w14:textId="7CB67A18" w:rsidR="00784969" w:rsidRDefault="00784969" w:rsidP="00D24330">
      <w:pPr>
        <w:pStyle w:val="MIndHeader"/>
        <w:rPr>
          <w:color w:val="333333"/>
          <w:sz w:val="21"/>
          <w:szCs w:val="21"/>
        </w:rPr>
      </w:pPr>
      <w:r w:rsidRPr="00784969">
        <w:rPr>
          <w:color w:val="333333"/>
          <w:sz w:val="21"/>
          <w:szCs w:val="21"/>
        </w:rPr>
        <w:t>Indicator 3.5.2: Alcohol per capita consumption (aged 15 years and older) within a calendar year in litres of pure alcohol</w:t>
      </w:r>
    </w:p>
    <w:p w14:paraId="37E5E4F6" w14:textId="6976D0DD" w:rsidR="00D24330" w:rsidRPr="00A96255" w:rsidRDefault="00D24330" w:rsidP="00D24330">
      <w:pPr>
        <w:pStyle w:val="MIndHeader"/>
      </w:pPr>
      <w:r w:rsidRPr="00A96255">
        <w:t xml:space="preserve">0.d. Series </w:t>
      </w:r>
      <w:r>
        <w:rPr>
          <w:color w:val="B4B4B4"/>
          <w:sz w:val="20"/>
        </w:rPr>
        <w:t>(SDG_SERIES_DESCR)</w:t>
      </w:r>
    </w:p>
    <w:p w14:paraId="771888BA" w14:textId="3919CCB4" w:rsidR="00D24330" w:rsidRPr="00A96255" w:rsidRDefault="00465433" w:rsidP="00D24330">
      <w:pPr>
        <w:pStyle w:val="MGTHeader"/>
      </w:pPr>
      <w:r w:rsidRPr="0017466B">
        <w:t>Not applicable</w:t>
      </w:r>
    </w:p>
    <w:p w14:paraId="157DACE7" w14:textId="00C62B74" w:rsidR="00D24330" w:rsidRDefault="00D24330" w:rsidP="00D24330">
      <w:pPr>
        <w:pStyle w:val="MIndHeader"/>
      </w:pPr>
      <w:r w:rsidRPr="00A96255">
        <w:t xml:space="preserve">0.e. Metadata update </w:t>
      </w:r>
      <w:r>
        <w:rPr>
          <w:color w:val="B4B4B4"/>
          <w:sz w:val="20"/>
        </w:rPr>
        <w:t>(META_LAST_UPDATE)</w:t>
      </w:r>
    </w:p>
    <w:sdt>
      <w:sdtPr>
        <w:id w:val="-1047677157"/>
        <w:placeholder>
          <w:docPart w:val="DefaultPlaceholder_-1854013437"/>
        </w:placeholder>
        <w:date w:fullDate="2023-03-31T00:00:00Z">
          <w:dateFormat w:val="yyyy-MM-dd"/>
          <w:lid w:val="en-US"/>
          <w:storeMappedDataAs w:val="dateTime"/>
          <w:calendar w:val="gregorian"/>
        </w:date>
      </w:sdtPr>
      <w:sdtContent>
        <w:p w14:paraId="4D7DC121" w14:textId="325F597C" w:rsidR="00784FCA" w:rsidRPr="00784FCA" w:rsidRDefault="00784FCA" w:rsidP="00F21722">
          <w:pPr>
            <w:pStyle w:val="MGTHeader"/>
          </w:pPr>
          <w:r w:rsidRPr="00784FCA">
            <w:t>2023-03-31</w:t>
          </w:r>
        </w:p>
      </w:sdtContent>
    </w:sdt>
    <w:p w14:paraId="415C9FF1" w14:textId="4403ABA3" w:rsidR="00D24330" w:rsidRPr="00A96255" w:rsidRDefault="00D24330" w:rsidP="00D24330">
      <w:pPr>
        <w:pStyle w:val="MIndHeader"/>
      </w:pPr>
      <w:r w:rsidRPr="00A96255">
        <w:t xml:space="preserve">0.f. Related indicators </w:t>
      </w:r>
      <w:r>
        <w:rPr>
          <w:color w:val="B4B4B4"/>
          <w:sz w:val="20"/>
        </w:rPr>
        <w:t>(SDG_RELATED_INDICATORS)</w:t>
      </w:r>
    </w:p>
    <w:p w14:paraId="259EBB03" w14:textId="77777777" w:rsidR="007661AC" w:rsidRDefault="007661AC" w:rsidP="00D24330">
      <w:pPr>
        <w:pStyle w:val="MIndHeader"/>
        <w:rPr>
          <w:rStyle w:val="eop"/>
          <w:rFonts w:ascii="Calibri" w:hAnsi="Calibri" w:cs="Calibri"/>
          <w:color w:val="4A4A4A"/>
          <w:sz w:val="21"/>
          <w:szCs w:val="21"/>
        </w:rPr>
      </w:pPr>
      <w:r>
        <w:rPr>
          <w:rStyle w:val="normaltextrun"/>
          <w:rFonts w:ascii="Calibri" w:hAnsi="Calibri" w:cs="Calibri"/>
          <w:color w:val="4A4A4A"/>
          <w:sz w:val="21"/>
          <w:szCs w:val="21"/>
        </w:rPr>
        <w:t>Goal 8; Targets 3.4, 3.6</w:t>
      </w:r>
      <w:r>
        <w:rPr>
          <w:rStyle w:val="eop"/>
          <w:rFonts w:ascii="Calibri" w:hAnsi="Calibri" w:cs="Calibri"/>
          <w:color w:val="4A4A4A"/>
          <w:sz w:val="21"/>
          <w:szCs w:val="21"/>
        </w:rPr>
        <w:t> </w:t>
      </w:r>
    </w:p>
    <w:p w14:paraId="077BC49E" w14:textId="5BDC5F02"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73DD922D" w:rsidR="008D1D39" w:rsidRDefault="00784969" w:rsidP="00CB1069">
      <w:pPr>
        <w:pStyle w:val="MGTHeader"/>
        <w:rPr>
          <w:rStyle w:val="eop"/>
          <w:rFonts w:ascii="Calibri" w:hAnsi="Calibri" w:cs="Calibri"/>
          <w:color w:val="4A4A4A"/>
        </w:rPr>
      </w:pPr>
      <w:r>
        <w:rPr>
          <w:rStyle w:val="normaltextrun"/>
          <w:rFonts w:ascii="Calibri" w:hAnsi="Calibri" w:cs="Calibri"/>
          <w:color w:val="4A4A4A"/>
        </w:rPr>
        <w:t>World Health Organization (WHO)</w:t>
      </w:r>
      <w:r>
        <w:rPr>
          <w:rStyle w:val="eop"/>
          <w:rFonts w:ascii="Calibri" w:hAnsi="Calibri" w:cs="Calibri"/>
          <w:color w:val="4A4A4A"/>
        </w:rPr>
        <w:t> </w:t>
      </w:r>
    </w:p>
    <w:p w14:paraId="163DCEFF" w14:textId="77777777" w:rsidR="00CB1069" w:rsidRPr="00A96255" w:rsidRDefault="00CB1069" w:rsidP="00573631">
      <w:pPr>
        <w:shd w:val="clear" w:color="auto" w:fill="FFFFFF"/>
        <w:spacing w:after="0"/>
        <w:rPr>
          <w:rFonts w:eastAsia="Times New Roman" w:cs="Times New Roman"/>
          <w:color w:val="4A4A4A"/>
          <w:sz w:val="21"/>
          <w:szCs w:val="21"/>
          <w:lang w:eastAsia="en-GB"/>
        </w:rPr>
      </w:pPr>
    </w:p>
    <w:p w14:paraId="12E0D73A" w14:textId="3035C4EA"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19D02225" w:rsidR="00576CFA" w:rsidRPr="00A96255" w:rsidRDefault="00576CFA" w:rsidP="00F719A8">
      <w:pPr>
        <w:pStyle w:val="MHeader2"/>
      </w:pPr>
      <w:r w:rsidRPr="00A96255">
        <w:t xml:space="preserve">1.a. Organisation </w:t>
      </w:r>
      <w:r>
        <w:rPr>
          <w:color w:val="B4B4B4"/>
          <w:sz w:val="20"/>
        </w:rPr>
        <w:t>(CONTACT_ORGANISATION)</w:t>
      </w:r>
    </w:p>
    <w:p w14:paraId="6E829FD0" w14:textId="5B2CA561" w:rsidR="00F719A8" w:rsidRDefault="00784969"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71EA6EBF" w14:textId="77777777" w:rsidR="00CB1069" w:rsidRDefault="00CB1069" w:rsidP="00576CFA">
      <w:pPr>
        <w:pStyle w:val="MText"/>
      </w:pPr>
    </w:p>
    <w:p w14:paraId="14915AC8" w14:textId="60BAB6D0"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76042D70" w:rsidR="008B0AC7" w:rsidRPr="00A96255" w:rsidRDefault="008B0AC7" w:rsidP="00F719A8">
      <w:pPr>
        <w:pStyle w:val="MHeader2"/>
      </w:pPr>
      <w:r w:rsidRPr="00A96255">
        <w:t xml:space="preserve">2.a. Definition and concepts </w:t>
      </w:r>
      <w:r>
        <w:rPr>
          <w:color w:val="B4B4B4"/>
          <w:sz w:val="20"/>
        </w:rPr>
        <w:t>(STAT_CONC_DEF)</w:t>
      </w:r>
    </w:p>
    <w:p w14:paraId="2A29E44C" w14:textId="3DAFA2C5" w:rsidR="00D51E7C" w:rsidRPr="00E57A33" w:rsidRDefault="00D51E7C" w:rsidP="00644466">
      <w:pPr>
        <w:pStyle w:val="MText"/>
        <w:rPr>
          <w:b/>
        </w:rPr>
      </w:pPr>
      <w:r w:rsidRPr="00E57A33">
        <w:rPr>
          <w:b/>
        </w:rPr>
        <w:t>Definitions:</w:t>
      </w:r>
    </w:p>
    <w:p w14:paraId="57606C9C" w14:textId="5AD159FF" w:rsidR="00784969" w:rsidRDefault="00784969"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Harmful use of alcohol, defined according to the national context as alcohol per capita consumption (aged 15 years and older) within a calendar year in litres of pure alcohol</w:t>
      </w:r>
      <w:r w:rsidR="00644466">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29338FB0" w14:textId="77777777"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A1C25CF" w14:textId="78583EA8" w:rsidR="00784969" w:rsidRDefault="00784969"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Total alcohol per capita </w:t>
      </w:r>
      <w:r w:rsidR="00466C68">
        <w:rPr>
          <w:rStyle w:val="normaltextrun"/>
          <w:rFonts w:ascii="Calibri" w:hAnsi="Calibri" w:cs="Calibri"/>
          <w:color w:val="4A4A4A"/>
          <w:sz w:val="21"/>
          <w:szCs w:val="21"/>
          <w:lang w:val="en-GB"/>
        </w:rPr>
        <w:t xml:space="preserve">(15+ years) </w:t>
      </w:r>
      <w:r>
        <w:rPr>
          <w:rStyle w:val="normaltextrun"/>
          <w:rFonts w:ascii="Calibri" w:hAnsi="Calibri" w:cs="Calibri"/>
          <w:color w:val="4A4A4A"/>
          <w:sz w:val="21"/>
          <w:szCs w:val="21"/>
          <w:lang w:val="en-GB"/>
        </w:rPr>
        <w:t xml:space="preserve">consumption (APC) is defined as the total (sum of </w:t>
      </w:r>
      <w:r w:rsidR="00C95C4E">
        <w:rPr>
          <w:rStyle w:val="normaltextrun"/>
          <w:rFonts w:ascii="Calibri" w:hAnsi="Calibri" w:cs="Calibri"/>
          <w:color w:val="4A4A4A"/>
          <w:sz w:val="21"/>
          <w:szCs w:val="21"/>
          <w:lang w:val="en-GB"/>
        </w:rPr>
        <w:t xml:space="preserve">three-year average </w:t>
      </w:r>
      <w:r>
        <w:rPr>
          <w:rStyle w:val="normaltextrun"/>
          <w:rFonts w:ascii="Calibri" w:hAnsi="Calibri" w:cs="Calibri"/>
          <w:color w:val="4A4A4A"/>
          <w:sz w:val="21"/>
          <w:szCs w:val="21"/>
          <w:lang w:val="en-GB"/>
        </w:rPr>
        <w:t xml:space="preserve">recorded APC and unrecorded APC </w:t>
      </w:r>
      <w:r w:rsidR="001E78C6">
        <w:rPr>
          <w:rStyle w:val="normaltextrun"/>
          <w:rFonts w:ascii="Calibri" w:hAnsi="Calibri" w:cs="Calibri"/>
          <w:color w:val="4A4A4A"/>
          <w:sz w:val="21"/>
          <w:szCs w:val="21"/>
          <w:lang w:val="en-GB"/>
        </w:rPr>
        <w:t>adjusted for tourist consumption</w:t>
      </w:r>
      <w:r>
        <w:rPr>
          <w:rStyle w:val="normaltextrun"/>
          <w:rFonts w:ascii="Calibri" w:hAnsi="Calibri" w:cs="Calibri"/>
          <w:color w:val="4A4A4A"/>
          <w:sz w:val="21"/>
          <w:szCs w:val="21"/>
          <w:lang w:val="en-GB"/>
        </w:rPr>
        <w:t xml:space="preserve">) amount of </w:t>
      </w:r>
      <w:r w:rsidR="00015D68">
        <w:rPr>
          <w:rStyle w:val="normaltextrun"/>
          <w:rFonts w:ascii="Calibri" w:hAnsi="Calibri" w:cs="Calibri"/>
          <w:color w:val="4A4A4A"/>
          <w:sz w:val="21"/>
          <w:szCs w:val="21"/>
          <w:lang w:val="en-GB"/>
        </w:rPr>
        <w:t xml:space="preserve">pure </w:t>
      </w:r>
      <w:r>
        <w:rPr>
          <w:rStyle w:val="normaltextrun"/>
          <w:rFonts w:ascii="Calibri" w:hAnsi="Calibri" w:cs="Calibri"/>
          <w:color w:val="4A4A4A"/>
          <w:sz w:val="21"/>
          <w:szCs w:val="21"/>
          <w:lang w:val="en-GB"/>
        </w:rPr>
        <w:t>alcohol consumed per adult (15+ years)</w:t>
      </w:r>
      <w:r w:rsidR="00963178">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r w:rsidR="00963178">
        <w:rPr>
          <w:rStyle w:val="normaltextrun"/>
          <w:rFonts w:ascii="Calibri" w:hAnsi="Calibri" w:cs="Calibri"/>
          <w:color w:val="4A4A4A"/>
          <w:sz w:val="21"/>
          <w:szCs w:val="21"/>
          <w:lang w:val="en-GB"/>
        </w:rPr>
        <w:t xml:space="preserve">in </w:t>
      </w:r>
      <w:r>
        <w:rPr>
          <w:rStyle w:val="normaltextrun"/>
          <w:rFonts w:ascii="Calibri" w:hAnsi="Calibri" w:cs="Calibri"/>
          <w:color w:val="4A4A4A"/>
          <w:sz w:val="21"/>
          <w:szCs w:val="21"/>
          <w:lang w:val="en-GB"/>
        </w:rPr>
        <w:t xml:space="preserve">a calendar year, in litres of pure alcohol. Recorded alcohol consumption refers to official statistics at country level (production, import, export, and sales or taxation data), while the unrecorded alcohol consumption refers to alcohol which is not taxed and is outside the usual system of governmental control, such as home or informally produced alcohol (legal or illegal), smuggled alcohol, surrogate alcohol (which is alcohol not intended for human consumption), or alcohol obtained through </w:t>
      </w:r>
      <w:r>
        <w:rPr>
          <w:rStyle w:val="normaltextrun"/>
          <w:rFonts w:ascii="Calibri" w:hAnsi="Calibri" w:cs="Calibri"/>
          <w:color w:val="4A4A4A"/>
          <w:sz w:val="21"/>
          <w:szCs w:val="21"/>
          <w:lang w:val="en-GB"/>
        </w:rPr>
        <w:lastRenderedPageBreak/>
        <w:t xml:space="preserve">cross-border shopping (which is recorded in a different jurisdiction). Tourist consumption </w:t>
      </w:r>
      <w:proofErr w:type="gramStart"/>
      <w:r>
        <w:rPr>
          <w:rStyle w:val="normaltextrun"/>
          <w:rFonts w:ascii="Calibri" w:hAnsi="Calibri" w:cs="Calibri"/>
          <w:color w:val="4A4A4A"/>
          <w:sz w:val="21"/>
          <w:szCs w:val="21"/>
          <w:lang w:val="en-GB"/>
        </w:rPr>
        <w:t>takes into account</w:t>
      </w:r>
      <w:proofErr w:type="gramEnd"/>
      <w:r>
        <w:rPr>
          <w:rStyle w:val="normaltextrun"/>
          <w:rFonts w:ascii="Calibri" w:hAnsi="Calibri" w:cs="Calibri"/>
          <w:color w:val="4A4A4A"/>
          <w:sz w:val="21"/>
          <w:szCs w:val="21"/>
          <w:lang w:val="en-GB"/>
        </w:rPr>
        <w:t xml:space="preserve"> tourists visiting the country and inhabitants visiting other countries. Positive figures denote alcohol consumption of outbound tourists being greater than alcohol consumption by inbound tourists, negative numbers the opposite. Tourist consumption is based on UN statistics, and data are provided by </w:t>
      </w:r>
      <w:r w:rsidR="0082599D">
        <w:rPr>
          <w:rStyle w:val="normaltextrun"/>
          <w:rFonts w:ascii="Calibri" w:hAnsi="Calibri" w:cs="Calibri"/>
          <w:color w:val="4A4A4A"/>
          <w:sz w:val="21"/>
          <w:szCs w:val="21"/>
          <w:lang w:val="en-GB"/>
        </w:rPr>
        <w:t>the Institute for Health Metrics and Evaluation</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2E9433A3" w14:textId="068DB734" w:rsidR="00D51E7C" w:rsidRPr="00C019E5" w:rsidRDefault="00D51E7C" w:rsidP="00576CFA">
      <w:pPr>
        <w:pStyle w:val="MText"/>
        <w:rPr>
          <w:highlight w:val="cyan"/>
        </w:rPr>
      </w:pPr>
    </w:p>
    <w:p w14:paraId="05BA0835" w14:textId="050170A2" w:rsidR="00D51E7C" w:rsidRPr="00E57A33" w:rsidRDefault="00D51E7C" w:rsidP="0082599D">
      <w:pPr>
        <w:pStyle w:val="MText"/>
        <w:rPr>
          <w:b/>
        </w:rPr>
      </w:pPr>
      <w:r w:rsidRPr="00E57A33">
        <w:rPr>
          <w:b/>
        </w:rPr>
        <w:t>Concepts:</w:t>
      </w:r>
    </w:p>
    <w:p w14:paraId="4CB70FCE" w14:textId="77777777" w:rsidR="0082599D" w:rsidRDefault="00784969" w:rsidP="001A550E">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eastAsia="en-GB"/>
        </w:rPr>
      </w:pPr>
      <w:r>
        <w:rPr>
          <w:rStyle w:val="normaltextrun"/>
          <w:rFonts w:ascii="Calibri" w:hAnsi="Calibri" w:cs="Calibri"/>
          <w:color w:val="4A4A4A"/>
          <w:sz w:val="21"/>
          <w:szCs w:val="21"/>
          <w:lang w:val="en-GB"/>
        </w:rPr>
        <w:t>Recorded alcohol per capita (15+) consumption of pure alcohol is calculated as the sum of beverage-specific alcohol consumption of pure alcohol (beer, wine, spirits, other) from different sources. The first priority in the decision tree is given to government national statistics; second are country-specific alcohol industry statistics in the public domain based on interviews or fieldwork (</w:t>
      </w:r>
      <w:proofErr w:type="spellStart"/>
      <w:r>
        <w:rPr>
          <w:rStyle w:val="normaltextrun"/>
          <w:rFonts w:ascii="Calibri" w:hAnsi="Calibri" w:cs="Calibri"/>
          <w:color w:val="4A4A4A"/>
          <w:sz w:val="21"/>
          <w:szCs w:val="21"/>
          <w:lang w:val="en-GB"/>
        </w:rPr>
        <w:t>GlobalData</w:t>
      </w:r>
      <w:proofErr w:type="spellEnd"/>
      <w:r>
        <w:rPr>
          <w:rStyle w:val="normaltextrun"/>
          <w:rFonts w:ascii="Calibri" w:hAnsi="Calibri" w:cs="Calibri"/>
          <w:color w:val="4A4A4A"/>
          <w:sz w:val="21"/>
          <w:szCs w:val="21"/>
          <w:lang w:val="en-GB"/>
        </w:rPr>
        <w:t> (formerly </w:t>
      </w:r>
      <w:proofErr w:type="spellStart"/>
      <w:r>
        <w:rPr>
          <w:rStyle w:val="normaltextrun"/>
          <w:rFonts w:ascii="Calibri" w:hAnsi="Calibri" w:cs="Calibri"/>
          <w:color w:val="4A4A4A"/>
          <w:sz w:val="21"/>
          <w:szCs w:val="21"/>
          <w:lang w:val="en-GB"/>
        </w:rPr>
        <w:t>Canadean</w:t>
      </w:r>
      <w:proofErr w:type="spellEnd"/>
      <w:r>
        <w:rPr>
          <w:rStyle w:val="normaltextrun"/>
          <w:rFonts w:ascii="Calibri" w:hAnsi="Calibri" w:cs="Calibri"/>
          <w:color w:val="4A4A4A"/>
          <w:sz w:val="21"/>
          <w:szCs w:val="21"/>
          <w:lang w:val="en-GB"/>
        </w:rPr>
        <w:t xml:space="preserve">), International Wine and Spirit Research (IWSR), Wine Institute; historically World Drink Trends) or data from the International Organisation of Vine and Wine (OIV); third is the Food and Agriculture Organization of the United Nations' statistical database (FAOSTAT), and fourth is data from alcohol industry statistics in the public domain based on desk review. </w:t>
      </w:r>
    </w:p>
    <w:p w14:paraId="0C962176" w14:textId="77777777" w:rsidR="0082599D" w:rsidRDefault="0082599D" w:rsidP="00784969">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73481161" w14:textId="07DBF4AF" w:rsidR="00784969" w:rsidRDefault="00784969"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For countries where the data source is FAOSTAT</w:t>
      </w:r>
      <w:r w:rsidR="0082599D">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the unrecorded consumption may be included in the recorded consumption. As </w:t>
      </w:r>
      <w:r w:rsidR="00646455">
        <w:rPr>
          <w:rStyle w:val="normaltextrun"/>
          <w:rFonts w:ascii="Calibri" w:hAnsi="Calibri" w:cs="Calibri"/>
          <w:color w:val="4A4A4A"/>
          <w:sz w:val="21"/>
          <w:szCs w:val="21"/>
          <w:lang w:val="en-GB"/>
        </w:rPr>
        <w:t>for the</w:t>
      </w:r>
      <w:r>
        <w:rPr>
          <w:rStyle w:val="normaltextrun"/>
          <w:rFonts w:ascii="Calibri" w:hAnsi="Calibri" w:cs="Calibri"/>
          <w:color w:val="4A4A4A"/>
          <w:sz w:val="21"/>
          <w:szCs w:val="21"/>
          <w:lang w:val="en-GB"/>
        </w:rPr>
        <w:t xml:space="preserve"> beverage-specific categor</w:t>
      </w:r>
      <w:r w:rsidR="00646455">
        <w:rPr>
          <w:rStyle w:val="normaltextrun"/>
          <w:rFonts w:ascii="Calibri" w:hAnsi="Calibri" w:cs="Calibri"/>
          <w:color w:val="4A4A4A"/>
          <w:sz w:val="21"/>
          <w:szCs w:val="21"/>
          <w:lang w:val="en-GB"/>
        </w:rPr>
        <w:t>ies</w:t>
      </w:r>
      <w:r>
        <w:rPr>
          <w:rStyle w:val="normaltextrun"/>
          <w:rFonts w:ascii="Calibri" w:hAnsi="Calibri" w:cs="Calibri"/>
          <w:color w:val="4A4A4A"/>
          <w:sz w:val="21"/>
          <w:szCs w:val="21"/>
          <w:lang w:val="en-GB"/>
        </w:rPr>
        <w:t>, beer includes malt beers, wine includes wine made from grapes</w:t>
      </w:r>
      <w:r w:rsidR="00646455">
        <w:rPr>
          <w:rStyle w:val="normaltextrun"/>
          <w:rFonts w:ascii="Calibri" w:hAnsi="Calibri" w:cs="Calibri"/>
          <w:color w:val="4A4A4A"/>
          <w:sz w:val="21"/>
          <w:szCs w:val="21"/>
          <w:lang w:val="en-GB"/>
        </w:rPr>
        <w:t xml:space="preserve"> and vermouth</w:t>
      </w:r>
      <w:r>
        <w:rPr>
          <w:rStyle w:val="normaltextrun"/>
          <w:rFonts w:ascii="Calibri" w:hAnsi="Calibri" w:cs="Calibri"/>
          <w:color w:val="4A4A4A"/>
          <w:sz w:val="21"/>
          <w:szCs w:val="21"/>
          <w:lang w:val="en-GB"/>
        </w:rPr>
        <w:t xml:space="preserve">, spirits include all distilled beverages, and other includes one or several other alcoholic beverages, such as fermented beverages made from sorghum, maize, millet, rice, or cider, fruit wine, fortified wine, etc. For unrecorded APC, the </w:t>
      </w:r>
      <w:proofErr w:type="gramStart"/>
      <w:r>
        <w:rPr>
          <w:rStyle w:val="normaltextrun"/>
          <w:rFonts w:ascii="Calibri" w:hAnsi="Calibri" w:cs="Calibri"/>
          <w:color w:val="4A4A4A"/>
          <w:sz w:val="21"/>
          <w:szCs w:val="21"/>
          <w:lang w:val="en-GB"/>
        </w:rPr>
        <w:t>first priority</w:t>
      </w:r>
      <w:proofErr w:type="gramEnd"/>
      <w:r>
        <w:rPr>
          <w:rStyle w:val="normaltextrun"/>
          <w:rFonts w:ascii="Calibri" w:hAnsi="Calibri" w:cs="Calibri"/>
          <w:color w:val="4A4A4A"/>
          <w:sz w:val="21"/>
          <w:szCs w:val="21"/>
          <w:lang w:val="en-GB"/>
        </w:rPr>
        <w:t xml:space="preserve"> in the decision tree is given to nationally representative empirical data; these are often general population surveys in countries where alcohol is legal. Second are specific empirical investigations, and third is expert opinion supported by periodic survey of experts at country level using modified Delphi-technique.</w:t>
      </w:r>
      <w:r>
        <w:rPr>
          <w:rStyle w:val="eop"/>
          <w:rFonts w:ascii="Calibri" w:hAnsi="Calibri" w:cs="Calibri"/>
          <w:color w:val="4A4A4A"/>
          <w:sz w:val="21"/>
          <w:szCs w:val="21"/>
        </w:rPr>
        <w:t> </w:t>
      </w:r>
    </w:p>
    <w:p w14:paraId="2ECF9E04" w14:textId="77777777"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64615BD" w14:textId="51255C33" w:rsidR="006B4296" w:rsidRDefault="00784969" w:rsidP="00F21722">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For recorded APC, </w:t>
      </w:r>
      <w:r w:rsidR="00CA29BE">
        <w:rPr>
          <w:rStyle w:val="normaltextrun"/>
          <w:rFonts w:ascii="Calibri" w:hAnsi="Calibri" w:cs="Calibri"/>
          <w:color w:val="4A4A4A"/>
          <w:sz w:val="21"/>
          <w:szCs w:val="21"/>
          <w:lang w:val="en-GB"/>
        </w:rPr>
        <w:t>i</w:t>
      </w:r>
      <w:r w:rsidR="00CA29BE" w:rsidRPr="00CA29BE">
        <w:rPr>
          <w:rStyle w:val="normaltextrun"/>
          <w:rFonts w:ascii="Calibri" w:hAnsi="Calibri" w:cs="Calibri"/>
          <w:color w:val="4A4A4A"/>
          <w:sz w:val="21"/>
          <w:szCs w:val="21"/>
          <w:lang w:val="en-GB"/>
        </w:rPr>
        <w:t xml:space="preserve">f beverage volumes </w:t>
      </w:r>
      <w:r w:rsidR="00CA29BE">
        <w:rPr>
          <w:rStyle w:val="normaltextrun"/>
          <w:rFonts w:ascii="Calibri" w:hAnsi="Calibri" w:cs="Calibri"/>
          <w:color w:val="4A4A4A"/>
          <w:sz w:val="21"/>
          <w:szCs w:val="21"/>
          <w:lang w:val="en-GB"/>
        </w:rPr>
        <w:t>a</w:t>
      </w:r>
      <w:r w:rsidR="00CA29BE" w:rsidRPr="00CA29BE">
        <w:rPr>
          <w:rStyle w:val="normaltextrun"/>
          <w:rFonts w:ascii="Calibri" w:hAnsi="Calibri" w:cs="Calibri"/>
          <w:color w:val="4A4A4A"/>
          <w:sz w:val="21"/>
          <w:szCs w:val="21"/>
          <w:lang w:val="en-GB"/>
        </w:rPr>
        <w:t xml:space="preserve">re not available in litres of pure alcohol, </w:t>
      </w:r>
      <w:r w:rsidR="004F79BB">
        <w:rPr>
          <w:rStyle w:val="normaltextrun"/>
          <w:rFonts w:ascii="Calibri" w:hAnsi="Calibri" w:cs="Calibri"/>
          <w:color w:val="4A4A4A"/>
          <w:sz w:val="21"/>
          <w:szCs w:val="21"/>
          <w:lang w:val="en-GB"/>
        </w:rPr>
        <w:t>they are</w:t>
      </w:r>
      <w:r w:rsidR="00CA29BE" w:rsidRPr="00CA29BE">
        <w:rPr>
          <w:rStyle w:val="normaltextrun"/>
          <w:rFonts w:ascii="Calibri" w:hAnsi="Calibri" w:cs="Calibri"/>
          <w:color w:val="4A4A4A"/>
          <w:sz w:val="21"/>
          <w:szCs w:val="21"/>
          <w:lang w:val="en-GB"/>
        </w:rPr>
        <w:t xml:space="preserve"> transformed</w:t>
      </w:r>
      <w:r>
        <w:rPr>
          <w:rStyle w:val="normaltextrun"/>
          <w:rFonts w:ascii="Calibri" w:hAnsi="Calibri" w:cs="Calibri"/>
          <w:color w:val="4A4A4A"/>
          <w:sz w:val="21"/>
          <w:szCs w:val="21"/>
          <w:lang w:val="en-GB"/>
        </w:rPr>
        <w:t xml:space="preserve"> into litres of pure alcohol</w:t>
      </w:r>
      <w:r w:rsidR="004F79BB">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r w:rsidR="004F79BB">
        <w:rPr>
          <w:rStyle w:val="normaltextrun"/>
          <w:rFonts w:ascii="Calibri" w:hAnsi="Calibri" w:cs="Calibri"/>
          <w:color w:val="4A4A4A"/>
          <w:sz w:val="21"/>
          <w:szCs w:val="21"/>
          <w:lang w:val="en-GB"/>
        </w:rPr>
        <w:t>T</w:t>
      </w:r>
      <w:r>
        <w:rPr>
          <w:rStyle w:val="normaltextrun"/>
          <w:rFonts w:ascii="Calibri" w:hAnsi="Calibri" w:cs="Calibri"/>
          <w:color w:val="4A4A4A"/>
          <w:sz w:val="21"/>
          <w:szCs w:val="21"/>
          <w:lang w:val="en-GB"/>
        </w:rPr>
        <w:t xml:space="preserve">he alcohol content (% alcohol by volume)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xml:space="preserve"> as follows: </w:t>
      </w:r>
      <w:r w:rsidR="004F79BB">
        <w:rPr>
          <w:rStyle w:val="normaltextrun"/>
          <w:rFonts w:ascii="Calibri" w:hAnsi="Calibri" w:cs="Calibri"/>
          <w:color w:val="4A4A4A"/>
          <w:sz w:val="21"/>
          <w:szCs w:val="21"/>
          <w:lang w:val="en-GB"/>
        </w:rPr>
        <w:t>b</w:t>
      </w:r>
      <w:r>
        <w:rPr>
          <w:rStyle w:val="normaltextrun"/>
          <w:rFonts w:ascii="Calibri" w:hAnsi="Calibri" w:cs="Calibri"/>
          <w:color w:val="4A4A4A"/>
          <w:sz w:val="21"/>
          <w:szCs w:val="21"/>
          <w:lang w:val="en-GB"/>
        </w:rPr>
        <w:t xml:space="preserve">eer (barley beer 5%), </w:t>
      </w:r>
      <w:r w:rsidR="004F79BB">
        <w:rPr>
          <w:rStyle w:val="normaltextrun"/>
          <w:rFonts w:ascii="Calibri" w:hAnsi="Calibri" w:cs="Calibri"/>
          <w:color w:val="4A4A4A"/>
          <w:sz w:val="21"/>
          <w:szCs w:val="21"/>
          <w:lang w:val="en-GB"/>
        </w:rPr>
        <w:t>w</w:t>
      </w:r>
      <w:r>
        <w:rPr>
          <w:rStyle w:val="normaltextrun"/>
          <w:rFonts w:ascii="Calibri" w:hAnsi="Calibri" w:cs="Calibri"/>
          <w:color w:val="4A4A4A"/>
          <w:sz w:val="21"/>
          <w:szCs w:val="21"/>
          <w:lang w:val="en-GB"/>
        </w:rPr>
        <w:t xml:space="preserve">ine (grape wine 12%; must of grape 9%, vermouth 16%), </w:t>
      </w:r>
      <w:r w:rsidR="004F79BB">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pirits (distilled spirits 40%; spirit-like 30%), and </w:t>
      </w:r>
      <w:r w:rsidR="00A777E8">
        <w:rPr>
          <w:rStyle w:val="normaltextrun"/>
          <w:rFonts w:ascii="Calibri" w:hAnsi="Calibri" w:cs="Calibri"/>
          <w:color w:val="4A4A4A"/>
          <w:sz w:val="21"/>
          <w:szCs w:val="21"/>
          <w:lang w:val="en-GB"/>
        </w:rPr>
        <w:t>o</w:t>
      </w:r>
      <w:r>
        <w:rPr>
          <w:rStyle w:val="normaltextrun"/>
          <w:rFonts w:ascii="Calibri" w:hAnsi="Calibri" w:cs="Calibri"/>
          <w:color w:val="4A4A4A"/>
          <w:sz w:val="21"/>
          <w:szCs w:val="21"/>
          <w:lang w:val="en-GB"/>
        </w:rPr>
        <w:t>ther (sorghum, millet, maize beers 5%; cider 5%; fortified wine 17% and 18%; fermented wheat and fermented rice 9%; other fermented beverages 9%).</w:t>
      </w:r>
    </w:p>
    <w:p w14:paraId="3F042C8E" w14:textId="77777777" w:rsidR="006B4296" w:rsidRDefault="006B4296" w:rsidP="00784969">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69C1550D" w14:textId="50F88836" w:rsidR="006B4296" w:rsidRDefault="006B4296" w:rsidP="00F21722">
      <w:pPr>
        <w:pStyle w:val="paragraph"/>
        <w:shd w:val="clear" w:color="auto" w:fill="FFFFFF"/>
        <w:spacing w:before="0" w:beforeAutospacing="0" w:after="0" w:afterAutospacing="0" w:line="276" w:lineRule="auto"/>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U</w:t>
      </w:r>
      <w:r w:rsidRPr="006B4296">
        <w:rPr>
          <w:rStyle w:val="normaltextrun"/>
          <w:rFonts w:ascii="Calibri" w:hAnsi="Calibri" w:cs="Calibri"/>
          <w:color w:val="4A4A4A"/>
          <w:sz w:val="21"/>
          <w:szCs w:val="21"/>
          <w:lang w:val="en-GB"/>
        </w:rPr>
        <w:t>nrecorded APC is estimated using a regression analysis. Fractional response random intercepts regression models, which account for clustering of data points within countries, are used to estimate what percentage of total APC is due to unrecorded APC. Univariate models are fitted for alcohol consumption statistics and other predictors</w:t>
      </w:r>
      <w:r w:rsidR="00A57716">
        <w:rPr>
          <w:rStyle w:val="normaltextrun"/>
          <w:rFonts w:ascii="Calibri" w:hAnsi="Calibri" w:cs="Calibri"/>
          <w:color w:val="4A4A4A"/>
          <w:sz w:val="21"/>
          <w:szCs w:val="21"/>
          <w:lang w:val="en-GB"/>
        </w:rPr>
        <w:t>.</w:t>
      </w:r>
    </w:p>
    <w:p w14:paraId="5643401C" w14:textId="77777777" w:rsidR="00784969" w:rsidRDefault="00784969" w:rsidP="002A5AE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CFF5B98" w14:textId="1AB4C907" w:rsidR="00784969" w:rsidRDefault="00784969"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litres of alcohol consumed by tourists (15 years of age and older) in a country </w:t>
      </w:r>
      <w:r w:rsidR="00A93D08">
        <w:rPr>
          <w:rStyle w:val="normaltextrun"/>
          <w:rFonts w:ascii="Calibri" w:hAnsi="Calibri" w:cs="Calibri"/>
          <w:color w:val="4A4A4A"/>
          <w:sz w:val="21"/>
          <w:szCs w:val="21"/>
          <w:lang w:val="en-GB"/>
        </w:rPr>
        <w:t>a</w:t>
      </w:r>
      <w:r>
        <w:rPr>
          <w:rStyle w:val="normaltextrun"/>
          <w:rFonts w:ascii="Calibri" w:hAnsi="Calibri" w:cs="Calibri"/>
          <w:color w:val="4A4A4A"/>
          <w:sz w:val="21"/>
          <w:szCs w:val="21"/>
          <w:lang w:val="en-GB"/>
        </w:rPr>
        <w:t>re based on the number of tourists who visited a country, the average amount of time they spent in the country, and how much these people drink on average in their countries of origin (estimated based on per capita consumption of recorded and unrecorded alcohol). Furthermore, tourist alcohol consumption also account</w:t>
      </w:r>
      <w:r w:rsidR="00AF0B57">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for the inhabitants of a country consuming alcohol while visiting other countries (based on the average time spent outside of their country (for all people 15 years and older) and the amount of alcohol consumed in their country of origin). These estimations assume the following: (1) that people drink the same amounts of alcohol when they are tourists as they do in their home countries, and (2) that global tourist consumption is equal to 0 (and thus tourist consumption can be either net negative or positive).</w:t>
      </w:r>
      <w:r>
        <w:rPr>
          <w:rStyle w:val="eop"/>
          <w:rFonts w:ascii="Calibri" w:hAnsi="Calibri" w:cs="Calibri"/>
          <w:color w:val="4A4A4A"/>
          <w:sz w:val="21"/>
          <w:szCs w:val="21"/>
        </w:rPr>
        <w:t> </w:t>
      </w:r>
    </w:p>
    <w:p w14:paraId="6E54D3D6" w14:textId="49A77D03" w:rsidR="00EC2915" w:rsidRPr="00A96255" w:rsidRDefault="00EC2915" w:rsidP="00576CFA">
      <w:pPr>
        <w:pStyle w:val="MText"/>
      </w:pPr>
    </w:p>
    <w:p w14:paraId="7932F8BD" w14:textId="6484623B"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3FB76F83" w:rsidR="00576CFA" w:rsidRPr="00A96255" w:rsidRDefault="007C3842" w:rsidP="00576CFA">
      <w:pPr>
        <w:pStyle w:val="MText"/>
      </w:pPr>
      <w:r w:rsidRPr="0017466B">
        <w:lastRenderedPageBreak/>
        <w:t>Litres of pure alcohol</w:t>
      </w:r>
      <w:r w:rsidR="000B2C15" w:rsidRPr="0017466B">
        <w:t xml:space="preserve"> </w:t>
      </w:r>
    </w:p>
    <w:p w14:paraId="548E9AAA" w14:textId="77777777" w:rsidR="00EC2915" w:rsidRPr="00A96255" w:rsidRDefault="00EC2915" w:rsidP="00576CFA">
      <w:pPr>
        <w:pStyle w:val="MText"/>
      </w:pPr>
    </w:p>
    <w:p w14:paraId="651AA7AC" w14:textId="745DC200" w:rsidR="00DA615C" w:rsidRPr="00A96255" w:rsidRDefault="008B0AC7" w:rsidP="00F719A8">
      <w:pPr>
        <w:pStyle w:val="MHeader2"/>
      </w:pPr>
      <w:r w:rsidRPr="00A96255">
        <w:t xml:space="preserve">2.c. Classifications </w:t>
      </w:r>
      <w:r>
        <w:rPr>
          <w:color w:val="B4B4B4"/>
          <w:sz w:val="20"/>
        </w:rPr>
        <w:t>(CLASS_SYSTEM)</w:t>
      </w:r>
    </w:p>
    <w:p w14:paraId="6291A7DD" w14:textId="7B3DDE16" w:rsidR="00576CFA" w:rsidRPr="00A96255" w:rsidRDefault="007C3842" w:rsidP="00576CFA">
      <w:pPr>
        <w:pStyle w:val="MText"/>
      </w:pPr>
      <w:r w:rsidRPr="0017466B">
        <w:t>Not applicable</w:t>
      </w:r>
    </w:p>
    <w:p w14:paraId="123172F4" w14:textId="77777777" w:rsidR="00F719A8" w:rsidRPr="00A96255" w:rsidRDefault="00F719A8" w:rsidP="00576CFA">
      <w:pPr>
        <w:pStyle w:val="MText"/>
      </w:pPr>
    </w:p>
    <w:p w14:paraId="1D3AEECA" w14:textId="2CF33943" w:rsidR="00B31E2C" w:rsidRPr="00F719A8" w:rsidRDefault="00B31E2C" w:rsidP="00F719A8">
      <w:pPr>
        <w:pStyle w:val="MHeader"/>
      </w:pPr>
      <w:r w:rsidRPr="00F719A8">
        <w:t xml:space="preserve">3. Data source type and data collection method </w:t>
      </w:r>
      <w:r>
        <w:rPr>
          <w:color w:val="B4B4B4"/>
          <w:sz w:val="20"/>
        </w:rPr>
        <w:t>(SRC_TYPE_COLL_METHOD)</w:t>
      </w:r>
    </w:p>
    <w:p w14:paraId="41C93D1B" w14:textId="09E88D6B" w:rsidR="007661AC" w:rsidRPr="00CB1069" w:rsidRDefault="008B0AC7" w:rsidP="00CB1069">
      <w:pPr>
        <w:pStyle w:val="MHeader2"/>
      </w:pPr>
      <w:r w:rsidRPr="00A96255">
        <w:t>3.a. Data sources</w:t>
      </w:r>
      <w:r w:rsidR="002738CE" w:rsidRPr="002738CE">
        <w:t xml:space="preserve"> </w:t>
      </w:r>
      <w:r w:rsidR="007661AC">
        <w:rPr>
          <w:rStyle w:val="eop"/>
          <w:rFonts w:ascii="Calibri" w:hAnsi="Calibri" w:cs="Calibri"/>
          <w:color w:val="4A4A4A"/>
          <w:sz w:val="21"/>
          <w:szCs w:val="21"/>
        </w:rPr>
        <w:t> </w:t>
      </w:r>
      <w:r>
        <w:rPr>
          <w:color w:val="B4B4B4"/>
          <w:sz w:val="20"/>
        </w:rPr>
        <w:t>(SOURCE_TYPE)</w:t>
      </w:r>
    </w:p>
    <w:p w14:paraId="603A1E4E" w14:textId="0F7DE89B" w:rsidR="007661AC" w:rsidRDefault="007661AC"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Recorded: Government statistics or, alternatively, alcohol industry statistics in the public domain, FAOSTAT</w:t>
      </w:r>
      <w:r w:rsidR="00EC2E5C">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30A98CF3" w14:textId="77777777" w:rsidR="007661AC" w:rsidRDefault="007661AC" w:rsidP="00F21722">
      <w:pPr>
        <w:pStyle w:val="NoSpacing"/>
        <w:rPr>
          <w:rFonts w:ascii="Segoe UI" w:hAnsi="Segoe UI" w:cs="Segoe UI"/>
          <w:sz w:val="18"/>
          <w:szCs w:val="18"/>
        </w:rPr>
      </w:pPr>
      <w:r>
        <w:rPr>
          <w:rStyle w:val="eop"/>
          <w:color w:val="4A4A4A"/>
          <w:sz w:val="21"/>
          <w:szCs w:val="21"/>
        </w:rPr>
        <w:t> </w:t>
      </w:r>
    </w:p>
    <w:p w14:paraId="73910E5B" w14:textId="1B3A3FB6" w:rsidR="007661AC" w:rsidRDefault="007661AC" w:rsidP="00F21722">
      <w:pPr>
        <w:pStyle w:val="paragraph"/>
        <w:shd w:val="clear" w:color="auto" w:fill="FFFFFF"/>
        <w:spacing w:before="0" w:beforeAutospacing="0" w:after="0" w:afterAutospacing="0" w:line="276" w:lineRule="auto"/>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Unrecorded: Nationally representative empirical data or, alternatively, specific empirical investigations, expert opinion.</w:t>
      </w:r>
      <w:r>
        <w:rPr>
          <w:rStyle w:val="eop"/>
          <w:rFonts w:ascii="Calibri" w:hAnsi="Calibri" w:cs="Calibri"/>
          <w:color w:val="4A4A4A"/>
          <w:sz w:val="21"/>
          <w:szCs w:val="21"/>
        </w:rPr>
        <w:t> </w:t>
      </w:r>
    </w:p>
    <w:p w14:paraId="24AAF01D" w14:textId="4CCA5333" w:rsidR="007A4FEE" w:rsidRDefault="007A4FEE" w:rsidP="00F21722">
      <w:pPr>
        <w:pStyle w:val="NoSpacing"/>
        <w:rPr>
          <w:rStyle w:val="eop"/>
          <w:rFonts w:ascii="Calibri" w:hAnsi="Calibri" w:cs="Calibri"/>
          <w:color w:val="4A4A4A"/>
          <w:sz w:val="21"/>
          <w:szCs w:val="21"/>
        </w:rPr>
      </w:pPr>
    </w:p>
    <w:p w14:paraId="08E6B8BD" w14:textId="12E96433" w:rsidR="007A4FEE" w:rsidRDefault="007A4FEE"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A4A4A"/>
          <w:sz w:val="21"/>
          <w:szCs w:val="21"/>
        </w:rPr>
        <w:t>Tourist: UN tourist statistics</w:t>
      </w:r>
    </w:p>
    <w:p w14:paraId="3018A8D8" w14:textId="77777777" w:rsidR="00EC2915" w:rsidRPr="00A96255" w:rsidRDefault="00EC2915" w:rsidP="00576CFA">
      <w:pPr>
        <w:pStyle w:val="MText"/>
      </w:pPr>
    </w:p>
    <w:p w14:paraId="79368080" w14:textId="64AED728"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5BF3BE1C" w14:textId="02C80ABD" w:rsidR="007661AC" w:rsidRPr="00F21722" w:rsidRDefault="007661AC" w:rsidP="00F21722">
      <w:pPr>
        <w:pStyle w:val="paragraph"/>
        <w:shd w:val="clear" w:color="auto" w:fill="FFFFFF"/>
        <w:spacing w:before="0" w:beforeAutospacing="0" w:after="0" w:afterAutospacing="0" w:line="276" w:lineRule="auto"/>
        <w:textAlignment w:val="baseline"/>
        <w:rPr>
          <w:rStyle w:val="eop"/>
          <w:rFonts w:ascii="Calibri" w:hAnsi="Calibri"/>
          <w:color w:val="4A4A4A"/>
          <w:sz w:val="21"/>
          <w:lang w:val="en-GB"/>
        </w:rPr>
      </w:pPr>
      <w:r>
        <w:rPr>
          <w:rStyle w:val="normaltextrun"/>
          <w:rFonts w:ascii="Calibri" w:hAnsi="Calibri" w:cs="Calibri"/>
          <w:color w:val="4A4A4A"/>
          <w:sz w:val="21"/>
          <w:szCs w:val="21"/>
          <w:lang w:val="en-GB"/>
        </w:rPr>
        <w:t xml:space="preserve">The Global Survey on Alcohol and Health is conducted periodically in collaboration with all six WHO regional offices. National counterparts or focal points in all WHO Member States are officially nominated by the respective ministries of health. They are provided with the online survey data collection tool for completion. Where </w:t>
      </w:r>
      <w:r w:rsidR="004B5602">
        <w:rPr>
          <w:rStyle w:val="normaltextrun"/>
          <w:rFonts w:ascii="Calibri" w:hAnsi="Calibri" w:cs="Calibri"/>
          <w:color w:val="4A4A4A"/>
          <w:sz w:val="21"/>
          <w:szCs w:val="21"/>
          <w:lang w:val="en-GB"/>
        </w:rPr>
        <w:t xml:space="preserve">online completion </w:t>
      </w:r>
      <w:r>
        <w:rPr>
          <w:rStyle w:val="normaltextrun"/>
          <w:rFonts w:ascii="Calibri" w:hAnsi="Calibri" w:cs="Calibri"/>
          <w:color w:val="4A4A4A"/>
          <w:sz w:val="21"/>
          <w:szCs w:val="21"/>
          <w:lang w:val="en-GB"/>
        </w:rPr>
        <w:t>is not feasible, a hard copy of the tool is forwarded to those who requested it. The survey submissions are checked and whenever information is incomplete or in need of clarification, the questionnaire is returned to the focal point or national counterpart in the country concerned for revision. Amendments to the survey responses are resubmitted by e-mail or electronically. Data submitted from countries is triangulated with data from key industry-supported data providers at annual meetings organized by WHO with an objective to identify discrepancies and solutions. Estimates for key indicators</w:t>
      </w:r>
      <w:r w:rsidR="00DA25C1">
        <w:rPr>
          <w:rStyle w:val="normaltextrun"/>
          <w:rFonts w:ascii="Calibri" w:hAnsi="Calibri" w:cs="Calibri"/>
          <w:color w:val="4A4A4A"/>
          <w:sz w:val="21"/>
          <w:szCs w:val="21"/>
          <w:lang w:val="en-GB"/>
        </w:rPr>
        <w:t>, such as APC,</w:t>
      </w:r>
      <w:r>
        <w:rPr>
          <w:rStyle w:val="normaltextrun"/>
          <w:rFonts w:ascii="Calibri" w:hAnsi="Calibri" w:cs="Calibri"/>
          <w:color w:val="4A4A4A"/>
          <w:sz w:val="21"/>
          <w:szCs w:val="21"/>
          <w:lang w:val="en-GB"/>
        </w:rPr>
        <w:t xml:space="preserve"> are compiled into country profiles which are sent to the focal point or national counterpart in the country for validation and endorsement.</w:t>
      </w:r>
      <w:r>
        <w:rPr>
          <w:rStyle w:val="eop"/>
          <w:rFonts w:ascii="Calibri" w:hAnsi="Calibri" w:cs="Calibri"/>
          <w:color w:val="4A4A4A"/>
          <w:sz w:val="21"/>
          <w:szCs w:val="21"/>
        </w:rPr>
        <w:t> </w:t>
      </w:r>
    </w:p>
    <w:p w14:paraId="7D9F065F" w14:textId="77777777" w:rsidR="00EC2915" w:rsidRPr="00A96255" w:rsidRDefault="00EC2915" w:rsidP="002A5AEF">
      <w:pPr>
        <w:pStyle w:val="MText"/>
      </w:pPr>
    </w:p>
    <w:p w14:paraId="170A2C05" w14:textId="2280F9AB" w:rsidR="00E46D96" w:rsidRPr="00A96255" w:rsidRDefault="00E46D96" w:rsidP="00F719A8">
      <w:pPr>
        <w:pStyle w:val="MHeader2"/>
      </w:pPr>
      <w:r w:rsidRPr="00A96255">
        <w:t xml:space="preserve">3.c. Data collection calendar </w:t>
      </w:r>
      <w:r>
        <w:rPr>
          <w:color w:val="B4B4B4"/>
          <w:sz w:val="20"/>
        </w:rPr>
        <w:t>(FREQ_COLL)</w:t>
      </w:r>
    </w:p>
    <w:p w14:paraId="2952DD96" w14:textId="716933CD" w:rsidR="007661AC" w:rsidRDefault="001948C0"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O</w:t>
      </w:r>
      <w:r w:rsidR="007661AC">
        <w:rPr>
          <w:rStyle w:val="normaltextrun"/>
          <w:rFonts w:ascii="Calibri" w:hAnsi="Calibri" w:cs="Calibri"/>
          <w:color w:val="4A4A4A"/>
          <w:sz w:val="21"/>
          <w:szCs w:val="21"/>
          <w:lang w:val="en-GB"/>
        </w:rPr>
        <w:t>ngoing</w:t>
      </w:r>
      <w:r>
        <w:rPr>
          <w:rStyle w:val="normaltextrun"/>
          <w:rFonts w:ascii="Calibri" w:hAnsi="Calibri" w:cs="Calibri"/>
          <w:color w:val="4A4A4A"/>
          <w:sz w:val="21"/>
          <w:szCs w:val="21"/>
          <w:lang w:val="en-GB"/>
        </w:rPr>
        <w:t xml:space="preserve"> updates from </w:t>
      </w:r>
      <w:r w:rsidR="008260B9">
        <w:rPr>
          <w:rStyle w:val="normaltextrun"/>
          <w:rFonts w:ascii="Calibri" w:hAnsi="Calibri" w:cs="Calibri"/>
          <w:color w:val="4A4A4A"/>
          <w:sz w:val="21"/>
          <w:szCs w:val="21"/>
          <w:lang w:val="en-GB"/>
        </w:rPr>
        <w:t xml:space="preserve">data </w:t>
      </w:r>
      <w:r>
        <w:rPr>
          <w:rStyle w:val="normaltextrun"/>
          <w:rFonts w:ascii="Calibri" w:hAnsi="Calibri" w:cs="Calibri"/>
          <w:color w:val="4A4A4A"/>
          <w:sz w:val="21"/>
          <w:szCs w:val="21"/>
          <w:lang w:val="en-GB"/>
        </w:rPr>
        <w:t>sources</w:t>
      </w:r>
      <w:r w:rsidR="005875D5">
        <w:rPr>
          <w:rStyle w:val="normaltextrun"/>
          <w:rFonts w:ascii="Calibri" w:hAnsi="Calibri" w:cs="Calibri"/>
          <w:color w:val="4A4A4A"/>
          <w:sz w:val="21"/>
          <w:szCs w:val="21"/>
          <w:lang w:val="en-GB"/>
        </w:rPr>
        <w:t xml:space="preserve"> on the web</w:t>
      </w:r>
      <w:r w:rsidR="007661AC">
        <w:rPr>
          <w:rStyle w:val="normaltextrun"/>
          <w:rFonts w:ascii="Calibri" w:hAnsi="Calibri" w:cs="Calibri"/>
          <w:color w:val="4A4A4A"/>
          <w:sz w:val="21"/>
          <w:szCs w:val="21"/>
          <w:lang w:val="en-GB"/>
        </w:rPr>
        <w:t>. The next WHO global surveys on alcohol and health involving data collection from WHO Member States</w:t>
      </w:r>
      <w:r w:rsidR="00EC2E5C">
        <w:rPr>
          <w:rStyle w:val="normaltextrun"/>
          <w:rFonts w:ascii="Calibri" w:hAnsi="Calibri" w:cs="Calibri"/>
          <w:color w:val="4A4A4A"/>
          <w:sz w:val="21"/>
          <w:szCs w:val="21"/>
          <w:lang w:val="en-GB"/>
        </w:rPr>
        <w:t xml:space="preserve"> are</w:t>
      </w:r>
      <w:r w:rsidR="007661AC">
        <w:rPr>
          <w:rStyle w:val="normaltextrun"/>
          <w:rFonts w:ascii="Calibri" w:hAnsi="Calibri" w:cs="Calibri"/>
          <w:color w:val="4A4A4A"/>
          <w:sz w:val="21"/>
          <w:szCs w:val="21"/>
          <w:lang w:val="en-GB"/>
        </w:rPr>
        <w:t xml:space="preserve"> in 2022</w:t>
      </w:r>
      <w:r w:rsidR="00B866B9">
        <w:rPr>
          <w:rStyle w:val="normaltextrun"/>
          <w:rFonts w:ascii="Calibri" w:hAnsi="Calibri" w:cs="Calibri"/>
          <w:color w:val="4A4A4A"/>
          <w:sz w:val="21"/>
          <w:szCs w:val="21"/>
          <w:lang w:val="en-GB"/>
        </w:rPr>
        <w:t xml:space="preserve"> and 2025</w:t>
      </w:r>
      <w:r w:rsidR="007661AC">
        <w:rPr>
          <w:rStyle w:val="normaltextrun"/>
          <w:rFonts w:ascii="Calibri" w:hAnsi="Calibri" w:cs="Calibri"/>
          <w:color w:val="4A4A4A"/>
          <w:sz w:val="21"/>
          <w:szCs w:val="21"/>
          <w:lang w:val="en-GB"/>
        </w:rPr>
        <w:t>.</w:t>
      </w:r>
      <w:r w:rsidR="007661AC">
        <w:rPr>
          <w:rStyle w:val="eop"/>
          <w:rFonts w:ascii="Calibri" w:hAnsi="Calibri" w:cs="Calibri"/>
          <w:color w:val="4A4A4A"/>
          <w:sz w:val="21"/>
          <w:szCs w:val="21"/>
        </w:rPr>
        <w:t> </w:t>
      </w:r>
    </w:p>
    <w:p w14:paraId="01BA862E" w14:textId="77777777" w:rsidR="00EC2915" w:rsidRPr="00A96255" w:rsidRDefault="00EC2915" w:rsidP="00576CFA">
      <w:pPr>
        <w:pStyle w:val="MText"/>
      </w:pPr>
    </w:p>
    <w:p w14:paraId="7D466604" w14:textId="48F6CA52" w:rsidR="00E46D96" w:rsidRPr="00F719A8" w:rsidRDefault="00E46D96" w:rsidP="00F719A8">
      <w:pPr>
        <w:pStyle w:val="MHeader2"/>
      </w:pPr>
      <w:r w:rsidRPr="00A96255">
        <w:t xml:space="preserve">3.d. Data release calendar </w:t>
      </w:r>
      <w:r>
        <w:rPr>
          <w:color w:val="B4B4B4"/>
          <w:sz w:val="20"/>
        </w:rPr>
        <w:t>(REL_CAL_POLICY)</w:t>
      </w:r>
    </w:p>
    <w:p w14:paraId="64C749BD" w14:textId="6C514A76" w:rsidR="00EC2915" w:rsidRDefault="000F3B0F" w:rsidP="00576CFA">
      <w:pPr>
        <w:pStyle w:val="MText"/>
        <w:rPr>
          <w:rStyle w:val="eop"/>
        </w:rPr>
      </w:pPr>
      <w:r>
        <w:rPr>
          <w:rStyle w:val="normaltextrun"/>
          <w:rFonts w:ascii="Calibri" w:hAnsi="Calibri" w:cs="Calibri"/>
        </w:rPr>
        <w:t>Annually</w:t>
      </w:r>
      <w:r w:rsidR="007661AC">
        <w:rPr>
          <w:rStyle w:val="normaltextrun"/>
        </w:rPr>
        <w:t> </w:t>
      </w:r>
      <w:r w:rsidR="007661AC">
        <w:rPr>
          <w:rStyle w:val="eop"/>
        </w:rPr>
        <w:t> </w:t>
      </w:r>
    </w:p>
    <w:p w14:paraId="7D4AA146" w14:textId="77777777" w:rsidR="007661AC" w:rsidRPr="00A96255" w:rsidRDefault="007661AC" w:rsidP="00576CFA">
      <w:pPr>
        <w:pStyle w:val="MText"/>
      </w:pPr>
    </w:p>
    <w:p w14:paraId="3A4F3065" w14:textId="612B857C" w:rsidR="00E46D96" w:rsidRPr="00A96255" w:rsidRDefault="00E46D96" w:rsidP="00F719A8">
      <w:pPr>
        <w:pStyle w:val="MHeader2"/>
      </w:pPr>
      <w:r w:rsidRPr="00A96255">
        <w:t xml:space="preserve">3.e. Data providers </w:t>
      </w:r>
      <w:r>
        <w:rPr>
          <w:color w:val="B4B4B4"/>
          <w:sz w:val="20"/>
        </w:rPr>
        <w:t>(DATA_SOURCE)</w:t>
      </w:r>
    </w:p>
    <w:p w14:paraId="480D290A" w14:textId="77777777" w:rsidR="007661AC" w:rsidRDefault="007661AC"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Ministries of Health; National statistical bureau/agencies (data on alcohol production and trade/sales); National monitoring centres on alcohol and drug use; National academic and monitoring centres concerned with population-based surveys of risk factors to health.</w:t>
      </w:r>
      <w:r>
        <w:rPr>
          <w:rStyle w:val="eop"/>
          <w:rFonts w:ascii="Calibri" w:hAnsi="Calibri" w:cs="Calibri"/>
          <w:color w:val="4A4A4A"/>
          <w:sz w:val="21"/>
          <w:szCs w:val="21"/>
        </w:rPr>
        <w:t> </w:t>
      </w:r>
    </w:p>
    <w:p w14:paraId="50A66E64" w14:textId="77777777" w:rsidR="00EC2915" w:rsidRPr="00A96255" w:rsidRDefault="00EC2915" w:rsidP="00576CFA">
      <w:pPr>
        <w:pStyle w:val="MText"/>
      </w:pPr>
    </w:p>
    <w:p w14:paraId="30DC8E05" w14:textId="5DACE340" w:rsidR="00E46D96" w:rsidRPr="00A96255" w:rsidRDefault="00E46D96" w:rsidP="00F719A8">
      <w:pPr>
        <w:pStyle w:val="MHeader2"/>
      </w:pPr>
      <w:r w:rsidRPr="00A96255">
        <w:t xml:space="preserve">3.f. Data compilers </w:t>
      </w:r>
      <w:r>
        <w:rPr>
          <w:color w:val="B4B4B4"/>
          <w:sz w:val="20"/>
        </w:rPr>
        <w:t>(COMPILING_ORG)</w:t>
      </w:r>
    </w:p>
    <w:p w14:paraId="5C43435B" w14:textId="04113A3C" w:rsidR="00EC2915" w:rsidRDefault="007661AC"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4D951241" w14:textId="77777777" w:rsidR="007661AC" w:rsidRPr="00A96255" w:rsidRDefault="007661AC" w:rsidP="00576CFA">
      <w:pPr>
        <w:pStyle w:val="MText"/>
      </w:pPr>
    </w:p>
    <w:p w14:paraId="5655E768" w14:textId="4C96FC18" w:rsidR="00E46D96" w:rsidRPr="00A96255" w:rsidRDefault="00E46D96" w:rsidP="00F719A8">
      <w:pPr>
        <w:pStyle w:val="MHeader2"/>
      </w:pPr>
      <w:r w:rsidRPr="00A96255">
        <w:t xml:space="preserve">3.g. Institutional mandate </w:t>
      </w:r>
      <w:r>
        <w:rPr>
          <w:color w:val="B4B4B4"/>
          <w:sz w:val="20"/>
        </w:rPr>
        <w:t>(INST_MANDATE)</w:t>
      </w:r>
    </w:p>
    <w:p w14:paraId="26B863C3" w14:textId="5D2638E1" w:rsidR="00576CFA" w:rsidRPr="00A96255" w:rsidRDefault="008B119A" w:rsidP="00576CFA">
      <w:pPr>
        <w:pStyle w:val="MText"/>
      </w:pPr>
      <w:r>
        <w:t>Monitoring public health risks and g</w:t>
      </w:r>
      <w:r w:rsidR="00FB58B8" w:rsidRPr="00FB58B8">
        <w:t xml:space="preserve">enerate, collate, </w:t>
      </w:r>
      <w:proofErr w:type="gramStart"/>
      <w:r w:rsidR="00FB58B8" w:rsidRPr="00FB58B8">
        <w:t>compile</w:t>
      </w:r>
      <w:proofErr w:type="gramEnd"/>
      <w:r w:rsidR="00FB58B8" w:rsidRPr="00FB58B8">
        <w:t xml:space="preserve"> and disseminate reliable information on the health impact of alcohol, drugs and addictive behaviours as well as health policy and health system responses</w:t>
      </w:r>
      <w:r w:rsidR="00FB58B8">
        <w:t>.</w:t>
      </w:r>
      <w:r w:rsidR="00FB58B8" w:rsidRPr="00FB58B8">
        <w:rPr>
          <w:highlight w:val="yellow"/>
        </w:rPr>
        <w:t xml:space="preserve"> </w:t>
      </w:r>
    </w:p>
    <w:p w14:paraId="3D063F4C" w14:textId="77777777" w:rsidR="00F719A8" w:rsidRPr="00A96255" w:rsidRDefault="00F719A8" w:rsidP="00576CFA">
      <w:pPr>
        <w:pStyle w:val="MText"/>
      </w:pPr>
    </w:p>
    <w:p w14:paraId="6149DC94" w14:textId="5752097F" w:rsidR="00B31E2C" w:rsidRPr="00A96255" w:rsidRDefault="00B31E2C" w:rsidP="00AF5ED1">
      <w:pPr>
        <w:pStyle w:val="MHeader"/>
      </w:pPr>
      <w:r w:rsidRPr="00A96255">
        <w:t xml:space="preserve">4. Other methodological considerations </w:t>
      </w:r>
      <w:r>
        <w:rPr>
          <w:color w:val="B4B4B4"/>
          <w:sz w:val="20"/>
        </w:rPr>
        <w:t>(OTHER_METHOD)</w:t>
      </w:r>
    </w:p>
    <w:p w14:paraId="1AFA5517" w14:textId="014332BE" w:rsidR="00AF5ED1" w:rsidRPr="00A96255" w:rsidRDefault="00576CFA" w:rsidP="00F719A8">
      <w:pPr>
        <w:pStyle w:val="MHeader2"/>
      </w:pPr>
      <w:r w:rsidRPr="00A96255">
        <w:t xml:space="preserve">4.a. Rationale </w:t>
      </w:r>
      <w:r>
        <w:rPr>
          <w:color w:val="B4B4B4"/>
          <w:sz w:val="20"/>
        </w:rPr>
        <w:t>(RATIONALE)</w:t>
      </w:r>
    </w:p>
    <w:p w14:paraId="0AD7EEA2" w14:textId="0BA4EE20" w:rsidR="00576CFA" w:rsidRPr="00A96255" w:rsidRDefault="002956B5" w:rsidP="002956B5">
      <w:pPr>
        <w:pStyle w:val="MText"/>
      </w:pPr>
      <w:r>
        <w:t xml:space="preserve">Alcohol consumption can have an impact not only on the incidence of diseases, </w:t>
      </w:r>
      <w:proofErr w:type="gramStart"/>
      <w:r>
        <w:t>injuries</w:t>
      </w:r>
      <w:proofErr w:type="gramEnd"/>
      <w:r>
        <w:t xml:space="preserve"> and other health conditions, but also on the course of disorders and their outcomes in individuals. Alcohol consumption has been identified as a component cause for more than 200 diseases, </w:t>
      </w:r>
      <w:proofErr w:type="gramStart"/>
      <w:r>
        <w:t>injuries</w:t>
      </w:r>
      <w:proofErr w:type="gramEnd"/>
      <w:r>
        <w:t xml:space="preserve"> and other health conditions. Per capita alcohol consumption is widely accepted as the best possible indicator of alcohol exposure in populations and the key indicator for estimation of alcohol-attributable disease burden and alcohol-attributable deaths. Its correct interpretation requires the use of additional population-based indicators such as prevalence of drinking, and, as a result, stimulates development of national monitoring systems on alcohol and health involving contributions from a wide range of stakeholders, including alcohol production and trade sectors.</w:t>
      </w:r>
      <w:r w:rsidRPr="00A96255">
        <w:rPr>
          <w:highlight w:val="yellow"/>
        </w:rPr>
        <w:t xml:space="preserve"> </w:t>
      </w:r>
    </w:p>
    <w:p w14:paraId="18EA7892" w14:textId="77777777" w:rsidR="00576CFA" w:rsidRPr="00A96255" w:rsidRDefault="00576CFA" w:rsidP="00576CFA">
      <w:pPr>
        <w:pStyle w:val="MText"/>
      </w:pPr>
    </w:p>
    <w:p w14:paraId="2529B069" w14:textId="09FE6231" w:rsidR="00E1050F" w:rsidRPr="00A96255" w:rsidRDefault="00E1050F" w:rsidP="00F719A8">
      <w:pPr>
        <w:pStyle w:val="MHeader2"/>
      </w:pPr>
      <w:r w:rsidRPr="00A96255">
        <w:t xml:space="preserve">4.b. Comment and limitations </w:t>
      </w:r>
      <w:r>
        <w:rPr>
          <w:color w:val="B4B4B4"/>
          <w:sz w:val="20"/>
        </w:rPr>
        <w:t>(REC_USE_LIM)</w:t>
      </w:r>
    </w:p>
    <w:p w14:paraId="2A813B4A" w14:textId="3D2F85C0" w:rsidR="00784969" w:rsidRDefault="00784969"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indicator is feasible and suitable for monitoring purposes as evidenced by availability of data from 190 countries and inclusion of this indicator in global, </w:t>
      </w:r>
      <w:proofErr w:type="gramStart"/>
      <w:r>
        <w:rPr>
          <w:rStyle w:val="normaltextrun"/>
          <w:rFonts w:ascii="Calibri" w:hAnsi="Calibri" w:cs="Calibri"/>
          <w:color w:val="4A4A4A"/>
          <w:sz w:val="21"/>
          <w:szCs w:val="21"/>
          <w:lang w:val="en-GB"/>
        </w:rPr>
        <w:t>regional</w:t>
      </w:r>
      <w:proofErr w:type="gramEnd"/>
      <w:r>
        <w:rPr>
          <w:rStyle w:val="normaltextrun"/>
          <w:rFonts w:ascii="Calibri" w:hAnsi="Calibri" w:cs="Calibri"/>
          <w:color w:val="4A4A4A"/>
          <w:sz w:val="21"/>
          <w:szCs w:val="21"/>
          <w:lang w:val="en-GB"/>
        </w:rPr>
        <w:t xml:space="preserve"> and national monitoring frameworks. This is the key indicator for alcohol exposure in populations. The data available (based on production, import, export, and sales or taxation) do not enable the disaggregation of alcohol per capita consumption (APC) by sex or age; to this end, other data sources, such as survey data, are needed. The estimation of unrecorded APC remains a challenge, and triangulation of data from different sources as well as Delphi-techniques are used for increasing validity of estimates. In recent time</w:t>
      </w:r>
      <w:r w:rsidR="00A632B6">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the number of research activities focused on improvement of the estimates of unrecorded alcohol consumption as well as their geographical coverage have increased substantially. As a result, it leads to a more accurate assessment of the total amount of alcohol consumed per person per year </w:t>
      </w:r>
      <w:proofErr w:type="gramStart"/>
      <w:r>
        <w:rPr>
          <w:rStyle w:val="normaltextrun"/>
          <w:rFonts w:ascii="Calibri" w:hAnsi="Calibri" w:cs="Calibri"/>
          <w:color w:val="4A4A4A"/>
          <w:sz w:val="21"/>
          <w:szCs w:val="21"/>
          <w:lang w:val="en-GB"/>
        </w:rPr>
        <w:t>in a given</w:t>
      </w:r>
      <w:proofErr w:type="gramEnd"/>
      <w:r>
        <w:rPr>
          <w:rStyle w:val="normaltextrun"/>
          <w:rFonts w:ascii="Calibri" w:hAnsi="Calibri" w:cs="Calibri"/>
          <w:color w:val="4A4A4A"/>
          <w:sz w:val="21"/>
          <w:szCs w:val="21"/>
          <w:lang w:val="en-GB"/>
        </w:rPr>
        <w:t xml:space="preserve"> country.</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F09A9FF" w:rsidR="00E1050F" w:rsidRPr="00A96255" w:rsidRDefault="00E1050F" w:rsidP="00F719A8">
      <w:pPr>
        <w:pStyle w:val="MHeader2"/>
      </w:pPr>
      <w:r w:rsidRPr="00A96255">
        <w:t xml:space="preserve">4.c. Method of computation </w:t>
      </w:r>
      <w:r>
        <w:rPr>
          <w:color w:val="B4B4B4"/>
          <w:sz w:val="20"/>
        </w:rPr>
        <w:t>(DATA_COMP)</w:t>
      </w:r>
    </w:p>
    <w:p w14:paraId="196EA08E" w14:textId="4E0A3178" w:rsidR="00784969" w:rsidRDefault="00784969"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Numerator: The sum of the amount of recorded alcohol consumed per capita (15+ years), average during three calendar years, in litres of pure alcohol, and the amount of </w:t>
      </w:r>
      <w:r w:rsidR="003B70E6">
        <w:rPr>
          <w:rStyle w:val="normaltextrun"/>
          <w:rFonts w:ascii="Calibri" w:hAnsi="Calibri" w:cs="Calibri"/>
          <w:color w:val="4A4A4A"/>
          <w:sz w:val="21"/>
          <w:szCs w:val="21"/>
          <w:lang w:val="en-GB"/>
        </w:rPr>
        <w:t xml:space="preserve">three-year average </w:t>
      </w:r>
      <w:r>
        <w:rPr>
          <w:rStyle w:val="normaltextrun"/>
          <w:rFonts w:ascii="Calibri" w:hAnsi="Calibri" w:cs="Calibri"/>
          <w:color w:val="4A4A4A"/>
          <w:sz w:val="21"/>
          <w:szCs w:val="21"/>
          <w:lang w:val="en-GB"/>
        </w:rPr>
        <w:t>unrecorded alcohol per capita consumption (15+ years), during a calendar year, in litres of pure alcohol, adjusted for tourist consumption.</w:t>
      </w:r>
      <w:r>
        <w:rPr>
          <w:rStyle w:val="eop"/>
          <w:rFonts w:ascii="Calibri" w:hAnsi="Calibri" w:cs="Calibri"/>
          <w:color w:val="4A4A4A"/>
          <w:sz w:val="21"/>
          <w:szCs w:val="21"/>
        </w:rPr>
        <w:t> </w:t>
      </w:r>
    </w:p>
    <w:p w14:paraId="44121EF5" w14:textId="77777777" w:rsidR="00784969" w:rsidRDefault="00784969" w:rsidP="00F21722">
      <w:pPr>
        <w:pStyle w:val="NoSpacing"/>
        <w:rPr>
          <w:rFonts w:ascii="Segoe UI" w:hAnsi="Segoe UI" w:cs="Segoe UI"/>
          <w:sz w:val="18"/>
          <w:szCs w:val="18"/>
        </w:rPr>
      </w:pPr>
      <w:r>
        <w:rPr>
          <w:rStyle w:val="eop"/>
          <w:color w:val="4A4A4A"/>
          <w:sz w:val="21"/>
          <w:szCs w:val="21"/>
        </w:rPr>
        <w:t> </w:t>
      </w:r>
    </w:p>
    <w:p w14:paraId="063A7FC3" w14:textId="77777777" w:rsidR="00784969" w:rsidRDefault="00784969"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Denominator: Midyear resident population (15+ years) for the same calendar year, UN World Population Prospects, medium variant.</w:t>
      </w:r>
      <w:r>
        <w:rPr>
          <w:rStyle w:val="eop"/>
          <w:rFonts w:ascii="Calibri" w:hAnsi="Calibri" w:cs="Calibri"/>
          <w:color w:val="4A4A4A"/>
          <w:sz w:val="21"/>
          <w:szCs w:val="21"/>
        </w:rPr>
        <w:t> </w:t>
      </w:r>
    </w:p>
    <w:p w14:paraId="57A459F3" w14:textId="571BB4D7" w:rsidR="00784969" w:rsidRDefault="00784969" w:rsidP="00576CFA">
      <w:pPr>
        <w:pStyle w:val="MText"/>
      </w:pPr>
    </w:p>
    <w:p w14:paraId="514CE3C0" w14:textId="30CB89D2" w:rsidR="00E1050F" w:rsidRPr="00A96255" w:rsidRDefault="00576CFA" w:rsidP="00F719A8">
      <w:pPr>
        <w:pStyle w:val="MHeader2"/>
      </w:pPr>
      <w:r w:rsidRPr="00A96255">
        <w:t xml:space="preserve">4.d. Validation </w:t>
      </w:r>
      <w:r>
        <w:rPr>
          <w:color w:val="B4B4B4"/>
          <w:sz w:val="20"/>
        </w:rPr>
        <w:t>(DATA_VALIDATION)</w:t>
      </w:r>
    </w:p>
    <w:p w14:paraId="388B39BD" w14:textId="02BD00A8" w:rsidR="00576CFA" w:rsidRPr="00A96255" w:rsidRDefault="00752EE2" w:rsidP="00576CFA">
      <w:pPr>
        <w:pStyle w:val="MText"/>
      </w:pPr>
      <w:r w:rsidRPr="00752EE2">
        <w:lastRenderedPageBreak/>
        <w:t>Estimates are sent to focal point</w:t>
      </w:r>
      <w:r>
        <w:t xml:space="preserve">s </w:t>
      </w:r>
      <w:r w:rsidRPr="00752EE2">
        <w:t>or national counterpart</w:t>
      </w:r>
      <w:r>
        <w:t>s</w:t>
      </w:r>
      <w:r w:rsidRPr="00752EE2">
        <w:t xml:space="preserve"> in the country </w:t>
      </w:r>
      <w:r>
        <w:t xml:space="preserve">through WHO Regional Offices </w:t>
      </w:r>
      <w:r w:rsidRPr="00752EE2">
        <w:t>for validation and endorsement</w:t>
      </w:r>
      <w:r>
        <w:t>.</w:t>
      </w:r>
      <w:r w:rsidRPr="00752EE2">
        <w:rPr>
          <w:highlight w:val="yellow"/>
        </w:rPr>
        <w:t xml:space="preserve"> </w:t>
      </w:r>
    </w:p>
    <w:p w14:paraId="0025F830" w14:textId="14334D42" w:rsidR="00F719A8" w:rsidRPr="00A96255" w:rsidRDefault="00F719A8" w:rsidP="00576CFA">
      <w:pPr>
        <w:pStyle w:val="MText"/>
      </w:pPr>
    </w:p>
    <w:p w14:paraId="2CF2A343" w14:textId="0B7307FF" w:rsidR="00E1050F" w:rsidRPr="00A96255" w:rsidRDefault="00E1050F" w:rsidP="00F719A8">
      <w:pPr>
        <w:pStyle w:val="MHeader2"/>
      </w:pPr>
      <w:r w:rsidRPr="00A96255">
        <w:t xml:space="preserve">4.e. Adjustments </w:t>
      </w:r>
      <w:r>
        <w:rPr>
          <w:color w:val="B4B4B4"/>
          <w:sz w:val="20"/>
        </w:rPr>
        <w:t>(ADJUSTMENT)</w:t>
      </w:r>
    </w:p>
    <w:p w14:paraId="5032CC5E" w14:textId="05A28E00" w:rsidR="00576CFA" w:rsidRPr="00A96255" w:rsidRDefault="00164EF5" w:rsidP="00E37AC7">
      <w:pPr>
        <w:pStyle w:val="MText"/>
      </w:pPr>
      <w:r w:rsidRPr="001B6646">
        <w:t>Not applicable</w:t>
      </w:r>
    </w:p>
    <w:p w14:paraId="7FBAEBBA" w14:textId="77777777" w:rsidR="00EC2915" w:rsidRPr="00A96255" w:rsidRDefault="00EC2915" w:rsidP="00576CFA">
      <w:pPr>
        <w:pStyle w:val="MText"/>
      </w:pPr>
    </w:p>
    <w:p w14:paraId="17735630" w14:textId="2E5484DF" w:rsidR="00E1050F" w:rsidRPr="00A96255" w:rsidRDefault="00576CFA" w:rsidP="00F719A8">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7D706C0B" w14:textId="05286F4E" w:rsidR="00784969" w:rsidRPr="00E57A33" w:rsidRDefault="00784969" w:rsidP="008714BA">
      <w:pPr>
        <w:pStyle w:val="MText"/>
        <w:rPr>
          <w:b/>
        </w:rPr>
      </w:pPr>
      <w:r w:rsidRPr="00E57A33">
        <w:rPr>
          <w:b/>
        </w:rPr>
        <w:t>At country</w:t>
      </w:r>
      <w:r w:rsidRPr="006D4333">
        <w:rPr>
          <w:b/>
          <w:bCs/>
        </w:rPr>
        <w:t xml:space="preserve"> level</w:t>
      </w:r>
      <w:r w:rsidRPr="00E57A33">
        <w:rPr>
          <w:b/>
        </w:rPr>
        <w:t xml:space="preserve"> </w:t>
      </w:r>
    </w:p>
    <w:p w14:paraId="5CEDE44C" w14:textId="77777777" w:rsidR="00784969" w:rsidRDefault="00784969" w:rsidP="00784969">
      <w:pPr>
        <w:pStyle w:val="MText"/>
      </w:pPr>
      <w:r>
        <w:t>The values of missing countries (</w:t>
      </w:r>
      <w:proofErr w:type="gramStart"/>
      <w:r>
        <w:t>e.g.</w:t>
      </w:r>
      <w:proofErr w:type="gramEnd"/>
      <w:r>
        <w:t xml:space="preserve"> Monaco, San Marino) are that small that they would not affect global or regional figures. </w:t>
      </w:r>
    </w:p>
    <w:p w14:paraId="2D5C0CA8" w14:textId="77777777" w:rsidR="00784969" w:rsidRDefault="00784969" w:rsidP="00784969">
      <w:pPr>
        <w:pStyle w:val="MText"/>
      </w:pPr>
    </w:p>
    <w:p w14:paraId="578D2297" w14:textId="3574EADA" w:rsidR="00784969" w:rsidRPr="00E57A33" w:rsidRDefault="00784969" w:rsidP="008714BA">
      <w:pPr>
        <w:pStyle w:val="MText"/>
        <w:rPr>
          <w:b/>
        </w:rPr>
      </w:pPr>
      <w:r w:rsidRPr="00E57A33">
        <w:rPr>
          <w:b/>
        </w:rPr>
        <w:t xml:space="preserve">At regional and global levels </w:t>
      </w:r>
    </w:p>
    <w:p w14:paraId="04748E1F" w14:textId="4EFAEC46" w:rsidR="00D51E7C" w:rsidRDefault="00784969" w:rsidP="00784969">
      <w:pPr>
        <w:pStyle w:val="MText"/>
      </w:pPr>
      <w:r>
        <w:t>The values of missing countries (</w:t>
      </w:r>
      <w:proofErr w:type="gramStart"/>
      <w:r>
        <w:t>e.g.</w:t>
      </w:r>
      <w:proofErr w:type="gramEnd"/>
      <w:r>
        <w:t xml:space="preserve"> Monaco, San Marino) are that small that they would not affect global or regional figures.</w:t>
      </w:r>
    </w:p>
    <w:p w14:paraId="27033367" w14:textId="77777777" w:rsidR="00EC2915" w:rsidRPr="00A96255" w:rsidRDefault="00EC2915" w:rsidP="00576CFA">
      <w:pPr>
        <w:pStyle w:val="MText"/>
      </w:pPr>
    </w:p>
    <w:p w14:paraId="51FCD280" w14:textId="7B7A2E48"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021C14BE" w14:textId="77777777" w:rsidR="00784969" w:rsidRDefault="00784969"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Regional and global aggregates are population weighted averages from country values (weighted by population of inhabitants 15+ years of the respective countries).</w:t>
      </w:r>
      <w:r>
        <w:rPr>
          <w:rStyle w:val="eop"/>
          <w:rFonts w:ascii="Calibri" w:hAnsi="Calibri" w:cs="Calibri"/>
          <w:color w:val="4A4A4A"/>
          <w:sz w:val="21"/>
          <w:szCs w:val="21"/>
        </w:rPr>
        <w:t> </w:t>
      </w:r>
    </w:p>
    <w:p w14:paraId="2EA010B7" w14:textId="65FC2CE0" w:rsidR="00EC2915" w:rsidRPr="008714BA" w:rsidRDefault="00784969" w:rsidP="008714B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1213FF2" w14:textId="194E871B"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61C749EB" w14:textId="482E56AA" w:rsidR="00576CFA" w:rsidRPr="00A96255" w:rsidRDefault="001B6780" w:rsidP="00576CFA">
      <w:pPr>
        <w:pStyle w:val="MText"/>
      </w:pPr>
      <w:r w:rsidRPr="0017466B">
        <w:t>Global Status Report on Alcohol and Health 2018 (</w:t>
      </w:r>
      <w:hyperlink r:id="rId11" w:history="1">
        <w:r w:rsidR="0058704B" w:rsidRPr="0017466B">
          <w:rPr>
            <w:rStyle w:val="Hyperlink"/>
          </w:rPr>
          <w:t>https://www.who.int/publications/i/item/9789241565639</w:t>
        </w:r>
      </w:hyperlink>
      <w:r w:rsidRPr="0017466B">
        <w:t>)</w:t>
      </w:r>
      <w:r w:rsidR="00A632B6">
        <w:t>.</w:t>
      </w:r>
      <w:r w:rsidRPr="0017466B">
        <w:t xml:space="preserve"> </w:t>
      </w:r>
    </w:p>
    <w:p w14:paraId="2939895F" w14:textId="77777777" w:rsidR="00EC2915" w:rsidRPr="00A96255" w:rsidRDefault="00EC2915" w:rsidP="00576CFA">
      <w:pPr>
        <w:pStyle w:val="MText"/>
      </w:pPr>
    </w:p>
    <w:p w14:paraId="494C36E8" w14:textId="7EA35B23"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356BAA24" w14:textId="1D9A9400" w:rsidR="00576CFA" w:rsidRPr="00A96255" w:rsidRDefault="002D5283" w:rsidP="00576CFA">
      <w:pPr>
        <w:pStyle w:val="MText"/>
      </w:pPr>
      <w:r w:rsidRPr="0017466B">
        <w:t>Steering Committee of Global Information System on Alcohol and Health; Technical Advisory Group on Alcohol and Drug Epidemiology</w:t>
      </w:r>
      <w:r w:rsidR="00A632B6">
        <w:t>.</w:t>
      </w:r>
      <w:r>
        <w:rPr>
          <w:highlight w:val="yellow"/>
        </w:rPr>
        <w:t xml:space="preserve"> </w:t>
      </w:r>
    </w:p>
    <w:p w14:paraId="5484B16D" w14:textId="77777777" w:rsidR="00EC2915" w:rsidRPr="00A96255" w:rsidRDefault="00EC2915" w:rsidP="00576CFA">
      <w:pPr>
        <w:pStyle w:val="MText"/>
      </w:pPr>
    </w:p>
    <w:p w14:paraId="17B979CA" w14:textId="5BEC3989" w:rsidR="00E1050F" w:rsidRPr="00A96255" w:rsidRDefault="00E1050F" w:rsidP="00F719A8">
      <w:pPr>
        <w:pStyle w:val="MHeader2"/>
      </w:pPr>
      <w:r w:rsidRPr="00A96255">
        <w:t xml:space="preserve">4.j Quality assurance </w:t>
      </w:r>
      <w:r>
        <w:rPr>
          <w:color w:val="B4B4B4"/>
          <w:sz w:val="20"/>
        </w:rPr>
        <w:t>(QUALITY_ASSURE)</w:t>
      </w:r>
    </w:p>
    <w:p w14:paraId="7E6B04E3" w14:textId="1ED9B54D" w:rsidR="00576CFA" w:rsidRPr="00A96255" w:rsidRDefault="00E96D40" w:rsidP="00576CFA">
      <w:pPr>
        <w:pStyle w:val="MText"/>
      </w:pPr>
      <w:r w:rsidRPr="0017466B">
        <w:t>Statistics clearance by Data</w:t>
      </w:r>
      <w:r w:rsidRPr="002206A6">
        <w:t>, Analytics and Delivery for Impact</w:t>
      </w:r>
      <w:r>
        <w:t xml:space="preserve"> Unit</w:t>
      </w:r>
      <w:r w:rsidR="00A632B6">
        <w:t>.</w:t>
      </w:r>
      <w:r>
        <w:rPr>
          <w:highlight w:val="yellow"/>
        </w:rPr>
        <w:t xml:space="preserve"> </w:t>
      </w:r>
    </w:p>
    <w:p w14:paraId="03EF3244" w14:textId="77777777" w:rsidR="00EC2915" w:rsidRPr="00A96255" w:rsidRDefault="00EC2915" w:rsidP="00576CFA">
      <w:pPr>
        <w:pStyle w:val="MText"/>
      </w:pPr>
    </w:p>
    <w:p w14:paraId="34ADD322" w14:textId="1068254C"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6AA76230" w14:textId="54D325CC" w:rsidR="00576CFA" w:rsidRPr="00A96255" w:rsidRDefault="008038BC" w:rsidP="00576CFA">
      <w:pPr>
        <w:pStyle w:val="MText"/>
      </w:pPr>
      <w:r w:rsidRPr="008038BC">
        <w:t>Data, Analytics and Delivery for Impact Unit</w:t>
      </w:r>
      <w:r w:rsidR="002A5AEF">
        <w:t>.</w:t>
      </w:r>
    </w:p>
    <w:p w14:paraId="5B7C52CE" w14:textId="77777777" w:rsidR="00576CFA" w:rsidRPr="00A96255" w:rsidRDefault="00576CFA" w:rsidP="00576CFA">
      <w:pPr>
        <w:pStyle w:val="MText"/>
      </w:pPr>
    </w:p>
    <w:p w14:paraId="17787B3C" w14:textId="066B9700"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59A2612D" w:rsidR="00576CFA" w:rsidRPr="00E57A33" w:rsidRDefault="00D51E7C" w:rsidP="00A632B6">
      <w:pPr>
        <w:pStyle w:val="MText"/>
        <w:rPr>
          <w:b/>
        </w:rPr>
      </w:pPr>
      <w:r w:rsidRPr="00E57A33">
        <w:rPr>
          <w:b/>
        </w:rPr>
        <w:t>Data availability:</w:t>
      </w:r>
    </w:p>
    <w:p w14:paraId="60E3C350" w14:textId="77777777" w:rsidR="007661AC" w:rsidRDefault="007661AC" w:rsidP="00F21722">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Global, by WHO and SDG regions, by World Bank income groups, by country. The data are available for 190 WHO Member States.</w:t>
      </w:r>
      <w:r>
        <w:rPr>
          <w:rStyle w:val="eop"/>
          <w:rFonts w:ascii="Calibri" w:hAnsi="Calibri" w:cs="Calibri"/>
          <w:color w:val="4A4A4A"/>
          <w:sz w:val="21"/>
          <w:szCs w:val="21"/>
        </w:rPr>
        <w:t> </w:t>
      </w:r>
    </w:p>
    <w:p w14:paraId="2D0542F7" w14:textId="72F20BA3" w:rsidR="00D51E7C" w:rsidRPr="00C019E5" w:rsidRDefault="00D51E7C" w:rsidP="00576CFA">
      <w:pPr>
        <w:pStyle w:val="MText"/>
        <w:rPr>
          <w:highlight w:val="cyan"/>
        </w:rPr>
      </w:pPr>
    </w:p>
    <w:p w14:paraId="5853D6F7" w14:textId="190F131C" w:rsidR="00D51E7C" w:rsidRPr="00E57A33" w:rsidRDefault="00D51E7C" w:rsidP="00A632B6">
      <w:pPr>
        <w:pStyle w:val="MText"/>
        <w:rPr>
          <w:b/>
        </w:rPr>
      </w:pPr>
      <w:r w:rsidRPr="00E57A33">
        <w:rPr>
          <w:b/>
        </w:rPr>
        <w:lastRenderedPageBreak/>
        <w:t>Time series:</w:t>
      </w:r>
    </w:p>
    <w:p w14:paraId="12CC95BA" w14:textId="60280363" w:rsidR="007661AC" w:rsidRDefault="007661AC" w:rsidP="00421BF2">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Recorded alcohol per capita consumption since 1960s, and total alcohol per capita consumption since 200</w:t>
      </w:r>
      <w:r w:rsidR="009B7040">
        <w:rPr>
          <w:rStyle w:val="normaltextrun"/>
          <w:rFonts w:ascii="Calibri" w:hAnsi="Calibri" w:cs="Calibri"/>
          <w:color w:val="4A4A4A"/>
          <w:sz w:val="21"/>
          <w:szCs w:val="21"/>
          <w:lang w:val="en-GB"/>
        </w:rPr>
        <w:t>0</w:t>
      </w:r>
      <w:r>
        <w:rPr>
          <w:rStyle w:val="normaltextrun"/>
          <w:rFonts w:ascii="Calibri" w:hAnsi="Calibri" w:cs="Calibri"/>
          <w:color w:val="4A4A4A"/>
          <w:sz w:val="21"/>
          <w:szCs w:val="21"/>
          <w:lang w:val="en-GB"/>
        </w:rPr>
        <w:t>. </w:t>
      </w:r>
      <w:r>
        <w:rPr>
          <w:rStyle w:val="eop"/>
          <w:rFonts w:ascii="Calibri" w:hAnsi="Calibri" w:cs="Calibri"/>
          <w:color w:val="4A4A4A"/>
          <w:sz w:val="21"/>
          <w:szCs w:val="21"/>
        </w:rPr>
        <w:t> </w:t>
      </w:r>
    </w:p>
    <w:p w14:paraId="760C013A" w14:textId="4D25BA5F" w:rsidR="00D51E7C" w:rsidRPr="00C019E5" w:rsidRDefault="00D51E7C" w:rsidP="00576CFA">
      <w:pPr>
        <w:pStyle w:val="MText"/>
        <w:rPr>
          <w:highlight w:val="cyan"/>
        </w:rPr>
      </w:pPr>
    </w:p>
    <w:p w14:paraId="72C7C370" w14:textId="4FB1F6F9" w:rsidR="00D51E7C" w:rsidRPr="00E57A33" w:rsidRDefault="00D51E7C" w:rsidP="00576CFA">
      <w:pPr>
        <w:pStyle w:val="MText"/>
        <w:rPr>
          <w:b/>
        </w:rPr>
      </w:pPr>
      <w:r w:rsidRPr="00E57A33">
        <w:rPr>
          <w:b/>
        </w:rPr>
        <w:t>Disaggregation:</w:t>
      </w:r>
    </w:p>
    <w:p w14:paraId="795C9435" w14:textId="0091D6A5" w:rsidR="00784969" w:rsidRDefault="00784969" w:rsidP="00576CFA">
      <w:pPr>
        <w:pStyle w:val="MText"/>
      </w:pPr>
      <w:r>
        <w:rPr>
          <w:rStyle w:val="normaltextrun"/>
          <w:rFonts w:ascii="Calibri" w:hAnsi="Calibri" w:cs="Calibri"/>
        </w:rPr>
        <w:t>Sex, age.</w:t>
      </w:r>
      <w:r>
        <w:rPr>
          <w:rStyle w:val="eop"/>
          <w:rFonts w:ascii="Calibri" w:hAnsi="Calibri" w:cs="Calibri"/>
        </w:rPr>
        <w:t> </w:t>
      </w:r>
    </w:p>
    <w:p w14:paraId="42E8CA56" w14:textId="77777777" w:rsidR="00D51E7C" w:rsidRPr="00A96255" w:rsidRDefault="00D51E7C" w:rsidP="00576CFA">
      <w:pPr>
        <w:pStyle w:val="MText"/>
      </w:pPr>
    </w:p>
    <w:p w14:paraId="4D0520F7" w14:textId="688C8BED"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595E072" w14:textId="1F8F1015" w:rsidR="00D51E7C" w:rsidRPr="00E57A33" w:rsidRDefault="00D51E7C" w:rsidP="00576CFA">
      <w:pPr>
        <w:pStyle w:val="MText"/>
        <w:rPr>
          <w:b/>
        </w:rPr>
      </w:pPr>
      <w:r w:rsidRPr="00E57A33">
        <w:rPr>
          <w:b/>
        </w:rPr>
        <w:t>Sources of discrepancies:</w:t>
      </w:r>
    </w:p>
    <w:p w14:paraId="4E68C6ED" w14:textId="16BB395C" w:rsidR="00784969" w:rsidRDefault="00784969" w:rsidP="00576CFA">
      <w:pPr>
        <w:pStyle w:val="MText"/>
      </w:pPr>
      <w:r>
        <w:rPr>
          <w:rStyle w:val="normaltextrun"/>
          <w:rFonts w:ascii="Calibri" w:hAnsi="Calibri" w:cs="Calibri"/>
        </w:rPr>
        <w:t>Population estimates, alcohol content by volume across different alcoholic beverage categories, age distributions, requirements for survey data used in producing the estimates, estimates of unrecorded alcohol consumption.</w:t>
      </w:r>
      <w:r>
        <w:rPr>
          <w:rStyle w:val="eop"/>
          <w:rFonts w:ascii="Calibri" w:hAnsi="Calibri" w:cs="Calibri"/>
        </w:rPr>
        <w:t> </w:t>
      </w:r>
    </w:p>
    <w:p w14:paraId="5AB6DD91" w14:textId="77777777" w:rsidR="00F719A8" w:rsidRPr="00A96255" w:rsidRDefault="00F719A8" w:rsidP="00576CFA">
      <w:pPr>
        <w:pStyle w:val="MText"/>
      </w:pPr>
    </w:p>
    <w:p w14:paraId="76DF099C" w14:textId="72E0F463"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661B1F90"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3996D14C" w14:textId="39DAF54F" w:rsidR="007661AC" w:rsidRDefault="00000000" w:rsidP="007661AC">
      <w:pPr>
        <w:pStyle w:val="paragraph"/>
        <w:shd w:val="clear" w:color="auto" w:fill="FFFFFF"/>
        <w:spacing w:before="0" w:beforeAutospacing="0" w:after="0" w:afterAutospacing="0"/>
        <w:textAlignment w:val="baseline"/>
        <w:rPr>
          <w:rFonts w:ascii="Segoe UI" w:hAnsi="Segoe UI" w:cs="Segoe UI"/>
          <w:sz w:val="18"/>
          <w:szCs w:val="18"/>
        </w:rPr>
      </w:pPr>
      <w:hyperlink r:id="rId12" w:history="1">
        <w:r w:rsidR="00CD498B" w:rsidRPr="00175D21">
          <w:rPr>
            <w:rStyle w:val="Hyperlink"/>
            <w:rFonts w:ascii="Calibri" w:hAnsi="Calibri" w:cs="Calibri"/>
            <w:sz w:val="21"/>
            <w:szCs w:val="21"/>
            <w:lang w:val="en-GB"/>
          </w:rPr>
          <w:t>https://apps.who.int/gho/data/node.gisah.GISAH?showonly=GISAH</w:t>
        </w:r>
      </w:hyperlink>
      <w:r w:rsidR="00CD498B" w:rsidRPr="00CD498B" w:rsidDel="00CD498B">
        <w:rPr>
          <w:rStyle w:val="normaltextrun"/>
          <w:rFonts w:ascii="Calibri" w:hAnsi="Calibri" w:cs="Calibri"/>
          <w:color w:val="4A4A4A"/>
          <w:sz w:val="21"/>
          <w:szCs w:val="21"/>
          <w:lang w:val="en-GB"/>
        </w:rPr>
        <w:t xml:space="preserve"> </w:t>
      </w:r>
    </w:p>
    <w:p w14:paraId="69E81F5B"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907E298"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77E91B30" w14:textId="3EADD7E4" w:rsidR="006653F9" w:rsidRDefault="00000000" w:rsidP="007661AC">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hyperlink r:id="rId13" w:history="1">
        <w:r w:rsidR="006653F9" w:rsidRPr="00175D21">
          <w:rPr>
            <w:rStyle w:val="Hyperlink"/>
            <w:rFonts w:ascii="Calibri" w:hAnsi="Calibri" w:cs="Calibri"/>
            <w:sz w:val="21"/>
            <w:szCs w:val="21"/>
            <w:lang w:val="en-GB"/>
          </w:rPr>
          <w:t>https://apps.who.int/gho/data/node.gisah.GISAH?showonly=GISAH</w:t>
        </w:r>
      </w:hyperlink>
    </w:p>
    <w:p w14:paraId="418A89D6"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CA3013A" w14:textId="4C30B643" w:rsidR="008B6ED1" w:rsidRDefault="00000000" w:rsidP="007661AC">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hyperlink r:id="rId14" w:history="1">
        <w:r w:rsidR="008B6ED1" w:rsidRPr="00175D21">
          <w:rPr>
            <w:rStyle w:val="Hyperlink"/>
            <w:rFonts w:ascii="Calibri" w:hAnsi="Calibri" w:cs="Calibri"/>
            <w:sz w:val="21"/>
            <w:szCs w:val="21"/>
            <w:lang w:val="en-GB"/>
          </w:rPr>
          <w:t>https://www.who.int/data/gho/data/themes/global-information-system-on-alcohol-and-health</w:t>
        </w:r>
      </w:hyperlink>
    </w:p>
    <w:p w14:paraId="7AD6B8F8" w14:textId="22FAE809"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p>
    <w:p w14:paraId="384B0992" w14:textId="24A7C734" w:rsidR="00186795" w:rsidRDefault="00000000" w:rsidP="00911D98">
      <w:pPr>
        <w:pStyle w:val="paragraph"/>
        <w:shd w:val="clear" w:color="auto" w:fill="FFFFFF"/>
        <w:spacing w:before="0" w:beforeAutospacing="0" w:after="0" w:afterAutospacing="0"/>
        <w:textAlignment w:val="baseline"/>
      </w:pPr>
      <w:hyperlink r:id="rId15" w:history="1">
        <w:r w:rsidR="002A5AEF" w:rsidRPr="003053A6">
          <w:rPr>
            <w:rStyle w:val="Hyperlink"/>
            <w:rFonts w:ascii="Calibri" w:hAnsi="Calibri" w:cs="Calibri"/>
            <w:sz w:val="21"/>
            <w:szCs w:val="21"/>
            <w:lang w:val="en-GB"/>
          </w:rPr>
          <w:t>http://www.who.int/substance_abuse/publications/global_alcohol_report/en/</w:t>
        </w:r>
      </w:hyperlink>
      <w:r w:rsidR="002A5AEF">
        <w:rPr>
          <w:rStyle w:val="normaltextrun"/>
          <w:rFonts w:ascii="Calibri" w:hAnsi="Calibri" w:cs="Calibri"/>
          <w:color w:val="4A4A4A"/>
          <w:sz w:val="21"/>
          <w:szCs w:val="21"/>
          <w:lang w:val="en-GB"/>
        </w:rPr>
        <w:t xml:space="preserve"> </w:t>
      </w: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7515" w14:textId="77777777" w:rsidR="00DD468F" w:rsidRDefault="00DD468F" w:rsidP="00573C0B">
      <w:pPr>
        <w:spacing w:after="0" w:line="240" w:lineRule="auto"/>
      </w:pPr>
      <w:r>
        <w:separator/>
      </w:r>
    </w:p>
  </w:endnote>
  <w:endnote w:type="continuationSeparator" w:id="0">
    <w:p w14:paraId="6D581EA6" w14:textId="77777777" w:rsidR="00DD468F" w:rsidRDefault="00DD468F" w:rsidP="00573C0B">
      <w:pPr>
        <w:spacing w:after="0" w:line="240" w:lineRule="auto"/>
      </w:pPr>
      <w:r>
        <w:continuationSeparator/>
      </w:r>
    </w:p>
  </w:endnote>
  <w:endnote w:type="continuationNotice" w:id="1">
    <w:p w14:paraId="609AE501" w14:textId="77777777" w:rsidR="00DD468F" w:rsidRDefault="00DD46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98A5" w14:textId="77777777" w:rsidR="00DD468F" w:rsidRDefault="00DD468F" w:rsidP="00573C0B">
      <w:pPr>
        <w:spacing w:after="0" w:line="240" w:lineRule="auto"/>
      </w:pPr>
      <w:r>
        <w:separator/>
      </w:r>
    </w:p>
  </w:footnote>
  <w:footnote w:type="continuationSeparator" w:id="0">
    <w:p w14:paraId="33934904" w14:textId="77777777" w:rsidR="00DD468F" w:rsidRDefault="00DD468F" w:rsidP="00573C0B">
      <w:pPr>
        <w:spacing w:after="0" w:line="240" w:lineRule="auto"/>
      </w:pPr>
      <w:r>
        <w:continuationSeparator/>
      </w:r>
    </w:p>
  </w:footnote>
  <w:footnote w:type="continuationNotice" w:id="1">
    <w:p w14:paraId="1C99B4D5" w14:textId="77777777" w:rsidR="00DD468F" w:rsidRDefault="00DD46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4811EAB"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E37AC7">
      <w:rPr>
        <w:color w:val="404040" w:themeColor="text1" w:themeTint="BF"/>
        <w:sz w:val="18"/>
        <w:szCs w:val="18"/>
      </w:rPr>
      <w:t>202</w:t>
    </w:r>
    <w:r w:rsidR="00995A7C">
      <w:rPr>
        <w:color w:val="404040" w:themeColor="text1" w:themeTint="BF"/>
        <w:sz w:val="18"/>
        <w:szCs w:val="18"/>
      </w:rPr>
      <w:t>3</w:t>
    </w:r>
    <w:r w:rsidR="00575B93">
      <w:rPr>
        <w:color w:val="404040" w:themeColor="text1" w:themeTint="BF"/>
        <w:sz w:val="18"/>
        <w:szCs w:val="18"/>
      </w:rPr>
      <w:t>-03-</w:t>
    </w:r>
    <w:r w:rsidR="0087374F">
      <w:rPr>
        <w:color w:val="404040" w:themeColor="text1" w:themeTint="BF"/>
        <w:sz w:val="18"/>
        <w:szCs w:val="18"/>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7838643">
    <w:abstractNumId w:val="2"/>
  </w:num>
  <w:num w:numId="2" w16cid:durableId="2128888525">
    <w:abstractNumId w:val="0"/>
  </w:num>
  <w:num w:numId="3" w16cid:durableId="500047937">
    <w:abstractNumId w:val="3"/>
  </w:num>
  <w:num w:numId="4" w16cid:durableId="6534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49A"/>
    <w:rsid w:val="000070BA"/>
    <w:rsid w:val="00015D68"/>
    <w:rsid w:val="000173F9"/>
    <w:rsid w:val="000412A0"/>
    <w:rsid w:val="00047DDA"/>
    <w:rsid w:val="00052E54"/>
    <w:rsid w:val="0005455A"/>
    <w:rsid w:val="00071F07"/>
    <w:rsid w:val="0007759D"/>
    <w:rsid w:val="000777AB"/>
    <w:rsid w:val="00077F46"/>
    <w:rsid w:val="000825A8"/>
    <w:rsid w:val="00090FB1"/>
    <w:rsid w:val="00095CA5"/>
    <w:rsid w:val="00096186"/>
    <w:rsid w:val="000A72E4"/>
    <w:rsid w:val="000B0E2F"/>
    <w:rsid w:val="000B2430"/>
    <w:rsid w:val="000B2C15"/>
    <w:rsid w:val="000C52E9"/>
    <w:rsid w:val="000D0B30"/>
    <w:rsid w:val="000E21F1"/>
    <w:rsid w:val="000E38FF"/>
    <w:rsid w:val="000F3B0F"/>
    <w:rsid w:val="000F703E"/>
    <w:rsid w:val="00120E86"/>
    <w:rsid w:val="00125DE9"/>
    <w:rsid w:val="001332E0"/>
    <w:rsid w:val="00133C82"/>
    <w:rsid w:val="00134DE7"/>
    <w:rsid w:val="00164EF5"/>
    <w:rsid w:val="0017466B"/>
    <w:rsid w:val="00185354"/>
    <w:rsid w:val="001854DC"/>
    <w:rsid w:val="00186795"/>
    <w:rsid w:val="001948C0"/>
    <w:rsid w:val="00194D09"/>
    <w:rsid w:val="001A550E"/>
    <w:rsid w:val="001A7D5C"/>
    <w:rsid w:val="001B60AA"/>
    <w:rsid w:val="001B63C8"/>
    <w:rsid w:val="001B6646"/>
    <w:rsid w:val="001B6780"/>
    <w:rsid w:val="001C1972"/>
    <w:rsid w:val="001C421F"/>
    <w:rsid w:val="001D360D"/>
    <w:rsid w:val="001E78C6"/>
    <w:rsid w:val="001F099B"/>
    <w:rsid w:val="002206A6"/>
    <w:rsid w:val="002524DE"/>
    <w:rsid w:val="00261A8D"/>
    <w:rsid w:val="002738CE"/>
    <w:rsid w:val="00283C1C"/>
    <w:rsid w:val="00291A00"/>
    <w:rsid w:val="00291A11"/>
    <w:rsid w:val="002956B5"/>
    <w:rsid w:val="002A29D7"/>
    <w:rsid w:val="002A315C"/>
    <w:rsid w:val="002A3342"/>
    <w:rsid w:val="002A5AEF"/>
    <w:rsid w:val="002A64BA"/>
    <w:rsid w:val="002B4450"/>
    <w:rsid w:val="002B4989"/>
    <w:rsid w:val="002C2510"/>
    <w:rsid w:val="002D5283"/>
    <w:rsid w:val="002D714E"/>
    <w:rsid w:val="002E53C3"/>
    <w:rsid w:val="002F1468"/>
    <w:rsid w:val="002F5F0C"/>
    <w:rsid w:val="003265EB"/>
    <w:rsid w:val="00336061"/>
    <w:rsid w:val="0034329E"/>
    <w:rsid w:val="00343FAA"/>
    <w:rsid w:val="00347F5E"/>
    <w:rsid w:val="00353C98"/>
    <w:rsid w:val="00371A20"/>
    <w:rsid w:val="003821B4"/>
    <w:rsid w:val="00382CF3"/>
    <w:rsid w:val="00387D52"/>
    <w:rsid w:val="003A7CEA"/>
    <w:rsid w:val="003B5269"/>
    <w:rsid w:val="003B70E6"/>
    <w:rsid w:val="003C74F3"/>
    <w:rsid w:val="003F0BD3"/>
    <w:rsid w:val="003F278A"/>
    <w:rsid w:val="003F7A02"/>
    <w:rsid w:val="00421BF2"/>
    <w:rsid w:val="00422EA5"/>
    <w:rsid w:val="00422EFA"/>
    <w:rsid w:val="0042791F"/>
    <w:rsid w:val="004456ED"/>
    <w:rsid w:val="00465433"/>
    <w:rsid w:val="00466C68"/>
    <w:rsid w:val="00473CF3"/>
    <w:rsid w:val="0048045A"/>
    <w:rsid w:val="004841B8"/>
    <w:rsid w:val="004930F2"/>
    <w:rsid w:val="004973B8"/>
    <w:rsid w:val="004B0F1C"/>
    <w:rsid w:val="004B1232"/>
    <w:rsid w:val="004B5602"/>
    <w:rsid w:val="004C23D8"/>
    <w:rsid w:val="004F2EE6"/>
    <w:rsid w:val="004F79BB"/>
    <w:rsid w:val="00502DBA"/>
    <w:rsid w:val="005040C4"/>
    <w:rsid w:val="00507637"/>
    <w:rsid w:val="00507852"/>
    <w:rsid w:val="00514DBF"/>
    <w:rsid w:val="00550921"/>
    <w:rsid w:val="00563712"/>
    <w:rsid w:val="00573631"/>
    <w:rsid w:val="00573C0B"/>
    <w:rsid w:val="00575B93"/>
    <w:rsid w:val="005768D7"/>
    <w:rsid w:val="00576CFA"/>
    <w:rsid w:val="00584CF8"/>
    <w:rsid w:val="0058556D"/>
    <w:rsid w:val="0058704B"/>
    <w:rsid w:val="005875D5"/>
    <w:rsid w:val="00592AF2"/>
    <w:rsid w:val="005947AD"/>
    <w:rsid w:val="00597748"/>
    <w:rsid w:val="005979E8"/>
    <w:rsid w:val="005D0AF4"/>
    <w:rsid w:val="005E54BD"/>
    <w:rsid w:val="005F5394"/>
    <w:rsid w:val="005F5921"/>
    <w:rsid w:val="005F6CCA"/>
    <w:rsid w:val="006104AF"/>
    <w:rsid w:val="00621893"/>
    <w:rsid w:val="006351E1"/>
    <w:rsid w:val="00644466"/>
    <w:rsid w:val="006447B1"/>
    <w:rsid w:val="00646455"/>
    <w:rsid w:val="00662775"/>
    <w:rsid w:val="006653F9"/>
    <w:rsid w:val="006852FC"/>
    <w:rsid w:val="00690CBA"/>
    <w:rsid w:val="006B40AB"/>
    <w:rsid w:val="006B4296"/>
    <w:rsid w:val="006B5DC5"/>
    <w:rsid w:val="006C4BFD"/>
    <w:rsid w:val="006C7D30"/>
    <w:rsid w:val="006D4333"/>
    <w:rsid w:val="006E3C08"/>
    <w:rsid w:val="00700ACF"/>
    <w:rsid w:val="00703816"/>
    <w:rsid w:val="007114DA"/>
    <w:rsid w:val="00712487"/>
    <w:rsid w:val="00715074"/>
    <w:rsid w:val="00752EE2"/>
    <w:rsid w:val="007530CA"/>
    <w:rsid w:val="00756D68"/>
    <w:rsid w:val="007578D9"/>
    <w:rsid w:val="00757E8A"/>
    <w:rsid w:val="00763E43"/>
    <w:rsid w:val="00764EB5"/>
    <w:rsid w:val="007661AC"/>
    <w:rsid w:val="00777A95"/>
    <w:rsid w:val="00782416"/>
    <w:rsid w:val="00784969"/>
    <w:rsid w:val="00784FCA"/>
    <w:rsid w:val="007909C7"/>
    <w:rsid w:val="007A4FEE"/>
    <w:rsid w:val="007B0364"/>
    <w:rsid w:val="007C3842"/>
    <w:rsid w:val="007D0981"/>
    <w:rsid w:val="007D1929"/>
    <w:rsid w:val="0080089F"/>
    <w:rsid w:val="008038BC"/>
    <w:rsid w:val="00803CF1"/>
    <w:rsid w:val="008104BB"/>
    <w:rsid w:val="00820DFE"/>
    <w:rsid w:val="008249C5"/>
    <w:rsid w:val="0082599D"/>
    <w:rsid w:val="008260B9"/>
    <w:rsid w:val="008526F9"/>
    <w:rsid w:val="0085285E"/>
    <w:rsid w:val="00852E47"/>
    <w:rsid w:val="00853023"/>
    <w:rsid w:val="008534D4"/>
    <w:rsid w:val="0086013E"/>
    <w:rsid w:val="00864D37"/>
    <w:rsid w:val="008714BA"/>
    <w:rsid w:val="0087374F"/>
    <w:rsid w:val="00875FCD"/>
    <w:rsid w:val="00881E28"/>
    <w:rsid w:val="00894C4B"/>
    <w:rsid w:val="00896030"/>
    <w:rsid w:val="008A12E3"/>
    <w:rsid w:val="008A42FA"/>
    <w:rsid w:val="008B0AC7"/>
    <w:rsid w:val="008B119A"/>
    <w:rsid w:val="008B6ED1"/>
    <w:rsid w:val="008C2335"/>
    <w:rsid w:val="008C67C1"/>
    <w:rsid w:val="008D1D39"/>
    <w:rsid w:val="008E4D57"/>
    <w:rsid w:val="008F07D2"/>
    <w:rsid w:val="00911D98"/>
    <w:rsid w:val="00917851"/>
    <w:rsid w:val="00917F65"/>
    <w:rsid w:val="009311E7"/>
    <w:rsid w:val="00942694"/>
    <w:rsid w:val="00963178"/>
    <w:rsid w:val="00995A7C"/>
    <w:rsid w:val="009A7E3A"/>
    <w:rsid w:val="009B1265"/>
    <w:rsid w:val="009B4A15"/>
    <w:rsid w:val="009B5693"/>
    <w:rsid w:val="009B7040"/>
    <w:rsid w:val="009C61A2"/>
    <w:rsid w:val="009C78E4"/>
    <w:rsid w:val="009D687E"/>
    <w:rsid w:val="009E1EFB"/>
    <w:rsid w:val="009F6DE7"/>
    <w:rsid w:val="00A10583"/>
    <w:rsid w:val="00A37FCB"/>
    <w:rsid w:val="00A54863"/>
    <w:rsid w:val="00A57716"/>
    <w:rsid w:val="00A61D74"/>
    <w:rsid w:val="00A632B6"/>
    <w:rsid w:val="00A777E8"/>
    <w:rsid w:val="00A8688B"/>
    <w:rsid w:val="00A91163"/>
    <w:rsid w:val="00A9286F"/>
    <w:rsid w:val="00A93D08"/>
    <w:rsid w:val="00A96255"/>
    <w:rsid w:val="00A96C82"/>
    <w:rsid w:val="00AB285B"/>
    <w:rsid w:val="00AC2C6B"/>
    <w:rsid w:val="00AE326A"/>
    <w:rsid w:val="00AF0B57"/>
    <w:rsid w:val="00AF5552"/>
    <w:rsid w:val="00AF5CB4"/>
    <w:rsid w:val="00AF5ED1"/>
    <w:rsid w:val="00AF71D6"/>
    <w:rsid w:val="00B070B4"/>
    <w:rsid w:val="00B12AF3"/>
    <w:rsid w:val="00B216EE"/>
    <w:rsid w:val="00B3175F"/>
    <w:rsid w:val="00B31E2C"/>
    <w:rsid w:val="00B329B0"/>
    <w:rsid w:val="00B402D8"/>
    <w:rsid w:val="00B40866"/>
    <w:rsid w:val="00B4237C"/>
    <w:rsid w:val="00B42FE8"/>
    <w:rsid w:val="00B52AFD"/>
    <w:rsid w:val="00B54077"/>
    <w:rsid w:val="00B8087E"/>
    <w:rsid w:val="00B866B9"/>
    <w:rsid w:val="00BB3966"/>
    <w:rsid w:val="00BB646E"/>
    <w:rsid w:val="00BC5A92"/>
    <w:rsid w:val="00BD1745"/>
    <w:rsid w:val="00BD1BA1"/>
    <w:rsid w:val="00C019E5"/>
    <w:rsid w:val="00C35BC4"/>
    <w:rsid w:val="00C41E41"/>
    <w:rsid w:val="00C43F5B"/>
    <w:rsid w:val="00C95C4E"/>
    <w:rsid w:val="00CA29BE"/>
    <w:rsid w:val="00CB1069"/>
    <w:rsid w:val="00CB4371"/>
    <w:rsid w:val="00CC516D"/>
    <w:rsid w:val="00CD498B"/>
    <w:rsid w:val="00CD7D9B"/>
    <w:rsid w:val="00D24330"/>
    <w:rsid w:val="00D37C63"/>
    <w:rsid w:val="00D40056"/>
    <w:rsid w:val="00D51E7C"/>
    <w:rsid w:val="00D54F29"/>
    <w:rsid w:val="00D7020C"/>
    <w:rsid w:val="00D70AD9"/>
    <w:rsid w:val="00D72152"/>
    <w:rsid w:val="00D94BA5"/>
    <w:rsid w:val="00D9510F"/>
    <w:rsid w:val="00DA25C1"/>
    <w:rsid w:val="00DA615C"/>
    <w:rsid w:val="00DD1BC6"/>
    <w:rsid w:val="00DD468F"/>
    <w:rsid w:val="00DE5DC3"/>
    <w:rsid w:val="00E00D8A"/>
    <w:rsid w:val="00E1050F"/>
    <w:rsid w:val="00E11604"/>
    <w:rsid w:val="00E11D92"/>
    <w:rsid w:val="00E130A0"/>
    <w:rsid w:val="00E210C4"/>
    <w:rsid w:val="00E23DB7"/>
    <w:rsid w:val="00E37AC7"/>
    <w:rsid w:val="00E46D96"/>
    <w:rsid w:val="00E52CCA"/>
    <w:rsid w:val="00E57A33"/>
    <w:rsid w:val="00E66409"/>
    <w:rsid w:val="00E71D19"/>
    <w:rsid w:val="00E81D5B"/>
    <w:rsid w:val="00E96D40"/>
    <w:rsid w:val="00E976B9"/>
    <w:rsid w:val="00EA05D3"/>
    <w:rsid w:val="00EB19AD"/>
    <w:rsid w:val="00EB2F31"/>
    <w:rsid w:val="00EB6493"/>
    <w:rsid w:val="00EC2915"/>
    <w:rsid w:val="00EC2E5C"/>
    <w:rsid w:val="00EC3D58"/>
    <w:rsid w:val="00ED05A9"/>
    <w:rsid w:val="00ED1BA0"/>
    <w:rsid w:val="00F11917"/>
    <w:rsid w:val="00F17257"/>
    <w:rsid w:val="00F21722"/>
    <w:rsid w:val="00F34D24"/>
    <w:rsid w:val="00F4130B"/>
    <w:rsid w:val="00F47881"/>
    <w:rsid w:val="00F556A2"/>
    <w:rsid w:val="00F719A8"/>
    <w:rsid w:val="00F878B9"/>
    <w:rsid w:val="00FB24E8"/>
    <w:rsid w:val="00FB3B2B"/>
    <w:rsid w:val="00FB58B8"/>
    <w:rsid w:val="00FC18DA"/>
    <w:rsid w:val="00FC3917"/>
    <w:rsid w:val="00FD28D6"/>
    <w:rsid w:val="00FD60DA"/>
    <w:rsid w:val="00FF07B4"/>
    <w:rsid w:val="24FF1B8B"/>
    <w:rsid w:val="4C15DAF4"/>
    <w:rsid w:val="618E66D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84969"/>
  </w:style>
  <w:style w:type="character" w:customStyle="1" w:styleId="eop">
    <w:name w:val="eop"/>
    <w:basedOn w:val="DefaultParagraphFont"/>
    <w:rsid w:val="00784969"/>
  </w:style>
  <w:style w:type="paragraph" w:customStyle="1" w:styleId="paragraph">
    <w:name w:val="paragraph"/>
    <w:basedOn w:val="Normal"/>
    <w:rsid w:val="0078496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EC2E5C"/>
    <w:pPr>
      <w:spacing w:after="0" w:line="240" w:lineRule="auto"/>
    </w:pPr>
  </w:style>
  <w:style w:type="paragraph" w:styleId="Revision">
    <w:name w:val="Revision"/>
    <w:hidden/>
    <w:uiPriority w:val="99"/>
    <w:semiHidden/>
    <w:rsid w:val="00B12AF3"/>
    <w:pPr>
      <w:spacing w:after="0" w:line="240" w:lineRule="auto"/>
    </w:pPr>
  </w:style>
  <w:style w:type="character" w:customStyle="1" w:styleId="ui-provider">
    <w:name w:val="ui-provider"/>
    <w:basedOn w:val="DefaultParagraphFont"/>
    <w:rsid w:val="00F11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5941">
      <w:bodyDiv w:val="1"/>
      <w:marLeft w:val="0"/>
      <w:marRight w:val="0"/>
      <w:marTop w:val="0"/>
      <w:marBottom w:val="0"/>
      <w:divBdr>
        <w:top w:val="none" w:sz="0" w:space="0" w:color="auto"/>
        <w:left w:val="none" w:sz="0" w:space="0" w:color="auto"/>
        <w:bottom w:val="none" w:sz="0" w:space="0" w:color="auto"/>
        <w:right w:val="none" w:sz="0" w:space="0" w:color="auto"/>
      </w:divBdr>
      <w:divsChild>
        <w:div w:id="1774589223">
          <w:marLeft w:val="0"/>
          <w:marRight w:val="0"/>
          <w:marTop w:val="0"/>
          <w:marBottom w:val="0"/>
          <w:divBdr>
            <w:top w:val="none" w:sz="0" w:space="0" w:color="auto"/>
            <w:left w:val="none" w:sz="0" w:space="0" w:color="auto"/>
            <w:bottom w:val="none" w:sz="0" w:space="0" w:color="auto"/>
            <w:right w:val="none" w:sz="0" w:space="0" w:color="auto"/>
          </w:divBdr>
        </w:div>
        <w:div w:id="2113015772">
          <w:marLeft w:val="0"/>
          <w:marRight w:val="0"/>
          <w:marTop w:val="0"/>
          <w:marBottom w:val="0"/>
          <w:divBdr>
            <w:top w:val="none" w:sz="0" w:space="0" w:color="auto"/>
            <w:left w:val="none" w:sz="0" w:space="0" w:color="auto"/>
            <w:bottom w:val="none" w:sz="0" w:space="0" w:color="auto"/>
            <w:right w:val="none" w:sz="0" w:space="0" w:color="auto"/>
          </w:divBdr>
        </w:div>
      </w:divsChild>
    </w:div>
    <w:div w:id="90854985">
      <w:bodyDiv w:val="1"/>
      <w:marLeft w:val="0"/>
      <w:marRight w:val="0"/>
      <w:marTop w:val="0"/>
      <w:marBottom w:val="0"/>
      <w:divBdr>
        <w:top w:val="none" w:sz="0" w:space="0" w:color="auto"/>
        <w:left w:val="none" w:sz="0" w:space="0" w:color="auto"/>
        <w:bottom w:val="none" w:sz="0" w:space="0" w:color="auto"/>
        <w:right w:val="none" w:sz="0" w:space="0" w:color="auto"/>
      </w:divBdr>
      <w:divsChild>
        <w:div w:id="1565526809">
          <w:marLeft w:val="0"/>
          <w:marRight w:val="0"/>
          <w:marTop w:val="0"/>
          <w:marBottom w:val="0"/>
          <w:divBdr>
            <w:top w:val="none" w:sz="0" w:space="0" w:color="auto"/>
            <w:left w:val="none" w:sz="0" w:space="0" w:color="auto"/>
            <w:bottom w:val="none" w:sz="0" w:space="0" w:color="auto"/>
            <w:right w:val="none" w:sz="0" w:space="0" w:color="auto"/>
          </w:divBdr>
        </w:div>
        <w:div w:id="1168328939">
          <w:marLeft w:val="0"/>
          <w:marRight w:val="0"/>
          <w:marTop w:val="0"/>
          <w:marBottom w:val="0"/>
          <w:divBdr>
            <w:top w:val="none" w:sz="0" w:space="0" w:color="auto"/>
            <w:left w:val="none" w:sz="0" w:space="0" w:color="auto"/>
            <w:bottom w:val="none" w:sz="0" w:space="0" w:color="auto"/>
            <w:right w:val="none" w:sz="0" w:space="0" w:color="auto"/>
          </w:divBdr>
        </w:div>
      </w:divsChild>
    </w:div>
    <w:div w:id="194469837">
      <w:bodyDiv w:val="1"/>
      <w:marLeft w:val="0"/>
      <w:marRight w:val="0"/>
      <w:marTop w:val="0"/>
      <w:marBottom w:val="0"/>
      <w:divBdr>
        <w:top w:val="none" w:sz="0" w:space="0" w:color="auto"/>
        <w:left w:val="none" w:sz="0" w:space="0" w:color="auto"/>
        <w:bottom w:val="none" w:sz="0" w:space="0" w:color="auto"/>
        <w:right w:val="none" w:sz="0" w:space="0" w:color="auto"/>
      </w:divBdr>
      <w:divsChild>
        <w:div w:id="1134181863">
          <w:marLeft w:val="0"/>
          <w:marRight w:val="0"/>
          <w:marTop w:val="0"/>
          <w:marBottom w:val="0"/>
          <w:divBdr>
            <w:top w:val="none" w:sz="0" w:space="0" w:color="auto"/>
            <w:left w:val="none" w:sz="0" w:space="0" w:color="auto"/>
            <w:bottom w:val="none" w:sz="0" w:space="0" w:color="auto"/>
            <w:right w:val="none" w:sz="0" w:space="0" w:color="auto"/>
          </w:divBdr>
        </w:div>
        <w:div w:id="1617516620">
          <w:marLeft w:val="0"/>
          <w:marRight w:val="0"/>
          <w:marTop w:val="0"/>
          <w:marBottom w:val="0"/>
          <w:divBdr>
            <w:top w:val="none" w:sz="0" w:space="0" w:color="auto"/>
            <w:left w:val="none" w:sz="0" w:space="0" w:color="auto"/>
            <w:bottom w:val="none" w:sz="0" w:space="0" w:color="auto"/>
            <w:right w:val="none" w:sz="0" w:space="0" w:color="auto"/>
          </w:divBdr>
        </w:div>
      </w:divsChild>
    </w:div>
    <w:div w:id="235088967">
      <w:bodyDiv w:val="1"/>
      <w:marLeft w:val="0"/>
      <w:marRight w:val="0"/>
      <w:marTop w:val="0"/>
      <w:marBottom w:val="0"/>
      <w:divBdr>
        <w:top w:val="none" w:sz="0" w:space="0" w:color="auto"/>
        <w:left w:val="none" w:sz="0" w:space="0" w:color="auto"/>
        <w:bottom w:val="none" w:sz="0" w:space="0" w:color="auto"/>
        <w:right w:val="none" w:sz="0" w:space="0" w:color="auto"/>
      </w:divBdr>
      <w:divsChild>
        <w:div w:id="551890540">
          <w:marLeft w:val="0"/>
          <w:marRight w:val="0"/>
          <w:marTop w:val="0"/>
          <w:marBottom w:val="0"/>
          <w:divBdr>
            <w:top w:val="none" w:sz="0" w:space="0" w:color="auto"/>
            <w:left w:val="none" w:sz="0" w:space="0" w:color="auto"/>
            <w:bottom w:val="none" w:sz="0" w:space="0" w:color="auto"/>
            <w:right w:val="none" w:sz="0" w:space="0" w:color="auto"/>
          </w:divBdr>
        </w:div>
        <w:div w:id="2108228465">
          <w:marLeft w:val="0"/>
          <w:marRight w:val="0"/>
          <w:marTop w:val="0"/>
          <w:marBottom w:val="0"/>
          <w:divBdr>
            <w:top w:val="none" w:sz="0" w:space="0" w:color="auto"/>
            <w:left w:val="none" w:sz="0" w:space="0" w:color="auto"/>
            <w:bottom w:val="none" w:sz="0" w:space="0" w:color="auto"/>
            <w:right w:val="none" w:sz="0" w:space="0" w:color="auto"/>
          </w:divBdr>
        </w:div>
      </w:divsChild>
    </w:div>
    <w:div w:id="377051655">
      <w:bodyDiv w:val="1"/>
      <w:marLeft w:val="0"/>
      <w:marRight w:val="0"/>
      <w:marTop w:val="0"/>
      <w:marBottom w:val="0"/>
      <w:divBdr>
        <w:top w:val="none" w:sz="0" w:space="0" w:color="auto"/>
        <w:left w:val="none" w:sz="0" w:space="0" w:color="auto"/>
        <w:bottom w:val="none" w:sz="0" w:space="0" w:color="auto"/>
        <w:right w:val="none" w:sz="0" w:space="0" w:color="auto"/>
      </w:divBdr>
      <w:divsChild>
        <w:div w:id="170488221">
          <w:marLeft w:val="0"/>
          <w:marRight w:val="0"/>
          <w:marTop w:val="0"/>
          <w:marBottom w:val="0"/>
          <w:divBdr>
            <w:top w:val="none" w:sz="0" w:space="0" w:color="auto"/>
            <w:left w:val="none" w:sz="0" w:space="0" w:color="auto"/>
            <w:bottom w:val="none" w:sz="0" w:space="0" w:color="auto"/>
            <w:right w:val="none" w:sz="0" w:space="0" w:color="auto"/>
          </w:divBdr>
        </w:div>
        <w:div w:id="753161432">
          <w:marLeft w:val="0"/>
          <w:marRight w:val="0"/>
          <w:marTop w:val="0"/>
          <w:marBottom w:val="0"/>
          <w:divBdr>
            <w:top w:val="none" w:sz="0" w:space="0" w:color="auto"/>
            <w:left w:val="none" w:sz="0" w:space="0" w:color="auto"/>
            <w:bottom w:val="none" w:sz="0" w:space="0" w:color="auto"/>
            <w:right w:val="none" w:sz="0" w:space="0" w:color="auto"/>
          </w:divBdr>
        </w:div>
        <w:div w:id="51076627">
          <w:marLeft w:val="0"/>
          <w:marRight w:val="0"/>
          <w:marTop w:val="0"/>
          <w:marBottom w:val="0"/>
          <w:divBdr>
            <w:top w:val="none" w:sz="0" w:space="0" w:color="auto"/>
            <w:left w:val="none" w:sz="0" w:space="0" w:color="auto"/>
            <w:bottom w:val="none" w:sz="0" w:space="0" w:color="auto"/>
            <w:right w:val="none" w:sz="0" w:space="0" w:color="auto"/>
          </w:divBdr>
        </w:div>
      </w:divsChild>
    </w:div>
    <w:div w:id="458453806">
      <w:bodyDiv w:val="1"/>
      <w:marLeft w:val="0"/>
      <w:marRight w:val="0"/>
      <w:marTop w:val="0"/>
      <w:marBottom w:val="0"/>
      <w:divBdr>
        <w:top w:val="none" w:sz="0" w:space="0" w:color="auto"/>
        <w:left w:val="none" w:sz="0" w:space="0" w:color="auto"/>
        <w:bottom w:val="none" w:sz="0" w:space="0" w:color="auto"/>
        <w:right w:val="none" w:sz="0" w:space="0" w:color="auto"/>
      </w:divBdr>
      <w:divsChild>
        <w:div w:id="186528725">
          <w:marLeft w:val="0"/>
          <w:marRight w:val="0"/>
          <w:marTop w:val="0"/>
          <w:marBottom w:val="0"/>
          <w:divBdr>
            <w:top w:val="none" w:sz="0" w:space="0" w:color="auto"/>
            <w:left w:val="none" w:sz="0" w:space="0" w:color="auto"/>
            <w:bottom w:val="none" w:sz="0" w:space="0" w:color="auto"/>
            <w:right w:val="none" w:sz="0" w:space="0" w:color="auto"/>
          </w:divBdr>
        </w:div>
        <w:div w:id="2110854927">
          <w:marLeft w:val="0"/>
          <w:marRight w:val="0"/>
          <w:marTop w:val="0"/>
          <w:marBottom w:val="0"/>
          <w:divBdr>
            <w:top w:val="none" w:sz="0" w:space="0" w:color="auto"/>
            <w:left w:val="none" w:sz="0" w:space="0" w:color="auto"/>
            <w:bottom w:val="none" w:sz="0" w:space="0" w:color="auto"/>
            <w:right w:val="none" w:sz="0" w:space="0" w:color="auto"/>
          </w:divBdr>
        </w:div>
        <w:div w:id="819469423">
          <w:marLeft w:val="0"/>
          <w:marRight w:val="0"/>
          <w:marTop w:val="0"/>
          <w:marBottom w:val="0"/>
          <w:divBdr>
            <w:top w:val="none" w:sz="0" w:space="0" w:color="auto"/>
            <w:left w:val="none" w:sz="0" w:space="0" w:color="auto"/>
            <w:bottom w:val="none" w:sz="0" w:space="0" w:color="auto"/>
            <w:right w:val="none" w:sz="0" w:space="0" w:color="auto"/>
          </w:divBdr>
        </w:div>
        <w:div w:id="1580362264">
          <w:marLeft w:val="0"/>
          <w:marRight w:val="0"/>
          <w:marTop w:val="0"/>
          <w:marBottom w:val="0"/>
          <w:divBdr>
            <w:top w:val="none" w:sz="0" w:space="0" w:color="auto"/>
            <w:left w:val="none" w:sz="0" w:space="0" w:color="auto"/>
            <w:bottom w:val="none" w:sz="0" w:space="0" w:color="auto"/>
            <w:right w:val="none" w:sz="0" w:space="0" w:color="auto"/>
          </w:divBdr>
        </w:div>
        <w:div w:id="1051541803">
          <w:marLeft w:val="0"/>
          <w:marRight w:val="0"/>
          <w:marTop w:val="0"/>
          <w:marBottom w:val="0"/>
          <w:divBdr>
            <w:top w:val="none" w:sz="0" w:space="0" w:color="auto"/>
            <w:left w:val="none" w:sz="0" w:space="0" w:color="auto"/>
            <w:bottom w:val="none" w:sz="0" w:space="0" w:color="auto"/>
            <w:right w:val="none" w:sz="0" w:space="0" w:color="auto"/>
          </w:divBdr>
        </w:div>
        <w:div w:id="401103586">
          <w:marLeft w:val="0"/>
          <w:marRight w:val="0"/>
          <w:marTop w:val="0"/>
          <w:marBottom w:val="0"/>
          <w:divBdr>
            <w:top w:val="none" w:sz="0" w:space="0" w:color="auto"/>
            <w:left w:val="none" w:sz="0" w:space="0" w:color="auto"/>
            <w:bottom w:val="none" w:sz="0" w:space="0" w:color="auto"/>
            <w:right w:val="none" w:sz="0" w:space="0" w:color="auto"/>
          </w:divBdr>
        </w:div>
        <w:div w:id="868765610">
          <w:marLeft w:val="0"/>
          <w:marRight w:val="0"/>
          <w:marTop w:val="0"/>
          <w:marBottom w:val="0"/>
          <w:divBdr>
            <w:top w:val="none" w:sz="0" w:space="0" w:color="auto"/>
            <w:left w:val="none" w:sz="0" w:space="0" w:color="auto"/>
            <w:bottom w:val="none" w:sz="0" w:space="0" w:color="auto"/>
            <w:right w:val="none" w:sz="0" w:space="0" w:color="auto"/>
          </w:divBdr>
        </w:div>
        <w:div w:id="1530754637">
          <w:marLeft w:val="0"/>
          <w:marRight w:val="0"/>
          <w:marTop w:val="0"/>
          <w:marBottom w:val="0"/>
          <w:divBdr>
            <w:top w:val="none" w:sz="0" w:space="0" w:color="auto"/>
            <w:left w:val="none" w:sz="0" w:space="0" w:color="auto"/>
            <w:bottom w:val="none" w:sz="0" w:space="0" w:color="auto"/>
            <w:right w:val="none" w:sz="0" w:space="0" w:color="auto"/>
          </w:divBdr>
        </w:div>
        <w:div w:id="345787261">
          <w:marLeft w:val="0"/>
          <w:marRight w:val="0"/>
          <w:marTop w:val="0"/>
          <w:marBottom w:val="0"/>
          <w:divBdr>
            <w:top w:val="none" w:sz="0" w:space="0" w:color="auto"/>
            <w:left w:val="none" w:sz="0" w:space="0" w:color="auto"/>
            <w:bottom w:val="none" w:sz="0" w:space="0" w:color="auto"/>
            <w:right w:val="none" w:sz="0" w:space="0" w:color="auto"/>
          </w:divBdr>
        </w:div>
      </w:divsChild>
    </w:div>
    <w:div w:id="637417402">
      <w:bodyDiv w:val="1"/>
      <w:marLeft w:val="0"/>
      <w:marRight w:val="0"/>
      <w:marTop w:val="0"/>
      <w:marBottom w:val="0"/>
      <w:divBdr>
        <w:top w:val="none" w:sz="0" w:space="0" w:color="auto"/>
        <w:left w:val="none" w:sz="0" w:space="0" w:color="auto"/>
        <w:bottom w:val="none" w:sz="0" w:space="0" w:color="auto"/>
        <w:right w:val="none" w:sz="0" w:space="0" w:color="auto"/>
      </w:divBdr>
      <w:divsChild>
        <w:div w:id="138423857">
          <w:marLeft w:val="0"/>
          <w:marRight w:val="0"/>
          <w:marTop w:val="0"/>
          <w:marBottom w:val="0"/>
          <w:divBdr>
            <w:top w:val="none" w:sz="0" w:space="0" w:color="auto"/>
            <w:left w:val="none" w:sz="0" w:space="0" w:color="auto"/>
            <w:bottom w:val="none" w:sz="0" w:space="0" w:color="auto"/>
            <w:right w:val="none" w:sz="0" w:space="0" w:color="auto"/>
          </w:divBdr>
        </w:div>
        <w:div w:id="492793451">
          <w:marLeft w:val="0"/>
          <w:marRight w:val="0"/>
          <w:marTop w:val="0"/>
          <w:marBottom w:val="0"/>
          <w:divBdr>
            <w:top w:val="none" w:sz="0" w:space="0" w:color="auto"/>
            <w:left w:val="none" w:sz="0" w:space="0" w:color="auto"/>
            <w:bottom w:val="none" w:sz="0" w:space="0" w:color="auto"/>
            <w:right w:val="none" w:sz="0" w:space="0" w:color="auto"/>
          </w:divBdr>
        </w:div>
      </w:divsChild>
    </w:div>
    <w:div w:id="989096829">
      <w:bodyDiv w:val="1"/>
      <w:marLeft w:val="0"/>
      <w:marRight w:val="0"/>
      <w:marTop w:val="0"/>
      <w:marBottom w:val="0"/>
      <w:divBdr>
        <w:top w:val="none" w:sz="0" w:space="0" w:color="auto"/>
        <w:left w:val="none" w:sz="0" w:space="0" w:color="auto"/>
        <w:bottom w:val="none" w:sz="0" w:space="0" w:color="auto"/>
        <w:right w:val="none" w:sz="0" w:space="0" w:color="auto"/>
      </w:divBdr>
      <w:divsChild>
        <w:div w:id="1514297782">
          <w:marLeft w:val="0"/>
          <w:marRight w:val="0"/>
          <w:marTop w:val="0"/>
          <w:marBottom w:val="0"/>
          <w:divBdr>
            <w:top w:val="none" w:sz="0" w:space="0" w:color="auto"/>
            <w:left w:val="none" w:sz="0" w:space="0" w:color="auto"/>
            <w:bottom w:val="none" w:sz="0" w:space="0" w:color="auto"/>
            <w:right w:val="none" w:sz="0" w:space="0" w:color="auto"/>
          </w:divBdr>
        </w:div>
        <w:div w:id="777801261">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5663047">
      <w:bodyDiv w:val="1"/>
      <w:marLeft w:val="0"/>
      <w:marRight w:val="0"/>
      <w:marTop w:val="0"/>
      <w:marBottom w:val="0"/>
      <w:divBdr>
        <w:top w:val="none" w:sz="0" w:space="0" w:color="auto"/>
        <w:left w:val="none" w:sz="0" w:space="0" w:color="auto"/>
        <w:bottom w:val="none" w:sz="0" w:space="0" w:color="auto"/>
        <w:right w:val="none" w:sz="0" w:space="0" w:color="auto"/>
      </w:divBdr>
      <w:divsChild>
        <w:div w:id="212891195">
          <w:marLeft w:val="0"/>
          <w:marRight w:val="0"/>
          <w:marTop w:val="0"/>
          <w:marBottom w:val="0"/>
          <w:divBdr>
            <w:top w:val="none" w:sz="0" w:space="0" w:color="auto"/>
            <w:left w:val="none" w:sz="0" w:space="0" w:color="auto"/>
            <w:bottom w:val="none" w:sz="0" w:space="0" w:color="auto"/>
            <w:right w:val="none" w:sz="0" w:space="0" w:color="auto"/>
          </w:divBdr>
        </w:div>
        <w:div w:id="1487621973">
          <w:marLeft w:val="0"/>
          <w:marRight w:val="0"/>
          <w:marTop w:val="0"/>
          <w:marBottom w:val="0"/>
          <w:divBdr>
            <w:top w:val="none" w:sz="0" w:space="0" w:color="auto"/>
            <w:left w:val="none" w:sz="0" w:space="0" w:color="auto"/>
            <w:bottom w:val="none" w:sz="0" w:space="0" w:color="auto"/>
            <w:right w:val="none" w:sz="0" w:space="0" w:color="auto"/>
          </w:divBdr>
        </w:div>
        <w:div w:id="190650603">
          <w:marLeft w:val="0"/>
          <w:marRight w:val="0"/>
          <w:marTop w:val="0"/>
          <w:marBottom w:val="0"/>
          <w:divBdr>
            <w:top w:val="none" w:sz="0" w:space="0" w:color="auto"/>
            <w:left w:val="none" w:sz="0" w:space="0" w:color="auto"/>
            <w:bottom w:val="none" w:sz="0" w:space="0" w:color="auto"/>
            <w:right w:val="none" w:sz="0" w:space="0" w:color="auto"/>
          </w:divBdr>
        </w:div>
        <w:div w:id="1983658030">
          <w:marLeft w:val="0"/>
          <w:marRight w:val="0"/>
          <w:marTop w:val="0"/>
          <w:marBottom w:val="0"/>
          <w:divBdr>
            <w:top w:val="none" w:sz="0" w:space="0" w:color="auto"/>
            <w:left w:val="none" w:sz="0" w:space="0" w:color="auto"/>
            <w:bottom w:val="none" w:sz="0" w:space="0" w:color="auto"/>
            <w:right w:val="none" w:sz="0" w:space="0" w:color="auto"/>
          </w:divBdr>
        </w:div>
      </w:divsChild>
    </w:div>
    <w:div w:id="1865360295">
      <w:bodyDiv w:val="1"/>
      <w:marLeft w:val="0"/>
      <w:marRight w:val="0"/>
      <w:marTop w:val="0"/>
      <w:marBottom w:val="0"/>
      <w:divBdr>
        <w:top w:val="none" w:sz="0" w:space="0" w:color="auto"/>
        <w:left w:val="none" w:sz="0" w:space="0" w:color="auto"/>
        <w:bottom w:val="none" w:sz="0" w:space="0" w:color="auto"/>
        <w:right w:val="none" w:sz="0" w:space="0" w:color="auto"/>
      </w:divBdr>
      <w:divsChild>
        <w:div w:id="926959665">
          <w:marLeft w:val="0"/>
          <w:marRight w:val="0"/>
          <w:marTop w:val="0"/>
          <w:marBottom w:val="0"/>
          <w:divBdr>
            <w:top w:val="none" w:sz="0" w:space="0" w:color="auto"/>
            <w:left w:val="none" w:sz="0" w:space="0" w:color="auto"/>
            <w:bottom w:val="none" w:sz="0" w:space="0" w:color="auto"/>
            <w:right w:val="none" w:sz="0" w:space="0" w:color="auto"/>
          </w:divBdr>
        </w:div>
        <w:div w:id="553278338">
          <w:marLeft w:val="0"/>
          <w:marRight w:val="0"/>
          <w:marTop w:val="0"/>
          <w:marBottom w:val="0"/>
          <w:divBdr>
            <w:top w:val="none" w:sz="0" w:space="0" w:color="auto"/>
            <w:left w:val="none" w:sz="0" w:space="0" w:color="auto"/>
            <w:bottom w:val="none" w:sz="0" w:space="0" w:color="auto"/>
            <w:right w:val="none" w:sz="0" w:space="0" w:color="auto"/>
          </w:divBdr>
        </w:div>
        <w:div w:id="949699770">
          <w:marLeft w:val="0"/>
          <w:marRight w:val="0"/>
          <w:marTop w:val="0"/>
          <w:marBottom w:val="0"/>
          <w:divBdr>
            <w:top w:val="none" w:sz="0" w:space="0" w:color="auto"/>
            <w:left w:val="none" w:sz="0" w:space="0" w:color="auto"/>
            <w:bottom w:val="none" w:sz="0" w:space="0" w:color="auto"/>
            <w:right w:val="none" w:sz="0" w:space="0" w:color="auto"/>
          </w:divBdr>
        </w:div>
        <w:div w:id="918372160">
          <w:marLeft w:val="0"/>
          <w:marRight w:val="0"/>
          <w:marTop w:val="0"/>
          <w:marBottom w:val="0"/>
          <w:divBdr>
            <w:top w:val="none" w:sz="0" w:space="0" w:color="auto"/>
            <w:left w:val="none" w:sz="0" w:space="0" w:color="auto"/>
            <w:bottom w:val="none" w:sz="0" w:space="0" w:color="auto"/>
            <w:right w:val="none" w:sz="0" w:space="0" w:color="auto"/>
          </w:divBdr>
        </w:div>
        <w:div w:id="550925700">
          <w:marLeft w:val="0"/>
          <w:marRight w:val="0"/>
          <w:marTop w:val="0"/>
          <w:marBottom w:val="0"/>
          <w:divBdr>
            <w:top w:val="none" w:sz="0" w:space="0" w:color="auto"/>
            <w:left w:val="none" w:sz="0" w:space="0" w:color="auto"/>
            <w:bottom w:val="none" w:sz="0" w:space="0" w:color="auto"/>
            <w:right w:val="none" w:sz="0" w:space="0" w:color="auto"/>
          </w:divBdr>
        </w:div>
      </w:divsChild>
    </w:div>
    <w:div w:id="2067294686">
      <w:bodyDiv w:val="1"/>
      <w:marLeft w:val="0"/>
      <w:marRight w:val="0"/>
      <w:marTop w:val="0"/>
      <w:marBottom w:val="0"/>
      <w:divBdr>
        <w:top w:val="none" w:sz="0" w:space="0" w:color="auto"/>
        <w:left w:val="none" w:sz="0" w:space="0" w:color="auto"/>
        <w:bottom w:val="none" w:sz="0" w:space="0" w:color="auto"/>
        <w:right w:val="none" w:sz="0" w:space="0" w:color="auto"/>
      </w:divBdr>
      <w:divsChild>
        <w:div w:id="183251354">
          <w:marLeft w:val="0"/>
          <w:marRight w:val="0"/>
          <w:marTop w:val="0"/>
          <w:marBottom w:val="0"/>
          <w:divBdr>
            <w:top w:val="none" w:sz="0" w:space="0" w:color="auto"/>
            <w:left w:val="none" w:sz="0" w:space="0" w:color="auto"/>
            <w:bottom w:val="none" w:sz="0" w:space="0" w:color="auto"/>
            <w:right w:val="none" w:sz="0" w:space="0" w:color="auto"/>
          </w:divBdr>
        </w:div>
        <w:div w:id="111754454">
          <w:marLeft w:val="0"/>
          <w:marRight w:val="0"/>
          <w:marTop w:val="0"/>
          <w:marBottom w:val="0"/>
          <w:divBdr>
            <w:top w:val="none" w:sz="0" w:space="0" w:color="auto"/>
            <w:left w:val="none" w:sz="0" w:space="0" w:color="auto"/>
            <w:bottom w:val="none" w:sz="0" w:space="0" w:color="auto"/>
            <w:right w:val="none" w:sz="0" w:space="0" w:color="auto"/>
          </w:divBdr>
        </w:div>
      </w:divsChild>
    </w:div>
    <w:div w:id="2110159714">
      <w:bodyDiv w:val="1"/>
      <w:marLeft w:val="0"/>
      <w:marRight w:val="0"/>
      <w:marTop w:val="0"/>
      <w:marBottom w:val="0"/>
      <w:divBdr>
        <w:top w:val="none" w:sz="0" w:space="0" w:color="auto"/>
        <w:left w:val="none" w:sz="0" w:space="0" w:color="auto"/>
        <w:bottom w:val="none" w:sz="0" w:space="0" w:color="auto"/>
        <w:right w:val="none" w:sz="0" w:space="0" w:color="auto"/>
      </w:divBdr>
      <w:divsChild>
        <w:div w:id="2142334770">
          <w:marLeft w:val="0"/>
          <w:marRight w:val="0"/>
          <w:marTop w:val="0"/>
          <w:marBottom w:val="0"/>
          <w:divBdr>
            <w:top w:val="none" w:sz="0" w:space="0" w:color="auto"/>
            <w:left w:val="none" w:sz="0" w:space="0" w:color="auto"/>
            <w:bottom w:val="none" w:sz="0" w:space="0" w:color="auto"/>
            <w:right w:val="none" w:sz="0" w:space="0" w:color="auto"/>
          </w:divBdr>
        </w:div>
        <w:div w:id="2073893895">
          <w:marLeft w:val="0"/>
          <w:marRight w:val="0"/>
          <w:marTop w:val="0"/>
          <w:marBottom w:val="0"/>
          <w:divBdr>
            <w:top w:val="none" w:sz="0" w:space="0" w:color="auto"/>
            <w:left w:val="none" w:sz="0" w:space="0" w:color="auto"/>
            <w:bottom w:val="none" w:sz="0" w:space="0" w:color="auto"/>
            <w:right w:val="none" w:sz="0" w:space="0" w:color="auto"/>
          </w:divBdr>
        </w:div>
        <w:div w:id="1156605188">
          <w:marLeft w:val="0"/>
          <w:marRight w:val="0"/>
          <w:marTop w:val="0"/>
          <w:marBottom w:val="0"/>
          <w:divBdr>
            <w:top w:val="none" w:sz="0" w:space="0" w:color="auto"/>
            <w:left w:val="none" w:sz="0" w:space="0" w:color="auto"/>
            <w:bottom w:val="none" w:sz="0" w:space="0" w:color="auto"/>
            <w:right w:val="none" w:sz="0" w:space="0" w:color="auto"/>
          </w:divBdr>
        </w:div>
        <w:div w:id="1968393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s.who.int/gho/data/node.gisah.GISAH?showonly=GISAH"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s.who.int/gho/data/node.gisah.GISAH?showonly=GISA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9789241565639" TargetMode="External"/><Relationship Id="rId5" Type="http://schemas.openxmlformats.org/officeDocument/2006/relationships/numbering" Target="numbering.xml"/><Relationship Id="rId15" Type="http://schemas.openxmlformats.org/officeDocument/2006/relationships/hyperlink" Target="http://www.who.int/substance_abuse/publications/global_alcohol_report/e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data/gho/data/themes/global-information-system-on-alcohol-and-healt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33E8F36-4EA6-42B6-A2A3-AB53DDF157A1}"/>
      </w:docPartPr>
      <w:docPartBody>
        <w:p w:rsidR="0065522C" w:rsidRDefault="008A7D83">
          <w:r w:rsidRPr="00722F0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DD"/>
    <w:rsid w:val="000553DD"/>
    <w:rsid w:val="004F7010"/>
    <w:rsid w:val="0065522C"/>
    <w:rsid w:val="008A7D83"/>
    <w:rsid w:val="00B275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7D83"/>
    <w:rPr>
      <w:color w:val="808080"/>
    </w:rPr>
  </w:style>
  <w:style w:type="paragraph" w:customStyle="1" w:styleId="747DE3CABB7943C7AB9271C10BCAA885">
    <w:name w:val="747DE3CABB7943C7AB9271C10BCAA8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516A76-A8BC-4DDF-AAEE-36A12D5A9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2016-07-16T14:25:00Z</cp:lastPrinted>
  <dcterms:created xsi:type="dcterms:W3CDTF">2021-07-05T05:01:00Z</dcterms:created>
  <dcterms:modified xsi:type="dcterms:W3CDTF">2023-03-30T06:02:00Z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