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FB77D2">
      <w:pPr>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sidRPr="7A557B3C">
        <w:rPr>
          <w:color w:val="B4B4B4"/>
          <w:sz w:val="20"/>
          <w:szCs w:val="20"/>
        </w:rPr>
        <w:t>(SDG_GOAL)</w:t>
      </w:r>
    </w:p>
    <w:p w14:paraId="45DB5DCD" w14:textId="41649BA3" w:rsidR="4DC67814" w:rsidRDefault="4DC67814" w:rsidP="7A557B3C">
      <w:pPr>
        <w:pStyle w:val="MGTHeader"/>
      </w:pPr>
      <w:r>
        <w:t>Goal 3: Ensure healthy lives and promote well-being for all at all ages</w:t>
      </w:r>
    </w:p>
    <w:p w14:paraId="084142D2" w14:textId="77777777" w:rsidR="00D24330" w:rsidRPr="00A96255" w:rsidRDefault="00D24330" w:rsidP="00D24330">
      <w:pPr>
        <w:pStyle w:val="MIndHeader"/>
      </w:pPr>
      <w:r>
        <w:t xml:space="preserve">0.b. Target </w:t>
      </w:r>
      <w:r w:rsidRPr="7A557B3C">
        <w:rPr>
          <w:color w:val="B4B4B4"/>
          <w:sz w:val="20"/>
          <w:szCs w:val="20"/>
        </w:rPr>
        <w:t>(SDG_TARGET)</w:t>
      </w:r>
    </w:p>
    <w:p w14:paraId="63905C27" w14:textId="08E6333C" w:rsidR="53D930C4" w:rsidRDefault="53D930C4" w:rsidP="7A557B3C">
      <w:pPr>
        <w:pStyle w:val="MGTHeader"/>
      </w:pPr>
      <w:r>
        <w:t>Target 3.7: By 2030, ensure universal access to sexual and reproductive health-care services, including for family planning, information and education, and the integration of reproductive health into national strategies and programmes</w:t>
      </w:r>
    </w:p>
    <w:p w14:paraId="3E67E7E0" w14:textId="77777777" w:rsidR="00D24330" w:rsidRPr="00A96255" w:rsidRDefault="00D24330" w:rsidP="00D24330">
      <w:pPr>
        <w:pStyle w:val="MIndHeader"/>
      </w:pPr>
      <w:r>
        <w:t xml:space="preserve">0.c. Indicator </w:t>
      </w:r>
      <w:r w:rsidRPr="7A557B3C">
        <w:rPr>
          <w:color w:val="B4B4B4"/>
          <w:sz w:val="20"/>
          <w:szCs w:val="20"/>
        </w:rPr>
        <w:t>(SDG_INDICATOR)</w:t>
      </w:r>
    </w:p>
    <w:p w14:paraId="746146D5" w14:textId="330CB0C5" w:rsidR="346E57A4" w:rsidRDefault="346E57A4" w:rsidP="7A557B3C">
      <w:pPr>
        <w:pStyle w:val="MGTHeader"/>
      </w:pPr>
      <w:r>
        <w:t>Indicator 3.7.2: Adolescent birth rate (aged 10–14 years; aged 15–19 years) per 1,000 women in that age group</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1575B268" w:rsidR="00D24330" w:rsidRPr="00A95912" w:rsidRDefault="4275C6D5" w:rsidP="562B779C">
      <w:pPr>
        <w:pStyle w:val="MGTHeader"/>
      </w:pPr>
      <w:r>
        <w:t>SP_DYN_ADKL - Adolescent birth rate (per 1,000 women aged 15-19 and 10-14 years) [3.7.2]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186480725"/>
        <w:placeholder>
          <w:docPart w:val="DefaultPlaceholder_-1854013437"/>
        </w:placeholder>
        <w:date w:fullDate="2025-03-28T00:00:00Z">
          <w:dateFormat w:val="yyyy-MM-dd"/>
          <w:lid w:val="en-US"/>
          <w:storeMappedDataAs w:val="dateTime"/>
          <w:calendar w:val="gregorian"/>
        </w:date>
      </w:sdtPr>
      <w:sdtEndPr/>
      <w:sdtContent>
        <w:p w14:paraId="03424B60" w14:textId="364B9D49" w:rsidR="00D24330" w:rsidRPr="00A96255" w:rsidRDefault="00DB3752" w:rsidP="00D24330">
          <w:pPr>
            <w:pStyle w:val="MGTHeader"/>
          </w:pPr>
          <w:r>
            <w:rPr>
              <w:lang w:val="en-US"/>
            </w:rPr>
            <w:t>2025-03-28</w:t>
          </w:r>
        </w:p>
      </w:sdtContent>
    </w:sdt>
    <w:p w14:paraId="415C9FF1" w14:textId="77777777" w:rsidR="00D24330" w:rsidRPr="00A96255" w:rsidRDefault="00D24330" w:rsidP="00D24330">
      <w:pPr>
        <w:pStyle w:val="MIndHeader"/>
      </w:pPr>
      <w:r>
        <w:t xml:space="preserve">0.f. Related indicators </w:t>
      </w:r>
      <w:r w:rsidRPr="55B5BE16">
        <w:rPr>
          <w:color w:val="B4B4B4"/>
          <w:sz w:val="20"/>
          <w:szCs w:val="20"/>
        </w:rPr>
        <w:t>(SDG_RELATED_INDICATORS)</w:t>
      </w:r>
    </w:p>
    <w:p w14:paraId="00109E93" w14:textId="65D171F9" w:rsidR="1721FC54" w:rsidRDefault="1721FC54" w:rsidP="55B5BE16">
      <w:pPr>
        <w:pStyle w:val="MGTHeader"/>
      </w:pPr>
      <w:r>
        <w:t>Indicator is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reductions in adolescent childbearing that are brought about by increasing access to sexual and reproductive health-care services are also reflective of improvements in sexual and reproductive health and the exercise of reproductive rights per se. This indicator is linked to Target 17.19 (By 2030 build on existing initiatives to develop measurements of progress on sustainable development that complement gross domestic product and support statistical capacity-building in developing countries) because the estimates of the adolescent birth rate are based in part on birth registration and census data. Strengthened civil registration and vital statistics systems reaching universal coverage of birth registration and conducting at least one census every 10 years are directly relevant for measuring progress on Target 3.7.</w:t>
      </w:r>
    </w:p>
    <w:p w14:paraId="077BC49E" w14:textId="77777777" w:rsidR="00D24330" w:rsidRPr="00A96255" w:rsidRDefault="00D24330" w:rsidP="00D24330">
      <w:pPr>
        <w:pStyle w:val="MIndHeader"/>
      </w:pPr>
      <w:r>
        <w:t xml:space="preserve">0.g. </w:t>
      </w:r>
      <w:proofErr w:type="gramStart"/>
      <w:r>
        <w:t>International</w:t>
      </w:r>
      <w:proofErr w:type="gramEnd"/>
      <w:r>
        <w:t xml:space="preserve"> organisations(s) responsible for global monitoring </w:t>
      </w:r>
      <w:r w:rsidRPr="55B5BE16">
        <w:rPr>
          <w:color w:val="B4B4B4"/>
          <w:sz w:val="20"/>
          <w:szCs w:val="20"/>
        </w:rPr>
        <w:t>(SDG_CUSTODIAN_AGENCIES)</w:t>
      </w:r>
    </w:p>
    <w:p w14:paraId="03548740" w14:textId="62FC0565" w:rsidR="0C9E404E" w:rsidRDefault="0C9E404E" w:rsidP="55B5BE16">
      <w:pPr>
        <w:pStyle w:val="MGTHeader"/>
      </w:pPr>
      <w:r>
        <w:t xml:space="preserve">Population Division, Department of Economic and Social Affairs (DESA)  </w:t>
      </w:r>
    </w:p>
    <w:p w14:paraId="43E9D521" w14:textId="53080282" w:rsidR="0C9E404E" w:rsidRDefault="0C9E404E" w:rsidP="55B5BE16">
      <w:pPr>
        <w:pStyle w:val="MGTHeader"/>
      </w:pPr>
      <w:r>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t xml:space="preserve">1.a. Organisation </w:t>
      </w:r>
      <w:r w:rsidRPr="55B5BE16">
        <w:rPr>
          <w:color w:val="B4B4B4"/>
          <w:sz w:val="20"/>
          <w:szCs w:val="20"/>
        </w:rPr>
        <w:t>(CONTACT_ORGANISATION)</w:t>
      </w:r>
    </w:p>
    <w:p w14:paraId="20299082" w14:textId="5B06DA53" w:rsidR="6C930566" w:rsidRDefault="6C930566" w:rsidP="55B5BE16">
      <w:pPr>
        <w:pStyle w:val="MText"/>
      </w:pPr>
      <w:r>
        <w:t xml:space="preserve">Population Division, Department of Economic and Social Affairs (DESA)  </w:t>
      </w:r>
    </w:p>
    <w:p w14:paraId="56E4CAB9" w14:textId="528E399A" w:rsidR="6C930566" w:rsidRDefault="6C930566" w:rsidP="55B5BE16">
      <w:pPr>
        <w:pStyle w:val="MText"/>
      </w:pPr>
      <w:r>
        <w:t>United Nations Population Fund (UNFPA)</w:t>
      </w:r>
    </w:p>
    <w:p w14:paraId="6E829FD0" w14:textId="2439F30A" w:rsidR="00F719A8" w:rsidRDefault="00F719A8"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lastRenderedPageBreak/>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CD9240A" w14:textId="77777777" w:rsidR="000E4B86" w:rsidRPr="000E4B86" w:rsidRDefault="000E4B86" w:rsidP="00576CFA">
      <w:pPr>
        <w:pStyle w:val="MText"/>
        <w:rPr>
          <w:b/>
          <w:bCs/>
        </w:rPr>
      </w:pPr>
      <w:r w:rsidRPr="000E4B86">
        <w:rPr>
          <w:b/>
          <w:bCs/>
        </w:rPr>
        <w:t xml:space="preserve">Definition: </w:t>
      </w:r>
    </w:p>
    <w:p w14:paraId="2092B750" w14:textId="378F3B0D" w:rsidR="000E4B86" w:rsidRDefault="000E4B86" w:rsidP="00576CFA">
      <w:pPr>
        <w:pStyle w:val="MText"/>
      </w:pPr>
      <w:r w:rsidRPr="000E4B86">
        <w:t xml:space="preserve">Annual number of births to females aged 10-14 or 15-19 years per 1,000 females in the respective age group. </w:t>
      </w:r>
    </w:p>
    <w:p w14:paraId="1D5CC0DD" w14:textId="77777777" w:rsidR="000E4B86" w:rsidRDefault="000E4B86" w:rsidP="00576CFA">
      <w:pPr>
        <w:pStyle w:val="MText"/>
      </w:pPr>
    </w:p>
    <w:p w14:paraId="4B6FBF45" w14:textId="77777777" w:rsidR="000E4B86" w:rsidRPr="000E4B86" w:rsidRDefault="000E4B86" w:rsidP="00576CFA">
      <w:pPr>
        <w:pStyle w:val="MText"/>
        <w:rPr>
          <w:b/>
          <w:bCs/>
        </w:rPr>
      </w:pPr>
      <w:r w:rsidRPr="000E4B86">
        <w:rPr>
          <w:b/>
          <w:bCs/>
        </w:rPr>
        <w:t xml:space="preserve">Concepts: </w:t>
      </w:r>
    </w:p>
    <w:p w14:paraId="6E54D3D6" w14:textId="01483D99" w:rsidR="00EC2915" w:rsidRDefault="000E4B86" w:rsidP="00576CFA">
      <w:pPr>
        <w:pStyle w:val="MText"/>
      </w:pPr>
      <w:r w:rsidRPr="000E4B86">
        <w:t xml:space="preserve">The adolescent birth rate represents the level of childbearing among females in the </w:t>
      </w:r>
      <w:proofErr w:type="gramStart"/>
      <w:r w:rsidRPr="000E4B86">
        <w:t>particular age</w:t>
      </w:r>
      <w:proofErr w:type="gramEnd"/>
      <w:r w:rsidRPr="000E4B86">
        <w:t xml:space="preserve"> group. The adolescent birth rate among women aged 15-19 years is also referred to as the age-specific fertility rate for women aged 15-19.</w:t>
      </w:r>
    </w:p>
    <w:p w14:paraId="0FE07215" w14:textId="77777777" w:rsidR="000E4B86" w:rsidRPr="00A96255" w:rsidRDefault="000E4B86"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1BD5AA1" w:rsidR="00EC2915" w:rsidRDefault="002F6220" w:rsidP="00576CFA">
      <w:pPr>
        <w:pStyle w:val="MText"/>
      </w:pPr>
      <w:r w:rsidRPr="002F6220">
        <w:t>Annual number of births to females aged 10-14 or 15-19 years per 1,000 females in the respective age group.</w:t>
      </w:r>
    </w:p>
    <w:p w14:paraId="71AB3C3D" w14:textId="77777777" w:rsidR="002F6220" w:rsidRPr="00A96255" w:rsidRDefault="002F6220"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710DC579" w:rsidR="00EC2915" w:rsidRDefault="00A717FB" w:rsidP="00576CFA">
      <w:pPr>
        <w:pStyle w:val="MText"/>
      </w:pPr>
      <w:r w:rsidRPr="00A717FB">
        <w:t>Not Applicable</w:t>
      </w:r>
      <w: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7DAD094" w14:textId="77777777" w:rsidR="00596187" w:rsidRDefault="00596187" w:rsidP="00576CFA">
      <w:pPr>
        <w:pStyle w:val="MText"/>
      </w:pPr>
      <w:r w:rsidRPr="00596187">
        <w:t xml:space="preserve">Civil registration is the preferred data source. Census and household survey are alternate sources when there is no reliable civil registration. </w:t>
      </w:r>
    </w:p>
    <w:p w14:paraId="41A39734" w14:textId="77777777" w:rsidR="00596187" w:rsidRDefault="00596187" w:rsidP="00576CFA">
      <w:pPr>
        <w:pStyle w:val="MText"/>
      </w:pPr>
    </w:p>
    <w:p w14:paraId="10554DFB" w14:textId="77777777" w:rsidR="00E72ED6" w:rsidRDefault="00596187" w:rsidP="00576CFA">
      <w:pPr>
        <w:pStyle w:val="MText"/>
      </w:pPr>
      <w:r w:rsidRPr="00596187">
        <w:t xml:space="preserve">Data on births by age of mother are obtained from civil registration systems covering 90 percent or more of all live births, supplemented eventually by census or survey estimates for periods when registration data are not available. For the numerator, the figures reported by National Statistical Offices (NSOs) to the United Nations Statistics Division (UNSD) have </w:t>
      </w:r>
      <w:proofErr w:type="gramStart"/>
      <w:r w:rsidRPr="00596187">
        <w:t>first priority</w:t>
      </w:r>
      <w:proofErr w:type="gramEnd"/>
      <w:r w:rsidRPr="00596187">
        <w:t xml:space="preserve">. When they are not available or present problems, use is made of data from the regional statistical units or directly from NSOs. For the denominator, </w:t>
      </w:r>
      <w:proofErr w:type="gramStart"/>
      <w:r w:rsidRPr="00596187">
        <w:t>first priority</w:t>
      </w:r>
      <w:proofErr w:type="gramEnd"/>
      <w:r w:rsidRPr="00596187">
        <w:t xml:space="preserve"> is given to the latest revision of World Population Prospects (WPP) produced by the Population Division, Department of Economic and Social Affairs, United Nations. In cases where the numerator does not cover the complete de facto population, an alternative appropriate population estimate is used if available. When either the numerator or denominator is missing, the direct estimate of the rate produced by the NSO is used. Information on sources is provided at the cell level. When the numerator and denominator come from two different sources, they are listed in that order. </w:t>
      </w:r>
    </w:p>
    <w:p w14:paraId="371967CC" w14:textId="77777777" w:rsidR="00E72ED6" w:rsidRDefault="00E72ED6" w:rsidP="00576CFA">
      <w:pPr>
        <w:pStyle w:val="MText"/>
      </w:pPr>
    </w:p>
    <w:p w14:paraId="08015564" w14:textId="541BC239" w:rsidR="00E32B21" w:rsidRDefault="00596187" w:rsidP="00576CFA">
      <w:pPr>
        <w:pStyle w:val="MText"/>
      </w:pPr>
      <w:r>
        <w:t xml:space="preserve">In countries </w:t>
      </w:r>
      <w:r w:rsidR="680287A5">
        <w:t xml:space="preserve">and areas </w:t>
      </w:r>
      <w:r>
        <w:t xml:space="preserve">lacking a civil registration system or where the coverage of that system is lower than 90 percent of all live births, the adolescent birth rate is obtained from household survey data and census data. Registration data regarded as less than 90 percent complete are exceptionally used for countries </w:t>
      </w:r>
      <w:r w:rsidR="7F39E29F">
        <w:t xml:space="preserve">and areas </w:t>
      </w:r>
      <w:r>
        <w:t xml:space="preserve">where the alternative sources present problems of compatibility and registration data can provide an assessment of trends. In countries </w:t>
      </w:r>
      <w:r w:rsidR="182943FA">
        <w:t xml:space="preserve">and areas </w:t>
      </w:r>
      <w:r>
        <w:t xml:space="preserve">with multiple survey programmes, large sample surveys conducted on an annual or biennial basis are given precedence when they exist. </w:t>
      </w:r>
    </w:p>
    <w:p w14:paraId="3E74525B" w14:textId="77777777" w:rsidR="00E32B21" w:rsidRDefault="00E32B21" w:rsidP="00576CFA">
      <w:pPr>
        <w:pStyle w:val="MText"/>
      </w:pPr>
    </w:p>
    <w:p w14:paraId="3018A8D8" w14:textId="25445C41" w:rsidR="00EC2915" w:rsidRDefault="00596187" w:rsidP="00576CFA">
      <w:pPr>
        <w:pStyle w:val="MText"/>
      </w:pPr>
      <w:r w:rsidRPr="00596187">
        <w:lastRenderedPageBreak/>
        <w:t xml:space="preserve">For information on the source of each estimate, see United Nations, Department of Economic and Social Affairs, Population Division: </w:t>
      </w:r>
      <w:proofErr w:type="spellStart"/>
      <w:r w:rsidRPr="00596187">
        <w:t>DemoData</w:t>
      </w:r>
      <w:proofErr w:type="spellEnd"/>
      <w:r w:rsidRPr="00596187">
        <w:t>: Data Browser (online database of empirical demographic data and selected tabulations)</w:t>
      </w:r>
      <w:r w:rsidR="00D87977">
        <w:t xml:space="preserve">, </w:t>
      </w:r>
      <w:hyperlink r:id="rId11" w:anchor="!" w:history="1">
        <w:r w:rsidR="00D87977" w:rsidRPr="005C77CE">
          <w:rPr>
            <w:rStyle w:val="Hyperlink"/>
          </w:rPr>
          <w:t>https://popdiv.dfs.un.org/demodata/web/#!#%2Fhome</w:t>
        </w:r>
      </w:hyperlink>
      <w:r w:rsidR="00D87977">
        <w:t xml:space="preserve">. </w:t>
      </w:r>
    </w:p>
    <w:p w14:paraId="7900C3A3" w14:textId="77777777" w:rsidR="00E32B21" w:rsidRPr="00A96255" w:rsidRDefault="00E32B21"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5EECA2C" w14:textId="0BBF9694" w:rsidR="001D5CC9" w:rsidRDefault="001D5CC9" w:rsidP="00576CFA">
      <w:pPr>
        <w:pStyle w:val="MText"/>
      </w:pPr>
      <w:r w:rsidRPr="001D5CC9">
        <w:t>For civil registration data, data on births or the adolescent birth rate are obtained from country-reported data from the United Nations Statistics Division or regional Statistics Divisions or statistical units (ESCWA, ESCAP, CARICOM, SPC). The population figures are obtained from the last revision of the United Nations Population Division World Population Prospects and only exceptionally from other sources. Survey data are obtained from national household surveys that are internationally coordinated—such as the Demographic and Health Surveys (DHS), the Reproductive Health Surveys (RHS), and the Multiple Indicator Cluster Surveys (MICS)—and other nationally-sponsored surveys. Other national surveys conducted as part of the European Fertility and Family Surveys (FFS</w:t>
      </w:r>
      <w:r w:rsidR="00FC1C20" w:rsidRPr="001D5CC9">
        <w:t>),</w:t>
      </w:r>
      <w:r w:rsidRPr="001D5CC9">
        <w:t xml:space="preserve"> or the Pan-Arab Project for Family Health (PAPFAM) may be considered as well. The data are taken from published survey reports or, in exceptional cases, other published analytical reports. Whenever the estimates are available in the survey report, they are directly taken from it. If clarification is needed, contact is made with the survey sponsors or authoring organization, which occasionally may supply corrected or adjusted estimates in response. In other cases, if microdata is available, estimates are produced by the Population Division based on national data. </w:t>
      </w:r>
    </w:p>
    <w:p w14:paraId="4CD7E060" w14:textId="77777777" w:rsidR="001D5CC9" w:rsidRDefault="001D5CC9" w:rsidP="00576CFA">
      <w:pPr>
        <w:pStyle w:val="MText"/>
      </w:pPr>
    </w:p>
    <w:p w14:paraId="57BF4887" w14:textId="77777777" w:rsidR="001D5CC9" w:rsidRDefault="001D5CC9" w:rsidP="00576CFA">
      <w:pPr>
        <w:pStyle w:val="MText"/>
      </w:pPr>
      <w:r w:rsidRPr="001D5CC9">
        <w:t xml:space="preserve">For census data, the estimates are preferably obtained directly from census reports. In such cases, adjusted rates are only used when reported by the National Statistical Office (NSO). In other cases, the adolescent birth rate is computed from tables on births in the preceding 12 months by age of mother, and census population distribution by sex and age. </w:t>
      </w:r>
    </w:p>
    <w:p w14:paraId="34D8B7E5" w14:textId="77777777" w:rsidR="001D5CC9" w:rsidRDefault="001D5CC9" w:rsidP="00576CFA">
      <w:pPr>
        <w:pStyle w:val="MText"/>
      </w:pPr>
    </w:p>
    <w:p w14:paraId="7D9F065F" w14:textId="1ECFDE43" w:rsidR="00EC2915" w:rsidRDefault="001D5CC9" w:rsidP="007946BD">
      <w:pPr>
        <w:pStyle w:val="MText"/>
      </w:pPr>
      <w:r w:rsidRPr="001D5CC9">
        <w:t xml:space="preserve">In addition to obtaining data and estimates directly from the websites of NSOs, the following databases and websites are utilized: </w:t>
      </w:r>
      <w:r w:rsidR="007946BD">
        <w:t>t</w:t>
      </w:r>
      <w:r w:rsidRPr="001D5CC9">
        <w:t>he DHS (</w:t>
      </w:r>
      <w:hyperlink r:id="rId12" w:anchor="/index.html" w:history="1">
        <w:r w:rsidR="004E386D" w:rsidRPr="005C77CE">
          <w:rPr>
            <w:rStyle w:val="Hyperlink"/>
          </w:rPr>
          <w:t>http://api.dhsprogram.com/#/index.html</w:t>
        </w:r>
      </w:hyperlink>
      <w:r w:rsidRPr="001D5CC9">
        <w:t>)</w:t>
      </w:r>
      <w:r w:rsidR="004E386D">
        <w:t xml:space="preserve">, </w:t>
      </w:r>
      <w:r w:rsidRPr="001D5CC9">
        <w:t>Demographic Yearbook database of the Statistics Division of the Department of Economic and Social Affairs (DESA) of the United Nations Secretariat (</w:t>
      </w:r>
      <w:hyperlink r:id="rId13" w:history="1">
        <w:r w:rsidR="00EC01C0" w:rsidRPr="005C77CE">
          <w:rPr>
            <w:rStyle w:val="Hyperlink"/>
          </w:rPr>
          <w:t>http://data.un.org/</w:t>
        </w:r>
      </w:hyperlink>
      <w:r w:rsidRPr="001D5CC9">
        <w:t>)</w:t>
      </w:r>
      <w:r w:rsidR="00EC01C0">
        <w:t xml:space="preserve">, </w:t>
      </w:r>
      <w:r w:rsidRPr="001D5CC9">
        <w:t xml:space="preserve"> </w:t>
      </w:r>
      <w:r w:rsidR="007946BD">
        <w:t>i</w:t>
      </w:r>
      <w:r w:rsidRPr="001D5CC9">
        <w:t>nternal databases of the Population Division of DESA of the United Nations Secretariat (see latest public release here:</w:t>
      </w:r>
      <w:r w:rsidR="003451A6">
        <w:t xml:space="preserve"> </w:t>
      </w:r>
      <w:hyperlink r:id="rId14" w:history="1">
        <w:r w:rsidR="00CE6F10" w:rsidRPr="005C77CE">
          <w:rPr>
            <w:rStyle w:val="Hyperlink"/>
          </w:rPr>
          <w:t>https://population.un.org/wpp/assets/Files/WPP2024_Data_Sources.pdf</w:t>
        </w:r>
      </w:hyperlink>
      <w:r w:rsidR="00C763EB">
        <w:t>),</w:t>
      </w:r>
      <w:r w:rsidR="00CE6F10">
        <w:t xml:space="preserve"> </w:t>
      </w:r>
      <w:r w:rsidRPr="001D5CC9">
        <w:t>Eurostat (</w:t>
      </w:r>
      <w:hyperlink r:id="rId15" w:history="1">
        <w:r w:rsidR="00C763EB" w:rsidRPr="005C77CE">
          <w:rPr>
            <w:rStyle w:val="Hyperlink"/>
          </w:rPr>
          <w:t>https://ec.europa.eu/eurostat/data/database</w:t>
        </w:r>
      </w:hyperlink>
      <w:r w:rsidRPr="001D5CC9">
        <w:t>),</w:t>
      </w:r>
      <w:r w:rsidR="007946BD">
        <w:t xml:space="preserve"> t</w:t>
      </w:r>
      <w:r w:rsidR="00C763EB">
        <w:t>h</w:t>
      </w:r>
      <w:r w:rsidRPr="001D5CC9">
        <w:t>e Human Fertility Database (</w:t>
      </w:r>
      <w:hyperlink r:id="rId16" w:history="1">
        <w:r w:rsidR="007946BD" w:rsidRPr="005C77CE">
          <w:rPr>
            <w:rStyle w:val="Hyperlink"/>
          </w:rPr>
          <w:t>http://www.humanfertility.org</w:t>
        </w:r>
      </w:hyperlink>
      <w:r w:rsidRPr="001D5CC9">
        <w:t>),</w:t>
      </w:r>
      <w:r w:rsidR="007946BD">
        <w:t xml:space="preserve"> </w:t>
      </w:r>
      <w:r w:rsidRPr="001D5CC9">
        <w:t>the Human Fertility Collection (</w:t>
      </w:r>
      <w:hyperlink r:id="rId17" w:history="1">
        <w:r w:rsidR="007946BD" w:rsidRPr="005C77CE">
          <w:rPr>
            <w:rStyle w:val="Hyperlink"/>
          </w:rPr>
          <w:t>http://www.fertilitydata.org</w:t>
        </w:r>
      </w:hyperlink>
      <w:r w:rsidRPr="001D5CC9">
        <w:t>),</w:t>
      </w:r>
      <w:r w:rsidR="007946BD">
        <w:t xml:space="preserve"> </w:t>
      </w:r>
      <w:r w:rsidRPr="001D5CC9">
        <w:t>and the MICS (</w:t>
      </w:r>
      <w:hyperlink r:id="rId18" w:history="1">
        <w:r w:rsidR="007946BD" w:rsidRPr="005C77CE">
          <w:rPr>
            <w:rStyle w:val="Hyperlink"/>
          </w:rPr>
          <w:t>http://mics.unicef.org/</w:t>
        </w:r>
      </w:hyperlink>
      <w:r w:rsidRPr="001D5CC9">
        <w:t>).</w:t>
      </w:r>
      <w:r w:rsidR="007946BD">
        <w:t xml:space="preserve"> </w:t>
      </w:r>
      <w:r w:rsidRPr="001D5CC9">
        <w:t>Survey databases (e.g., the Integrated Household Survey Network (IHSN) database) are also consulted in addition to searches for data on websites of National Statistical Offices and ad hoc queries.</w:t>
      </w:r>
    </w:p>
    <w:p w14:paraId="23AF012E" w14:textId="77777777" w:rsidR="001D5CC9" w:rsidRPr="00A96255" w:rsidRDefault="001D5CC9"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2EDBF04" w:rsidR="00EC2915" w:rsidRDefault="00442FAC" w:rsidP="00576CFA">
      <w:pPr>
        <w:pStyle w:val="MText"/>
      </w:pPr>
      <w:r w:rsidRPr="00442FAC">
        <w:t>Data are compiled and updated on a regular basis.</w:t>
      </w:r>
    </w:p>
    <w:p w14:paraId="4C9EE7C3" w14:textId="77777777" w:rsidR="00442FAC" w:rsidRPr="00A96255" w:rsidRDefault="00442FAC"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56DCB29" w:rsidR="00EC2915" w:rsidRDefault="00442FAC" w:rsidP="00576CFA">
      <w:pPr>
        <w:pStyle w:val="MText"/>
      </w:pPr>
      <w:r w:rsidRPr="00442FAC">
        <w:t xml:space="preserve">Updated data on the adolescent birth rate for SDG monitoring are released by the Population Division annually. The next release is expected in </w:t>
      </w:r>
      <w:r w:rsidR="003451A6">
        <w:t>2026</w:t>
      </w:r>
      <w:r w:rsidRPr="00442FAC">
        <w:t>.</w:t>
      </w:r>
    </w:p>
    <w:p w14:paraId="043C6396" w14:textId="77777777" w:rsidR="00442FAC" w:rsidRPr="00A96255" w:rsidRDefault="00442FAC" w:rsidP="00576CFA">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50A66E64" w14:textId="53737793" w:rsidR="00EC2915" w:rsidRDefault="00442FAC" w:rsidP="00576CFA">
      <w:pPr>
        <w:pStyle w:val="MText"/>
      </w:pPr>
      <w:r w:rsidRPr="00442FAC">
        <w:t>For civil registration data, data on births or the adolescent birth rate are obtained from country-reported data from the United Nations Statistics Division (UNSD) or regional Statistics Divisions or statistical units (ESCWA, ESCAP, CARICOM, SPC). The population figures are obtained from the last revision of the United Nations Population Division World Population Prospects and only exceptionally from other sources. Survey data are obtained from national household surveys that are internationally coordinated—such as the Demographic and Health Surveys (DHS), the Reproductive Health Surveys (RHS), and the Multiple Indicator Cluster Surveys (MICS)—and other nationally-sponsored surveys. Data from censuses are obtained from country-reported data from the UNSD or regional Statistics Divisions or statistical units (ESCWA, ESCAP, CARICOM, SPC) or directly from census reports.</w:t>
      </w:r>
    </w:p>
    <w:p w14:paraId="21749B4A" w14:textId="77777777" w:rsidR="00442FAC" w:rsidRPr="00A96255" w:rsidRDefault="00442FAC"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46314C8" w:rsidR="00EC2915" w:rsidRDefault="00442FAC" w:rsidP="00576CFA">
      <w:pPr>
        <w:pStyle w:val="MText"/>
      </w:pPr>
      <w:r w:rsidRPr="00442FAC">
        <w:t>This indicator is produced at the global level by the Population Division, Department of Economic and Social Affairs, United Nations in collaboration with the United Nations Population Fund (UNFPA).</w:t>
      </w:r>
    </w:p>
    <w:p w14:paraId="741349BA" w14:textId="77777777" w:rsidR="00442FAC" w:rsidRPr="00A96255" w:rsidRDefault="00442FAC"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2F9AF017" w:rsidR="00EC2915" w:rsidRDefault="00556289" w:rsidP="00576CFA">
      <w:pPr>
        <w:pStyle w:val="MText"/>
      </w:pPr>
      <w:r w:rsidRPr="00556289">
        <w:t xml:space="preserve">The Population Division of the Department of Economic and Social Affairs provides the international community with timely and accessible population data and analysis of population trends and development outcomes for all countries and areas of the world. It is the custodian agency for Sustainable Development Goal (SDG) </w:t>
      </w:r>
      <w:r>
        <w:t>I</w:t>
      </w:r>
      <w:r w:rsidRPr="00556289">
        <w:t>ndicator 3.7.2.</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7F1EC0EF" w:rsidR="00576CFA" w:rsidRDefault="00556289" w:rsidP="00576CFA">
      <w:pPr>
        <w:pStyle w:val="MText"/>
      </w:pPr>
      <w:r w:rsidRPr="00556289">
        <w:t>Reducing adolescent fertility and addressing the multiple factors underlying it are essential for improving sexual and reproductive health and the social and economic well-being of adolescents. There is substantial agreement in the literature that women who become pregnant and give birth very early in their reproductive lives are subject to higher risks of complications or even death during pregnancy and birth and their children are also more vulnerable. Therefore, preventing births very early in a woman’s life is an important measure to improve maternal health and reduce infant mortality. Furthermore, women having children at an early age experience reduced opportunities for socio- economic advancement, particularly because young mothers are less likely to complete their education and, if they need to work, may find it especially difficult to combine family and work responsibilities. The adolescent birth rate also provides indirect evidence on access to pertinent health services since young people, and in particular unmarried adolescent women, often experience difficulties in access to sexual and reproductive health services.</w:t>
      </w:r>
    </w:p>
    <w:p w14:paraId="0C4D0753" w14:textId="77777777" w:rsidR="00556289" w:rsidRPr="00A96255" w:rsidRDefault="00556289"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8C62A91" w14:textId="77777777" w:rsidR="007D1327" w:rsidRDefault="00556289" w:rsidP="00576CFA">
      <w:pPr>
        <w:pStyle w:val="MText"/>
      </w:pPr>
      <w:r w:rsidRPr="00556289">
        <w:t>Discrepancies between estimates obtained from different national data are common. For civil registration, rates are subject to limitations which depend on the completeness of birth registration, the treatment of infants born alive but die before registration or within the first 24 hours of life, the quality of the reported information relating to age of the mother, and the inclusion of births from</w:t>
      </w:r>
      <w:r>
        <w:t xml:space="preserve"> </w:t>
      </w:r>
      <w:r w:rsidRPr="00556289">
        <w:t xml:space="preserve">previous periods. The population estimates may suffer from limitations connected to age misreporting and coverage. </w:t>
      </w:r>
    </w:p>
    <w:p w14:paraId="02943159" w14:textId="77777777" w:rsidR="007D1327" w:rsidRDefault="007D1327" w:rsidP="00576CFA">
      <w:pPr>
        <w:pStyle w:val="MText"/>
      </w:pPr>
    </w:p>
    <w:p w14:paraId="4F984833" w14:textId="77777777" w:rsidR="007D1327" w:rsidRDefault="00556289" w:rsidP="00576CFA">
      <w:pPr>
        <w:pStyle w:val="MText"/>
      </w:pPr>
      <w:r w:rsidRPr="00556289">
        <w:t xml:space="preserve">For survey and census data, both the numerator and denominator come from the same population. The main limitations concern age misreporting, the omission of births, misreporting the date of birth of the child, and, in the case of surveys, sampling size and variability. </w:t>
      </w:r>
    </w:p>
    <w:p w14:paraId="2051F5CD" w14:textId="77777777" w:rsidR="007D1327" w:rsidRDefault="007D1327" w:rsidP="00576CFA">
      <w:pPr>
        <w:pStyle w:val="MText"/>
      </w:pPr>
    </w:p>
    <w:p w14:paraId="1C8BAFFD" w14:textId="77777777" w:rsidR="007D1327" w:rsidRDefault="00556289" w:rsidP="00576CFA">
      <w:pPr>
        <w:pStyle w:val="MText"/>
      </w:pPr>
      <w:r w:rsidRPr="00556289">
        <w:t xml:space="preserve">With respect to estimates of the adolescent birth rate among females aged 10-14 years, comparative evidence suggests that a very small proportion of births in this age group occur to females below age 12. Other evidence based on retrospective birth history data from surveys indicates that women aged 15-19 years are less likely to report first births before age 15 than women from the same birth cohort when asked five years later at ages 20–24 years. </w:t>
      </w:r>
    </w:p>
    <w:p w14:paraId="1F3E1A02" w14:textId="77777777" w:rsidR="007D1327" w:rsidRDefault="007D1327" w:rsidP="00576CFA">
      <w:pPr>
        <w:pStyle w:val="MText"/>
      </w:pPr>
    </w:p>
    <w:p w14:paraId="398C00AE" w14:textId="35EB4EE3" w:rsidR="00EC2915" w:rsidRDefault="00556289" w:rsidP="00576CFA">
      <w:pPr>
        <w:pStyle w:val="MText"/>
      </w:pPr>
      <w:r w:rsidRPr="00556289">
        <w:t>The adolescent birth rate is commonly reported as the age-specific fertility rate for ages 15-19 years in the context of calculation of total fertility estimates. It has also been called adolescent fertility rate. A related measure is the proportion of adolescent fertility measured as the percentage of total fertility contributed by women aged 15-19.</w:t>
      </w:r>
    </w:p>
    <w:p w14:paraId="35101B20" w14:textId="77777777" w:rsidR="00556289" w:rsidRPr="00A96255" w:rsidRDefault="00556289"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56780DA6" w:rsidR="00576CFA" w:rsidRDefault="007D1327" w:rsidP="00576CFA">
      <w:pPr>
        <w:pStyle w:val="MText"/>
      </w:pPr>
      <w:r w:rsidRPr="007D1327">
        <w:t>The adolescent birth rate is computed as a ratio. The numerator is the number of live births to women aged 15-19 years, and the denominator an estimate of exposure to childbearing by women aged 15-19 years. The computation is the same for the age group 10-14 years. The numerator and the denominator are calculated differently for civil registration, survey and census data.</w:t>
      </w:r>
    </w:p>
    <w:p w14:paraId="0C08D3E5" w14:textId="77777777" w:rsidR="007D1327" w:rsidRDefault="007D1327" w:rsidP="00576CFA">
      <w:pPr>
        <w:pStyle w:val="MText"/>
      </w:pPr>
    </w:p>
    <w:p w14:paraId="1735995B" w14:textId="77777777" w:rsidR="007D1327" w:rsidRDefault="007D1327" w:rsidP="00576CFA">
      <w:pPr>
        <w:pStyle w:val="MText"/>
      </w:pPr>
      <w:r w:rsidRPr="007D1327">
        <w:t xml:space="preserve">Computation formula: Adolescent Birth Rate (15-19) = (number of births to women ages 15-19/mid-year population of women ages 15-19) * 1,000 </w:t>
      </w:r>
    </w:p>
    <w:p w14:paraId="52B3C813" w14:textId="77777777" w:rsidR="007D1327" w:rsidRDefault="007D1327" w:rsidP="00576CFA">
      <w:pPr>
        <w:pStyle w:val="MText"/>
      </w:pPr>
    </w:p>
    <w:p w14:paraId="5C870E43" w14:textId="7E49078E" w:rsidR="007D1327" w:rsidRDefault="007D1327" w:rsidP="00576CFA">
      <w:pPr>
        <w:pStyle w:val="MText"/>
      </w:pPr>
      <w:r w:rsidRPr="007D1327">
        <w:t>In the case of civil registration data, the numerator is the registered number of live births born to women aged 15-19 years during a given year, and the denominator is the estimated or enumerated population of women aged 15-19 years.</w:t>
      </w:r>
    </w:p>
    <w:p w14:paraId="54C77266" w14:textId="77777777" w:rsidR="00FE1364" w:rsidRDefault="00FE1364" w:rsidP="00576CFA">
      <w:pPr>
        <w:pStyle w:val="MText"/>
      </w:pPr>
    </w:p>
    <w:p w14:paraId="5099055E" w14:textId="77777777" w:rsidR="00FE1364" w:rsidRDefault="00FE1364" w:rsidP="00576CFA">
      <w:pPr>
        <w:pStyle w:val="MText"/>
      </w:pPr>
      <w:r w:rsidRPr="00FE1364">
        <w:t xml:space="preserve">In the case of survey data, 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 year corresponds to the middle of the reference period. For some surveys without data on retrospective birth histories, computation of the adolescent birth rate is based on the date of last birth or the number of births in the 12 months preceding the survey. </w:t>
      </w:r>
    </w:p>
    <w:p w14:paraId="716AC323" w14:textId="77777777" w:rsidR="00FE1364" w:rsidRDefault="00FE1364" w:rsidP="00576CFA">
      <w:pPr>
        <w:pStyle w:val="MText"/>
      </w:pPr>
    </w:p>
    <w:p w14:paraId="0152668E" w14:textId="2B90C24C" w:rsidR="00FE1364" w:rsidRDefault="00FE1364" w:rsidP="00576CFA">
      <w:pPr>
        <w:pStyle w:val="MText"/>
      </w:pPr>
      <w:r>
        <w:t xml:space="preserve">With census data, the adolescent birth rate is computed </w:t>
      </w:r>
      <w:proofErr w:type="gramStart"/>
      <w:r>
        <w:t>on the basis of</w:t>
      </w:r>
      <w:proofErr w:type="gramEnd"/>
      <w:r>
        <w:t xml:space="preserve"> the date of last birth or the number of births in the 12 months preceding the enumeration. The census provides both the numerator and the denominator for the rates. In some cases, the rates based on censuses are adjusted for under- registration based on indirect methods of estimation. For some countries </w:t>
      </w:r>
      <w:r w:rsidR="3EE349CE">
        <w:t xml:space="preserve">and areas </w:t>
      </w:r>
      <w:r>
        <w:t xml:space="preserve">with no other reliable data, the own-children method of indirect estimation provides estimates of the adolescent birth rate for </w:t>
      </w:r>
      <w:proofErr w:type="gramStart"/>
      <w:r>
        <w:t>a number of</w:t>
      </w:r>
      <w:proofErr w:type="gramEnd"/>
      <w:r>
        <w:t xml:space="preserve"> years before the census.</w:t>
      </w:r>
    </w:p>
    <w:p w14:paraId="7FFFDF03" w14:textId="77777777" w:rsidR="00FE1364" w:rsidRDefault="00FE1364" w:rsidP="00576CFA">
      <w:pPr>
        <w:pStyle w:val="MText"/>
      </w:pPr>
    </w:p>
    <w:p w14:paraId="6921AB6F" w14:textId="77777777" w:rsidR="00FE1364" w:rsidRDefault="00FE1364" w:rsidP="00576CFA">
      <w:pPr>
        <w:pStyle w:val="MText"/>
      </w:pPr>
      <w:r w:rsidRPr="00FE1364">
        <w:t xml:space="preserve">Whenever data are available, adolescent fertility at ages 10-14 years are also computed. </w:t>
      </w:r>
    </w:p>
    <w:p w14:paraId="56826B02" w14:textId="77777777" w:rsidR="00FE1364" w:rsidRDefault="00FE1364" w:rsidP="00576CFA">
      <w:pPr>
        <w:pStyle w:val="MText"/>
      </w:pPr>
    </w:p>
    <w:p w14:paraId="348DA47A" w14:textId="6F8CD8BE" w:rsidR="00FE1364" w:rsidRDefault="00FE1364" w:rsidP="00576CFA">
      <w:pPr>
        <w:pStyle w:val="MText"/>
      </w:pPr>
      <w:r w:rsidRPr="00FE1364">
        <w:lastRenderedPageBreak/>
        <w:t>For a thorough treatment of the different methods of computation, see Handbook on the Collection of Fertility and Mortality Data, United Nations Publication, Sales No. E.03.XVII.11,  (</w:t>
      </w:r>
      <w:hyperlink r:id="rId19" w:history="1">
        <w:r w:rsidR="00221C68" w:rsidRPr="005C77CE">
          <w:rPr>
            <w:rStyle w:val="Hyperlink"/>
          </w:rPr>
          <w:t>https://unstats.un.org/unsd/demographic/standmeth/handbooks/Handbook_Fertility_Mortality.pdf</w:t>
        </w:r>
      </w:hyperlink>
      <w:r w:rsidRPr="00FE1364">
        <w:t>).</w:t>
      </w:r>
      <w:r w:rsidR="00221C68">
        <w:t xml:space="preserve"> </w:t>
      </w:r>
      <w:r w:rsidRPr="00FE1364">
        <w:t xml:space="preserve">In direct methods of estimation are </w:t>
      </w:r>
      <w:proofErr w:type="spellStart"/>
      <w:r w:rsidRPr="00FE1364">
        <w:t>analyzed</w:t>
      </w:r>
      <w:proofErr w:type="spellEnd"/>
      <w:r w:rsidRPr="00FE1364">
        <w:t xml:space="preserve"> in Manual X: Indirect Techniques for Demographic Estimation, United Nations Publication, Sales No. E.83.XIII.2.  </w:t>
      </w:r>
    </w:p>
    <w:p w14:paraId="5E7AAEFC" w14:textId="77777777" w:rsidR="007D1327" w:rsidRPr="00A96255" w:rsidRDefault="007D1327"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32DF1650" w:rsidR="00EC2915" w:rsidRDefault="00DA75FC" w:rsidP="00576CFA">
      <w:pPr>
        <w:pStyle w:val="MText"/>
      </w:pPr>
      <w:r w:rsidRPr="00DA75FC">
        <w:t xml:space="preserve">The Population Division maintains an online database on of empirical demographic data and selected tabulations (including fertility rates) from different sources including estimates produced by National Statistical Offices (NSOs) and regional statistical units. Data since the last round of SDG reporting are updated from various sources on a regular basis. Newly available demographic data are subjected to quality analyses and evaluated by examining the consistency in the patterns, levels and trends of the data within and across countries and regions. The Population Division has often reached out to the United Population Fund (UNFPA) to request its country offices to assist in obtaining data that might be available but not yet published. Also, through the UNFPA, data that the Population Division deems questionable are verified by the NSO or other relevant government agency. The process of data compilation and selection for SDG reporting is available at: </w:t>
      </w:r>
      <w:hyperlink r:id="rId20" w:history="1">
        <w:r w:rsidR="00D13DA6" w:rsidRPr="005C77CE">
          <w:rPr>
            <w:rStyle w:val="Hyperlink"/>
          </w:rPr>
          <w:t>https://www.un.org/development/desa/pd/sites/www.un.org.development.desa.pd/files/unpd-egm-fer-2020-10-backgroundpaper_newtitle_final_oct9.pdf</w:t>
        </w:r>
      </w:hyperlink>
      <w:r>
        <w:t>.</w:t>
      </w:r>
      <w:r w:rsidR="00D13DA6">
        <w:t xml:space="preserve"> </w:t>
      </w:r>
      <w:r w:rsidR="004F333C">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2CC253D6" w:rsidR="00EC2915" w:rsidRDefault="00DA75FC" w:rsidP="00576CFA">
      <w:pPr>
        <w:pStyle w:val="MText"/>
      </w:pPr>
      <w:r w:rsidRPr="00DA75FC">
        <w:t xml:space="preserve">When data are available from civil registration systems covering 90 percent or more of all live births, the adolescent birth rate is calculated by dividing the annual number of live births to females aged 19 years or younger (10-14 and 15-19 age groups) by the female population in the pertinent age group taken from the latest revision of World Population Prospects produced by the Population Division. The adolescent birth rate from other sources </w:t>
      </w:r>
      <w:r w:rsidR="003C3C54" w:rsidRPr="00DA75FC">
        <w:t>is</w:t>
      </w:r>
      <w:r w:rsidRPr="00DA75FC">
        <w:t xml:space="preserve"> not adjusted.</w:t>
      </w:r>
    </w:p>
    <w:p w14:paraId="09A4CFD9" w14:textId="77777777" w:rsidR="00DA75FC" w:rsidRPr="00A96255" w:rsidRDefault="00DA75FC"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B493B18" w14:textId="096833C9" w:rsidR="00DA75FC" w:rsidRPr="00DA75FC" w:rsidRDefault="00DA75FC" w:rsidP="00C77271">
      <w:pPr>
        <w:pStyle w:val="MText"/>
        <w:numPr>
          <w:ilvl w:val="0"/>
          <w:numId w:val="5"/>
        </w:numPr>
        <w:ind w:left="360"/>
        <w:rPr>
          <w:b/>
          <w:bCs/>
        </w:rPr>
      </w:pPr>
      <w:r w:rsidRPr="00DA75FC">
        <w:rPr>
          <w:b/>
          <w:bCs/>
        </w:rPr>
        <w:t xml:space="preserve">At country level </w:t>
      </w:r>
    </w:p>
    <w:p w14:paraId="281D2F8F" w14:textId="7017B7D0" w:rsidR="00DA75FC" w:rsidRDefault="00DA75FC" w:rsidP="00576CFA">
      <w:pPr>
        <w:pStyle w:val="MText"/>
      </w:pPr>
      <w:r>
        <w:t xml:space="preserve">There is no attempt to provide estimates for individual countries </w:t>
      </w:r>
      <w:r w:rsidR="25324341">
        <w:t xml:space="preserve">and </w:t>
      </w:r>
      <w:r>
        <w:t>areas when country or area data are not available.</w:t>
      </w:r>
    </w:p>
    <w:p w14:paraId="247BBA76" w14:textId="77777777" w:rsidR="00DA75FC" w:rsidRDefault="00DA75FC" w:rsidP="00576CFA">
      <w:pPr>
        <w:pStyle w:val="MText"/>
      </w:pPr>
    </w:p>
    <w:p w14:paraId="7FFF802F" w14:textId="77B9AF51" w:rsidR="00DA75FC" w:rsidRPr="00DA75FC" w:rsidRDefault="00DA75FC" w:rsidP="00C77271">
      <w:pPr>
        <w:pStyle w:val="MText"/>
        <w:numPr>
          <w:ilvl w:val="0"/>
          <w:numId w:val="5"/>
        </w:numPr>
        <w:ind w:left="360"/>
        <w:rPr>
          <w:b/>
          <w:bCs/>
        </w:rPr>
      </w:pPr>
      <w:r w:rsidRPr="00DA75FC">
        <w:rPr>
          <w:b/>
          <w:bCs/>
        </w:rPr>
        <w:t xml:space="preserve">At regional and global levels </w:t>
      </w:r>
    </w:p>
    <w:p w14:paraId="27033367" w14:textId="703256A5" w:rsidR="00EC2915" w:rsidRDefault="00DA75FC" w:rsidP="00400C8A">
      <w:pPr>
        <w:pStyle w:val="MText"/>
      </w:pPr>
      <w:r>
        <w:t xml:space="preserve">The regional or global aggregates of the adolescent birth rate for the age group 15-19 years are from the latest revision of World Population Prospects produced by the Population Division.  In cases where data are missing or assessed as unreliable, estimates for individual countries </w:t>
      </w:r>
      <w:r w:rsidR="75445B80">
        <w:t xml:space="preserve">and </w:t>
      </w:r>
      <w:r>
        <w:t xml:space="preserve">areas are generated either through expert-based opinion, reviewing and weighting each observation analytically, or, in more recent years, using automated statistical methods, or by using a bias-adjusted data model to control for systematic biases between different types of data. See United Nations, Department of Economic and Social Affairs, Population Division </w:t>
      </w:r>
      <w:r w:rsidR="00400C8A">
        <w:t>(2024). World Population Prospects 2024: Methodology of the United Nations population estimates and projections (UN DESA/POP/2024/DC/NO. 10)</w:t>
      </w:r>
      <w:r w:rsidR="002F4D2C">
        <w:t xml:space="preserve">, available at: </w:t>
      </w:r>
      <w:hyperlink r:id="rId21" w:history="1">
        <w:r w:rsidR="002F4D2C" w:rsidRPr="2DE5864C">
          <w:rPr>
            <w:rStyle w:val="Hyperlink"/>
          </w:rPr>
          <w:t>https://population.un.org/wpp/assets/Files/WPP2024_Methodology-Report_Final.pdf</w:t>
        </w:r>
      </w:hyperlink>
      <w:r w:rsidR="002F4D2C">
        <w:t xml:space="preserve">. </w:t>
      </w:r>
    </w:p>
    <w:p w14:paraId="100A82D6" w14:textId="77777777" w:rsidR="00510876" w:rsidRPr="00A96255" w:rsidRDefault="00510876" w:rsidP="00576CFA">
      <w:pPr>
        <w:pStyle w:val="MText"/>
      </w:pPr>
    </w:p>
    <w:p w14:paraId="51FCD280" w14:textId="0DAB30E3" w:rsidR="00E1050F" w:rsidRPr="00A96255" w:rsidRDefault="00E1050F" w:rsidP="00F719A8">
      <w:pPr>
        <w:pStyle w:val="MHeader2"/>
      </w:pPr>
      <w:r w:rsidRPr="00A96255">
        <w:lastRenderedPageBreak/>
        <w:t xml:space="preserve">4.g. </w:t>
      </w:r>
      <w:proofErr w:type="gramStart"/>
      <w:r w:rsidRPr="00A96255">
        <w:t>Regional</w:t>
      </w:r>
      <w:proofErr w:type="gramEnd"/>
      <w:r w:rsidRPr="00A96255">
        <w:t xml:space="preserve"> aggregations </w:t>
      </w:r>
      <w:r>
        <w:rPr>
          <w:color w:val="B4B4B4"/>
          <w:sz w:val="20"/>
        </w:rPr>
        <w:t>(REG_AGG)</w:t>
      </w:r>
    </w:p>
    <w:p w14:paraId="2D89A6CE" w14:textId="25D86DA8" w:rsidR="00510876" w:rsidRDefault="00510876" w:rsidP="00A055D6">
      <w:pPr>
        <w:pStyle w:val="MText"/>
      </w:pPr>
      <w:r>
        <w:t>The adolescent birth rates reported for global and regional aggregates are based on the average of estimated adolescent birth rates by one-year time interval published in United Nations, Department of Economic and Social Affairs, Population Division (</w:t>
      </w:r>
      <w:r w:rsidR="00774AC9">
        <w:t>2024</w:t>
      </w:r>
      <w:r>
        <w:t xml:space="preserve">), World Population Prospects </w:t>
      </w:r>
      <w:r w:rsidR="00774AC9">
        <w:t>2</w:t>
      </w:r>
      <w:r w:rsidR="00C44696">
        <w:t>024</w:t>
      </w:r>
      <w:r w:rsidR="00774AC9">
        <w:t xml:space="preserve"> </w:t>
      </w:r>
      <w:r>
        <w:t>(</w:t>
      </w:r>
      <w:hyperlink r:id="rId22" w:history="1">
        <w:r w:rsidR="00A055D6" w:rsidRPr="2DE5864C">
          <w:rPr>
            <w:rStyle w:val="Hyperlink"/>
          </w:rPr>
          <w:t>https://population.un.org/wpp/</w:t>
        </w:r>
      </w:hyperlink>
      <w:r>
        <w:t xml:space="preserve">) </w:t>
      </w:r>
    </w:p>
    <w:p w14:paraId="5BB019E7" w14:textId="77777777" w:rsidR="00510876" w:rsidRDefault="00510876" w:rsidP="00576CFA">
      <w:pPr>
        <w:pStyle w:val="MText"/>
      </w:pPr>
    </w:p>
    <w:p w14:paraId="2EA010B7" w14:textId="68C7FFE0" w:rsidR="00EC2915" w:rsidRDefault="00510876" w:rsidP="00576CFA">
      <w:pPr>
        <w:pStyle w:val="MText"/>
      </w:pPr>
      <w:r w:rsidRPr="00510876">
        <w:t>The age-specific fertility rates for global and regional aggregates from World Population Prospects (WPP) are based on population reconstruction at the country level and provide a best estimate based on all the available demographic information. WPP considers potentially as many types and sources of empirical estimates as possible (including retrospective birth histories, direct and indirect fertility estimates), and the final estimates are derived to ensure as much internal consistency as possible with all other demographic components and intercensal cohorts enumerated in successive censuses.</w:t>
      </w:r>
    </w:p>
    <w:p w14:paraId="00C30893" w14:textId="77777777" w:rsidR="00510876" w:rsidRPr="00A96255" w:rsidRDefault="00510876"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E194F6E" w14:textId="42DEC893" w:rsidR="001267DF" w:rsidRDefault="001267DF" w:rsidP="00576CFA">
      <w:pPr>
        <w:pStyle w:val="MText"/>
      </w:pPr>
      <w:r w:rsidRPr="001267DF">
        <w:t xml:space="preserve">Handbook on the Collection of Fertility and Mortality Data, United Nations Publication (ST/ESA/STAT/SER.F/92), </w:t>
      </w:r>
      <w:r w:rsidR="000B120F">
        <w:t xml:space="preserve">available at: </w:t>
      </w:r>
      <w:hyperlink r:id="rId23" w:history="1">
        <w:r w:rsidR="000B120F" w:rsidRPr="005C77CE">
          <w:rPr>
            <w:rStyle w:val="Hyperlink"/>
          </w:rPr>
          <w:t>https://unstats.un.org/unsd/demographic/standmeth/handbooks/Handbook_Fertility_Mortality.pdf</w:t>
        </w:r>
      </w:hyperlink>
      <w:r w:rsidR="00C44696">
        <w:t xml:space="preserve">. </w:t>
      </w:r>
    </w:p>
    <w:p w14:paraId="253C503E" w14:textId="77777777" w:rsidR="001267DF" w:rsidRDefault="001267DF" w:rsidP="00576CFA">
      <w:pPr>
        <w:pStyle w:val="MText"/>
      </w:pPr>
    </w:p>
    <w:p w14:paraId="481C6092" w14:textId="2D9B05B1" w:rsidR="00D306F0" w:rsidRDefault="001267DF" w:rsidP="00D306F0">
      <w:pPr>
        <w:pStyle w:val="MText"/>
      </w:pPr>
      <w:r w:rsidRPr="001267DF">
        <w:t>Manual X: Indirect Techniques for Demographic Estimation, United Nations Publication, Sales No. E.83.XIII.2</w:t>
      </w:r>
      <w:r w:rsidR="00932CAC">
        <w:t xml:space="preserve">, </w:t>
      </w:r>
      <w:r w:rsidR="000B120F">
        <w:t xml:space="preserve">available at: </w:t>
      </w:r>
      <w:hyperlink r:id="rId24" w:history="1">
        <w:r w:rsidR="000B120F" w:rsidRPr="005C77CE">
          <w:rPr>
            <w:rStyle w:val="Hyperlink"/>
          </w:rPr>
          <w:t>https://www.un.org/en/development/desa/population/publications/pdf/mortality/Manual_X.pdf</w:t>
        </w:r>
      </w:hyperlink>
      <w:r w:rsidR="00932CAC">
        <w:t>.</w:t>
      </w:r>
    </w:p>
    <w:p w14:paraId="58007CD4" w14:textId="77777777" w:rsidR="00D306F0" w:rsidRDefault="00D306F0" w:rsidP="00D306F0">
      <w:pPr>
        <w:pStyle w:val="MText"/>
      </w:pPr>
    </w:p>
    <w:p w14:paraId="2939895F" w14:textId="6DF00F33" w:rsidR="00EC2915" w:rsidRDefault="001267DF" w:rsidP="00D306F0">
      <w:pPr>
        <w:pStyle w:val="MText"/>
      </w:pPr>
      <w:r>
        <w:t xml:space="preserve">Indicator and Monitoring Framework for the Global Strategy for Women’s, Children’s and Adolescents’ Health (2016-2030), </w:t>
      </w:r>
      <w:r w:rsidR="000B120F">
        <w:t>available at:</w:t>
      </w:r>
      <w:r w:rsidR="41B220E8">
        <w:t xml:space="preserve"> </w:t>
      </w:r>
      <w:hyperlink r:id="rId25" w:history="1">
        <w:r w:rsidR="41B220E8">
          <w:t>http</w:t>
        </w:r>
        <w:r w:rsidR="41B220E8" w:rsidRPr="2DE5864C">
          <w:rPr>
            <w:rStyle w:val="Hyperlink"/>
          </w:rPr>
          <w:t>s://platform.who.int/docs/default-source/mca-documents/rmncah/global-strategy/gs-indicator-and-monitoring-framework.pdf</w:t>
        </w:r>
      </w:hyperlink>
      <w:r w:rsidR="000B120F">
        <w:t>.</w:t>
      </w:r>
    </w:p>
    <w:p w14:paraId="1A8A5C7E" w14:textId="00D44CFB" w:rsidR="001267DF" w:rsidRPr="00A96255" w:rsidRDefault="000B120F" w:rsidP="00576CFA">
      <w:pPr>
        <w:pStyle w:val="MText"/>
      </w:pPr>
      <w:r>
        <w:t>.</w:t>
      </w: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3439BC4" w14:textId="7194084B" w:rsidR="00D306F0" w:rsidRDefault="00D306F0" w:rsidP="00576CFA">
      <w:pPr>
        <w:pStyle w:val="MText"/>
      </w:pPr>
      <w:r w:rsidRPr="00D306F0">
        <w:t xml:space="preserve">The Population Division maintains an online database of empirical demographic data and selected tabulations (including fertility rates) from different sources including estimates produced by National Statistical Offices and regional statistical units. Data since the last round of SDG reporting are continuously updated from various sources: </w:t>
      </w:r>
      <w:proofErr w:type="spellStart"/>
      <w:r w:rsidRPr="00D306F0">
        <w:t>DemoData</w:t>
      </w:r>
      <w:proofErr w:type="spellEnd"/>
      <w:r w:rsidRPr="00D306F0">
        <w:t>: Data Browser (online database of empirical demographic data and selected tabulations)</w:t>
      </w:r>
      <w:r w:rsidR="00723D16">
        <w:t>,</w:t>
      </w:r>
      <w:r w:rsidRPr="00D306F0">
        <w:t xml:space="preserve"> </w:t>
      </w:r>
      <w:hyperlink r:id="rId26" w:anchor="!" w:history="1">
        <w:r w:rsidRPr="005C77CE">
          <w:rPr>
            <w:rStyle w:val="Hyperlink"/>
          </w:rPr>
          <w:t>https://popdiv.dfs.un.org/demodata/web/#!#%2Fhome</w:t>
        </w:r>
      </w:hyperlink>
      <w:r w:rsidR="009C2CE4">
        <w:t>.</w:t>
      </w:r>
    </w:p>
    <w:p w14:paraId="59D0B7A8" w14:textId="77777777" w:rsidR="00D306F0" w:rsidRDefault="00D306F0" w:rsidP="00576CFA">
      <w:pPr>
        <w:pStyle w:val="MText"/>
      </w:pPr>
    </w:p>
    <w:p w14:paraId="5484B16D" w14:textId="2D84133C" w:rsidR="00EC2915" w:rsidRDefault="00D306F0" w:rsidP="00576CFA">
      <w:pPr>
        <w:pStyle w:val="MText"/>
      </w:pPr>
      <w:r>
        <w:t>With each revision of World Population Prospects (WPP), the Population Division carries out a re</w:t>
      </w:r>
      <w:r w:rsidR="00C42029">
        <w:t>-</w:t>
      </w:r>
      <w:r>
        <w:t xml:space="preserve">estimation of historical demographic trends for countries and </w:t>
      </w:r>
      <w:r w:rsidR="06F69831">
        <w:t xml:space="preserve">areas </w:t>
      </w:r>
      <w:r>
        <w:t>of the world. These demographic estimates are based on the most recently available data sources, such as censuses, demographic surveys, registries of vital events, population registers and various other sources. Newly available demographic data and information are subjected to quality analyses and evaluated by examining the consistency in the patterns, levels and trends of the data across countries and regions. The description of the guidelines for managing the quality of the data and process is available at:</w:t>
      </w:r>
      <w:r w:rsidR="009C2CE4">
        <w:t xml:space="preserve"> </w:t>
      </w:r>
      <w:hyperlink r:id="rId27">
        <w:r w:rsidR="009C2CE4" w:rsidRPr="2DE5864C">
          <w:rPr>
            <w:rStyle w:val="Hyperlink"/>
          </w:rPr>
          <w:t>https://www.un.org/development/desa/pd/sites/www.un.org.development.desa.pd/files/unpd-egm-fer-2020-10-backgroundpaper_newtitle_final_oct9.pdf</w:t>
        </w:r>
      </w:hyperlink>
      <w:r w:rsidR="009C2CE4">
        <w:t>;</w:t>
      </w:r>
    </w:p>
    <w:p w14:paraId="54DBE5FE" w14:textId="1B174C22" w:rsidR="009C2CE4" w:rsidRDefault="00D13DA6" w:rsidP="00576CFA">
      <w:pPr>
        <w:pStyle w:val="MText"/>
      </w:pPr>
      <w:r w:rsidRPr="00D13DA6">
        <w:t xml:space="preserve"> </w:t>
      </w:r>
      <w:hyperlink r:id="rId28" w:history="1">
        <w:r w:rsidRPr="005C77CE">
          <w:rPr>
            <w:rStyle w:val="Hyperlink"/>
          </w:rPr>
          <w:t>https://population.un.org/wpp/assets/Files/WPP2024_Methodology-Report_Final.pdf</w:t>
        </w:r>
      </w:hyperlink>
      <w:r>
        <w:t xml:space="preserve">. </w:t>
      </w:r>
    </w:p>
    <w:p w14:paraId="65DEC7D8" w14:textId="77777777" w:rsidR="009C2CE4" w:rsidRPr="00A96255" w:rsidRDefault="009C2CE4"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03EF3244" w14:textId="1AA815BC" w:rsidR="00EC2915" w:rsidRDefault="009C2CE4" w:rsidP="00576CFA">
      <w:pPr>
        <w:pStyle w:val="MText"/>
      </w:pPr>
      <w:r w:rsidRPr="009C2CE4">
        <w:t>See 4.d and 4.i</w:t>
      </w:r>
      <w:r w:rsidR="001B1D95">
        <w:t>.</w:t>
      </w:r>
    </w:p>
    <w:p w14:paraId="3D9C3AD0" w14:textId="77777777" w:rsidR="001B1D95" w:rsidRPr="00A96255" w:rsidRDefault="001B1D9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0C3E8BF7" w:rsidR="00576CFA" w:rsidRPr="00A96255" w:rsidRDefault="001B1D95" w:rsidP="00576CFA">
      <w:pPr>
        <w:pStyle w:val="MText"/>
      </w:pPr>
      <w:r w:rsidRPr="001B1D95">
        <w:t>See 4.d and 4.i</w:t>
      </w:r>
      <w:r>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BF79A52" w14:textId="77777777" w:rsidR="00BB2407" w:rsidRPr="00BB2407" w:rsidRDefault="001B1D95" w:rsidP="00E1050F">
      <w:pPr>
        <w:pStyle w:val="MText"/>
        <w:rPr>
          <w:b/>
          <w:bCs/>
        </w:rPr>
      </w:pPr>
      <w:r w:rsidRPr="00BB2407">
        <w:rPr>
          <w:b/>
          <w:bCs/>
        </w:rPr>
        <w:t xml:space="preserve">Data availability: </w:t>
      </w:r>
    </w:p>
    <w:p w14:paraId="2EC34E33" w14:textId="2CD66A1C" w:rsidR="001B1D95" w:rsidRDefault="001B1D95" w:rsidP="00E1050F">
      <w:pPr>
        <w:pStyle w:val="MText"/>
      </w:pPr>
      <w:r>
        <w:t xml:space="preserve">Data selected for the adolescent birth rate for women aged 10-14 years and 15-19 years are available for </w:t>
      </w:r>
      <w:r w:rsidR="001736C7">
        <w:t xml:space="preserve">223 </w:t>
      </w:r>
      <w:r>
        <w:t>and 230</w:t>
      </w:r>
      <w:r w:rsidR="00D13DA6">
        <w:t xml:space="preserve"> </w:t>
      </w:r>
      <w:r w:rsidR="00343422">
        <w:t xml:space="preserve">out of 237 </w:t>
      </w:r>
      <w:r>
        <w:t xml:space="preserve">countries </w:t>
      </w:r>
      <w:r w:rsidR="4229EB4D">
        <w:t xml:space="preserve">and </w:t>
      </w:r>
      <w:r>
        <w:t>areas, respectively, for the 2000-</w:t>
      </w:r>
      <w:r w:rsidR="007A2D94">
        <w:t xml:space="preserve">2024 </w:t>
      </w:r>
      <w:proofErr w:type="gramStart"/>
      <w:r>
        <w:t>time period</w:t>
      </w:r>
      <w:proofErr w:type="gramEnd"/>
      <w:r>
        <w:t xml:space="preserve">. </w:t>
      </w:r>
    </w:p>
    <w:p w14:paraId="15F56E69" w14:textId="77777777" w:rsidR="001B1D95" w:rsidRDefault="001B1D95" w:rsidP="00E1050F">
      <w:pPr>
        <w:pStyle w:val="MText"/>
      </w:pPr>
    </w:p>
    <w:p w14:paraId="3F9F25AB" w14:textId="358588E5" w:rsidR="009D002C" w:rsidRDefault="001B1D95" w:rsidP="00E1050F">
      <w:pPr>
        <w:pStyle w:val="MText"/>
      </w:pPr>
      <w:r>
        <w:t xml:space="preserve">In the 10-14 age group, </w:t>
      </w:r>
      <w:r w:rsidR="004E548E">
        <w:t xml:space="preserve">14 </w:t>
      </w:r>
      <w:r>
        <w:t xml:space="preserve">countries </w:t>
      </w:r>
      <w:r w:rsidR="008731FD">
        <w:t xml:space="preserve">and </w:t>
      </w:r>
      <w:r w:rsidR="004E548E">
        <w:t xml:space="preserve">areas </w:t>
      </w:r>
      <w:r>
        <w:t xml:space="preserve">have no data: </w:t>
      </w:r>
      <w:r w:rsidR="00270441">
        <w:t xml:space="preserve">three </w:t>
      </w:r>
      <w:r>
        <w:t xml:space="preserve">in Latin America and the Caribbean (British Virgin Islands, Falkland Islands, </w:t>
      </w:r>
      <w:r w:rsidR="001330A5">
        <w:t xml:space="preserve">and </w:t>
      </w:r>
      <w:r>
        <w:t>Sint Maarten), three in Europe and Northern America (Holy See, Isle of Man, and Monaco), three in Oceania (Solomon Islands, Tokelau, and Vanuatu), two in Northern Africa and Western Asia (Syrian Arab Republic, and Western Sahara), two in Sub-Sharan Africa (Equatorial Guinea and Saint Helena) and one in Eastern and South-Eastern Asia (China)</w:t>
      </w:r>
      <w:r w:rsidR="00270441">
        <w:t>.</w:t>
      </w:r>
      <w:r>
        <w:t xml:space="preserve"> For this age group, only four</w:t>
      </w:r>
      <w:r w:rsidR="00270441">
        <w:t xml:space="preserve"> </w:t>
      </w:r>
      <w:r>
        <w:t xml:space="preserve">countries have just one data point: one in Europe and Northern America (Channel Islands – Guernsey), one in Eastern and South-Eastern Asia (Democratic Republic of Korea), one in Western Asia and Northern Africa (Lebanon), and one in Latin America and the Caribbean (Saint Kitts and Nevis).  </w:t>
      </w:r>
    </w:p>
    <w:p w14:paraId="3DB116A8" w14:textId="77777777" w:rsidR="009D002C" w:rsidRDefault="009D002C" w:rsidP="00E1050F">
      <w:pPr>
        <w:pStyle w:val="MText"/>
      </w:pPr>
    </w:p>
    <w:p w14:paraId="4CD8F3EF" w14:textId="100BBD7C" w:rsidR="00F719A8" w:rsidRDefault="001B1D95" w:rsidP="00E1050F">
      <w:pPr>
        <w:pStyle w:val="MText"/>
      </w:pPr>
      <w:r>
        <w:t xml:space="preserve">In the 15-19 age group, seven countries and </w:t>
      </w:r>
      <w:r w:rsidR="008731FD">
        <w:t xml:space="preserve">areas </w:t>
      </w:r>
      <w:r>
        <w:t xml:space="preserve">have no data: three in Europe and Northern America (Holy See, Isle of Man, Monaco), two in Latin America and the Caribbean (Falkland Islands and Sint Maarten), one in Northern Africa and Western Asia (Western Sahara), and one in Sub-Saharan Africa (Saint Helena). Among the 230 countries and </w:t>
      </w:r>
      <w:r w:rsidR="008731FD">
        <w:t xml:space="preserve">areas </w:t>
      </w:r>
      <w:r>
        <w:t xml:space="preserve">with available data for this age group, only three have just one data point: one in Oceania (Tokelau), one in Europe and Northern America (Channel Islands – Guernsey), and one in Western Asia and Northern Africa (Lebanon).  </w:t>
      </w:r>
    </w:p>
    <w:p w14:paraId="6322BCB5" w14:textId="77777777" w:rsidR="00DA62D7" w:rsidRDefault="00DA62D7" w:rsidP="00E1050F">
      <w:pPr>
        <w:pStyle w:val="MText"/>
      </w:pPr>
    </w:p>
    <w:p w14:paraId="1734B430" w14:textId="3FC490E7" w:rsidR="0058505E" w:rsidRDefault="00DA62D7" w:rsidP="00CC6A27">
      <w:pPr>
        <w:pStyle w:val="MText"/>
      </w:pPr>
      <w:r w:rsidRPr="00DA62D7">
        <w:t>Table 1: The regional breakdown of data availability is as follows:</w:t>
      </w:r>
    </w:p>
    <w:p w14:paraId="49508BEC" w14:textId="77777777" w:rsidR="00CC6A27" w:rsidRDefault="00CC6A27" w:rsidP="00CC6A27">
      <w:pPr>
        <w:pStyle w:val="MText"/>
      </w:pPr>
    </w:p>
    <w:tbl>
      <w:tblPr>
        <w:tblpPr w:leftFromText="180" w:rightFromText="180" w:vertAnchor="text" w:tblpY="1"/>
        <w:tblOverlap w:val="never"/>
        <w:tblW w:w="89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0"/>
        <w:gridCol w:w="2610"/>
        <w:gridCol w:w="2250"/>
      </w:tblGrid>
      <w:tr w:rsidR="00847F27" w:rsidRPr="009F64F8" w14:paraId="77B4F90D" w14:textId="77777777" w:rsidTr="002E601D">
        <w:trPr>
          <w:trHeight w:val="300"/>
        </w:trPr>
        <w:tc>
          <w:tcPr>
            <w:tcW w:w="4050" w:type="dxa"/>
            <w:tcBorders>
              <w:top w:val="single" w:sz="4" w:space="0" w:color="auto"/>
              <w:left w:val="nil"/>
              <w:bottom w:val="single" w:sz="6" w:space="0" w:color="auto"/>
              <w:right w:val="nil"/>
            </w:tcBorders>
            <w:shd w:val="clear" w:color="auto" w:fill="auto"/>
            <w:vAlign w:val="bottom"/>
          </w:tcPr>
          <w:p w14:paraId="0DB7DA00" w14:textId="77777777" w:rsidR="00847F27" w:rsidRPr="009F64F8" w:rsidRDefault="00847F27" w:rsidP="008D78A3">
            <w:pPr>
              <w:pStyle w:val="MText"/>
              <w:rPr>
                <w:b/>
                <w:bCs/>
              </w:rPr>
            </w:pPr>
          </w:p>
        </w:tc>
        <w:tc>
          <w:tcPr>
            <w:tcW w:w="4860" w:type="dxa"/>
            <w:gridSpan w:val="2"/>
            <w:tcBorders>
              <w:top w:val="single" w:sz="4" w:space="0" w:color="auto"/>
              <w:left w:val="nil"/>
              <w:bottom w:val="single" w:sz="6" w:space="0" w:color="auto"/>
              <w:right w:val="nil"/>
            </w:tcBorders>
            <w:shd w:val="clear" w:color="auto" w:fill="auto"/>
          </w:tcPr>
          <w:p w14:paraId="78412F00" w14:textId="2D70FC3D" w:rsidR="00847F27" w:rsidRPr="009F64F8" w:rsidRDefault="00847F27" w:rsidP="00847F27">
            <w:pPr>
              <w:pStyle w:val="MText"/>
              <w:jc w:val="center"/>
              <w:rPr>
                <w:b/>
                <w:bCs/>
              </w:rPr>
            </w:pPr>
            <w:r w:rsidRPr="009F64F8">
              <w:rPr>
                <w:b/>
                <w:bCs/>
              </w:rPr>
              <w:t>At least one data point between 2000 and 202</w:t>
            </w:r>
            <w:r w:rsidR="008F6494">
              <w:rPr>
                <w:b/>
                <w:bCs/>
              </w:rPr>
              <w:t>4</w:t>
            </w:r>
          </w:p>
        </w:tc>
      </w:tr>
      <w:tr w:rsidR="008D78A3" w:rsidRPr="009F64F8" w14:paraId="416DEFFD" w14:textId="77777777" w:rsidTr="002E601D">
        <w:trPr>
          <w:trHeight w:val="300"/>
        </w:trPr>
        <w:tc>
          <w:tcPr>
            <w:tcW w:w="4050" w:type="dxa"/>
            <w:tcBorders>
              <w:top w:val="nil"/>
              <w:left w:val="nil"/>
              <w:bottom w:val="single" w:sz="6" w:space="0" w:color="auto"/>
              <w:right w:val="nil"/>
            </w:tcBorders>
            <w:shd w:val="clear" w:color="auto" w:fill="auto"/>
            <w:vAlign w:val="bottom"/>
            <w:hideMark/>
          </w:tcPr>
          <w:p w14:paraId="56C46D03" w14:textId="77777777" w:rsidR="008D78A3" w:rsidRPr="009F64F8" w:rsidRDefault="008D78A3" w:rsidP="008D78A3">
            <w:pPr>
              <w:pStyle w:val="MText"/>
              <w:rPr>
                <w:lang w:val="en-US"/>
              </w:rPr>
            </w:pPr>
            <w:r w:rsidRPr="009F64F8">
              <w:rPr>
                <w:b/>
                <w:bCs/>
              </w:rPr>
              <w:t>World and SDG regions</w:t>
            </w:r>
            <w:r w:rsidRPr="009F64F8">
              <w:rPr>
                <w:lang w:val="en-US"/>
              </w:rPr>
              <w:t> </w:t>
            </w:r>
          </w:p>
        </w:tc>
        <w:tc>
          <w:tcPr>
            <w:tcW w:w="2610" w:type="dxa"/>
            <w:tcBorders>
              <w:top w:val="nil"/>
              <w:left w:val="nil"/>
              <w:bottom w:val="single" w:sz="6" w:space="0" w:color="auto"/>
              <w:right w:val="nil"/>
            </w:tcBorders>
            <w:shd w:val="clear" w:color="auto" w:fill="auto"/>
            <w:hideMark/>
          </w:tcPr>
          <w:p w14:paraId="4896E255" w14:textId="77777777" w:rsidR="008D78A3" w:rsidRPr="009F64F8" w:rsidRDefault="008D78A3" w:rsidP="008D78A3">
            <w:pPr>
              <w:pStyle w:val="MText"/>
              <w:rPr>
                <w:lang w:val="en-US"/>
              </w:rPr>
            </w:pPr>
            <w:r w:rsidRPr="009F64F8">
              <w:rPr>
                <w:b/>
                <w:bCs/>
              </w:rPr>
              <w:t>ABR women aged 10-14 years</w:t>
            </w:r>
            <w:r w:rsidRPr="009F64F8">
              <w:rPr>
                <w:lang w:val="en-US"/>
              </w:rPr>
              <w:t> </w:t>
            </w:r>
          </w:p>
        </w:tc>
        <w:tc>
          <w:tcPr>
            <w:tcW w:w="2250" w:type="dxa"/>
            <w:tcBorders>
              <w:top w:val="nil"/>
              <w:left w:val="nil"/>
              <w:bottom w:val="single" w:sz="4" w:space="0" w:color="auto"/>
              <w:right w:val="nil"/>
            </w:tcBorders>
          </w:tcPr>
          <w:p w14:paraId="3E4E7BFE" w14:textId="5FCEC6C5" w:rsidR="008D78A3" w:rsidRPr="009F64F8" w:rsidRDefault="008D78A3" w:rsidP="008D78A3">
            <w:pPr>
              <w:pStyle w:val="MText"/>
              <w:rPr>
                <w:b/>
                <w:bCs/>
              </w:rPr>
            </w:pPr>
            <w:r w:rsidRPr="009F64F8">
              <w:rPr>
                <w:b/>
                <w:bCs/>
              </w:rPr>
              <w:t>ABR women aged 1</w:t>
            </w:r>
            <w:r w:rsidR="008F6494">
              <w:rPr>
                <w:b/>
                <w:bCs/>
              </w:rPr>
              <w:t>5</w:t>
            </w:r>
            <w:r w:rsidRPr="009F64F8">
              <w:rPr>
                <w:b/>
                <w:bCs/>
              </w:rPr>
              <w:t>-1</w:t>
            </w:r>
            <w:r w:rsidR="008F6494">
              <w:rPr>
                <w:b/>
                <w:bCs/>
              </w:rPr>
              <w:t>9</w:t>
            </w:r>
            <w:r w:rsidRPr="009F64F8">
              <w:rPr>
                <w:b/>
                <w:bCs/>
              </w:rPr>
              <w:t xml:space="preserve"> years</w:t>
            </w:r>
            <w:r w:rsidRPr="009F64F8">
              <w:rPr>
                <w:lang w:val="en-US"/>
              </w:rPr>
              <w:t> </w:t>
            </w:r>
          </w:p>
        </w:tc>
      </w:tr>
      <w:tr w:rsidR="00847F27" w:rsidRPr="009F64F8" w14:paraId="290D9E6E" w14:textId="77777777" w:rsidTr="002E601D">
        <w:trPr>
          <w:trHeight w:val="248"/>
        </w:trPr>
        <w:tc>
          <w:tcPr>
            <w:tcW w:w="4050" w:type="dxa"/>
            <w:tcBorders>
              <w:top w:val="single" w:sz="6" w:space="0" w:color="auto"/>
              <w:left w:val="nil"/>
              <w:bottom w:val="nil"/>
              <w:right w:val="nil"/>
            </w:tcBorders>
            <w:shd w:val="clear" w:color="auto" w:fill="auto"/>
            <w:vAlign w:val="bottom"/>
            <w:hideMark/>
          </w:tcPr>
          <w:p w14:paraId="319C9F84" w14:textId="77777777" w:rsidR="00847F27" w:rsidRPr="009F64F8" w:rsidRDefault="00847F27" w:rsidP="00847F27">
            <w:pPr>
              <w:pStyle w:val="MText"/>
              <w:rPr>
                <w:lang w:val="en-US"/>
              </w:rPr>
            </w:pPr>
            <w:r w:rsidRPr="009F64F8">
              <w:t>WORLD</w:t>
            </w:r>
            <w:r w:rsidRPr="009F64F8">
              <w:rPr>
                <w:lang w:val="en-US"/>
              </w:rPr>
              <w:t> </w:t>
            </w:r>
          </w:p>
        </w:tc>
        <w:tc>
          <w:tcPr>
            <w:tcW w:w="2610" w:type="dxa"/>
            <w:tcBorders>
              <w:top w:val="single" w:sz="6" w:space="0" w:color="auto"/>
              <w:left w:val="nil"/>
              <w:bottom w:val="nil"/>
              <w:right w:val="nil"/>
            </w:tcBorders>
            <w:shd w:val="clear" w:color="auto" w:fill="auto"/>
            <w:hideMark/>
          </w:tcPr>
          <w:p w14:paraId="60A0664A" w14:textId="50214373" w:rsidR="00847F27" w:rsidRPr="009F64F8" w:rsidRDefault="009F115B" w:rsidP="00847F27">
            <w:pPr>
              <w:pStyle w:val="MText"/>
              <w:jc w:val="center"/>
              <w:rPr>
                <w:lang w:val="en-US"/>
              </w:rPr>
            </w:pPr>
            <w:r>
              <w:rPr>
                <w:lang w:val="en-US"/>
              </w:rPr>
              <w:t>223</w:t>
            </w:r>
          </w:p>
        </w:tc>
        <w:tc>
          <w:tcPr>
            <w:tcW w:w="2250" w:type="dxa"/>
            <w:tcBorders>
              <w:top w:val="single" w:sz="4" w:space="0" w:color="auto"/>
              <w:left w:val="nil"/>
              <w:bottom w:val="nil"/>
              <w:right w:val="nil"/>
            </w:tcBorders>
          </w:tcPr>
          <w:p w14:paraId="1FDFE795" w14:textId="73389729" w:rsidR="00847F27" w:rsidRPr="00990CD5" w:rsidRDefault="008815D8" w:rsidP="002E601D">
            <w:pPr>
              <w:pStyle w:val="MText"/>
              <w:jc w:val="center"/>
              <w:rPr>
                <w:lang w:val="en-US"/>
              </w:rPr>
            </w:pPr>
            <w:r>
              <w:rPr>
                <w:lang w:val="en-US"/>
              </w:rPr>
              <w:t>230</w:t>
            </w:r>
          </w:p>
        </w:tc>
      </w:tr>
      <w:tr w:rsidR="00847F27" w:rsidRPr="009F64F8" w14:paraId="3E8BAD6D" w14:textId="77777777" w:rsidTr="002E601D">
        <w:trPr>
          <w:trHeight w:val="300"/>
        </w:trPr>
        <w:tc>
          <w:tcPr>
            <w:tcW w:w="4050" w:type="dxa"/>
            <w:tcBorders>
              <w:top w:val="nil"/>
              <w:left w:val="nil"/>
              <w:bottom w:val="nil"/>
              <w:right w:val="nil"/>
            </w:tcBorders>
            <w:shd w:val="clear" w:color="auto" w:fill="auto"/>
            <w:vAlign w:val="bottom"/>
            <w:hideMark/>
          </w:tcPr>
          <w:p w14:paraId="0A83AF84" w14:textId="77777777" w:rsidR="00847F27" w:rsidRPr="009F64F8" w:rsidRDefault="00847F27" w:rsidP="00847F27">
            <w:pPr>
              <w:pStyle w:val="MText"/>
              <w:rPr>
                <w:lang w:val="en-US"/>
              </w:rPr>
            </w:pPr>
            <w:r w:rsidRPr="009F64F8">
              <w:t>Europe and Northern America</w:t>
            </w:r>
            <w:r w:rsidRPr="009F64F8">
              <w:rPr>
                <w:lang w:val="en-US"/>
              </w:rPr>
              <w:t> </w:t>
            </w:r>
          </w:p>
        </w:tc>
        <w:tc>
          <w:tcPr>
            <w:tcW w:w="2610" w:type="dxa"/>
            <w:tcBorders>
              <w:top w:val="nil"/>
              <w:left w:val="nil"/>
              <w:bottom w:val="nil"/>
              <w:right w:val="nil"/>
            </w:tcBorders>
            <w:shd w:val="clear" w:color="auto" w:fill="auto"/>
            <w:hideMark/>
          </w:tcPr>
          <w:p w14:paraId="78F10E5A" w14:textId="040B83E7" w:rsidR="00847F27" w:rsidRPr="009F64F8" w:rsidRDefault="00847F27" w:rsidP="00847F27">
            <w:pPr>
              <w:pStyle w:val="MText"/>
              <w:jc w:val="center"/>
              <w:rPr>
                <w:lang w:val="en-US"/>
              </w:rPr>
            </w:pPr>
            <w:r w:rsidRPr="00990CD5">
              <w:t>52</w:t>
            </w:r>
          </w:p>
        </w:tc>
        <w:tc>
          <w:tcPr>
            <w:tcW w:w="2250" w:type="dxa"/>
            <w:tcBorders>
              <w:top w:val="nil"/>
              <w:left w:val="nil"/>
              <w:bottom w:val="nil"/>
              <w:right w:val="nil"/>
            </w:tcBorders>
          </w:tcPr>
          <w:p w14:paraId="63A1995D" w14:textId="2AC213A6" w:rsidR="00847F27" w:rsidRPr="009F64F8" w:rsidRDefault="00847F27" w:rsidP="002E601D">
            <w:pPr>
              <w:pStyle w:val="MText"/>
              <w:jc w:val="center"/>
              <w:rPr>
                <w:lang w:val="en-US"/>
              </w:rPr>
            </w:pPr>
            <w:r w:rsidRPr="00990CD5">
              <w:t>52</w:t>
            </w:r>
          </w:p>
        </w:tc>
      </w:tr>
      <w:tr w:rsidR="00847F27" w:rsidRPr="009F64F8" w14:paraId="09C8E835" w14:textId="77777777" w:rsidTr="002E601D">
        <w:trPr>
          <w:trHeight w:val="300"/>
        </w:trPr>
        <w:tc>
          <w:tcPr>
            <w:tcW w:w="4050" w:type="dxa"/>
            <w:tcBorders>
              <w:top w:val="nil"/>
              <w:left w:val="nil"/>
              <w:bottom w:val="nil"/>
              <w:right w:val="nil"/>
            </w:tcBorders>
            <w:shd w:val="clear" w:color="auto" w:fill="auto"/>
            <w:vAlign w:val="bottom"/>
            <w:hideMark/>
          </w:tcPr>
          <w:p w14:paraId="0F89036B" w14:textId="77777777" w:rsidR="00847F27" w:rsidRPr="009F64F8" w:rsidRDefault="00847F27" w:rsidP="00847F27">
            <w:pPr>
              <w:pStyle w:val="MText"/>
              <w:rPr>
                <w:lang w:val="en-US"/>
              </w:rPr>
            </w:pPr>
            <w:r w:rsidRPr="009F64F8">
              <w:t>Latin America and the Caribbean</w:t>
            </w:r>
            <w:r w:rsidRPr="009F64F8">
              <w:rPr>
                <w:lang w:val="en-US"/>
              </w:rPr>
              <w:t> </w:t>
            </w:r>
          </w:p>
        </w:tc>
        <w:tc>
          <w:tcPr>
            <w:tcW w:w="2610" w:type="dxa"/>
            <w:tcBorders>
              <w:top w:val="nil"/>
              <w:left w:val="nil"/>
              <w:bottom w:val="nil"/>
              <w:right w:val="nil"/>
            </w:tcBorders>
            <w:shd w:val="clear" w:color="auto" w:fill="auto"/>
            <w:hideMark/>
          </w:tcPr>
          <w:p w14:paraId="1654EB07" w14:textId="27257037" w:rsidR="00847F27" w:rsidRPr="009F64F8" w:rsidRDefault="0006242F" w:rsidP="00847F27">
            <w:pPr>
              <w:pStyle w:val="MText"/>
              <w:jc w:val="center"/>
              <w:rPr>
                <w:lang w:val="en-US"/>
              </w:rPr>
            </w:pPr>
            <w:r>
              <w:t>47</w:t>
            </w:r>
          </w:p>
        </w:tc>
        <w:tc>
          <w:tcPr>
            <w:tcW w:w="2250" w:type="dxa"/>
            <w:tcBorders>
              <w:top w:val="nil"/>
              <w:left w:val="nil"/>
              <w:bottom w:val="nil"/>
              <w:right w:val="nil"/>
            </w:tcBorders>
          </w:tcPr>
          <w:p w14:paraId="68389B40" w14:textId="2F55BD73" w:rsidR="00847F27" w:rsidRPr="009F64F8" w:rsidRDefault="00847F27" w:rsidP="002E601D">
            <w:pPr>
              <w:pStyle w:val="MText"/>
              <w:jc w:val="center"/>
              <w:rPr>
                <w:lang w:val="en-US"/>
              </w:rPr>
            </w:pPr>
            <w:r w:rsidRPr="00990CD5">
              <w:t>4</w:t>
            </w:r>
            <w:r w:rsidR="008815D8">
              <w:t>8</w:t>
            </w:r>
          </w:p>
        </w:tc>
      </w:tr>
      <w:tr w:rsidR="00847F27" w:rsidRPr="009F64F8" w14:paraId="6CB10C9D" w14:textId="77777777" w:rsidTr="002E601D">
        <w:trPr>
          <w:trHeight w:val="300"/>
        </w:trPr>
        <w:tc>
          <w:tcPr>
            <w:tcW w:w="4050" w:type="dxa"/>
            <w:tcBorders>
              <w:top w:val="nil"/>
              <w:left w:val="nil"/>
              <w:bottom w:val="nil"/>
              <w:right w:val="nil"/>
            </w:tcBorders>
            <w:shd w:val="clear" w:color="auto" w:fill="auto"/>
            <w:vAlign w:val="bottom"/>
            <w:hideMark/>
          </w:tcPr>
          <w:p w14:paraId="7B80E469" w14:textId="77777777" w:rsidR="00847F27" w:rsidRPr="009F64F8" w:rsidRDefault="00847F27" w:rsidP="00847F27">
            <w:pPr>
              <w:pStyle w:val="MText"/>
              <w:rPr>
                <w:lang w:val="en-US"/>
              </w:rPr>
            </w:pPr>
            <w:r w:rsidRPr="009F64F8">
              <w:t>Central Asia and Southern Asia</w:t>
            </w:r>
            <w:r w:rsidRPr="009F64F8">
              <w:rPr>
                <w:lang w:val="en-US"/>
              </w:rPr>
              <w:t> </w:t>
            </w:r>
          </w:p>
        </w:tc>
        <w:tc>
          <w:tcPr>
            <w:tcW w:w="2610" w:type="dxa"/>
            <w:tcBorders>
              <w:top w:val="nil"/>
              <w:left w:val="nil"/>
              <w:bottom w:val="nil"/>
              <w:right w:val="nil"/>
            </w:tcBorders>
            <w:shd w:val="clear" w:color="auto" w:fill="auto"/>
            <w:hideMark/>
          </w:tcPr>
          <w:p w14:paraId="1AC781F7" w14:textId="6C804BF0" w:rsidR="00847F27" w:rsidRPr="009F64F8" w:rsidRDefault="00847F27" w:rsidP="00847F27">
            <w:pPr>
              <w:pStyle w:val="MText"/>
              <w:jc w:val="center"/>
              <w:rPr>
                <w:lang w:val="en-US"/>
              </w:rPr>
            </w:pPr>
            <w:r w:rsidRPr="00990CD5">
              <w:t>14</w:t>
            </w:r>
          </w:p>
        </w:tc>
        <w:tc>
          <w:tcPr>
            <w:tcW w:w="2250" w:type="dxa"/>
            <w:tcBorders>
              <w:top w:val="nil"/>
              <w:left w:val="nil"/>
              <w:bottom w:val="nil"/>
              <w:right w:val="nil"/>
            </w:tcBorders>
          </w:tcPr>
          <w:p w14:paraId="2FB6A7EC" w14:textId="188B9CF6" w:rsidR="00847F27" w:rsidRPr="009F64F8" w:rsidRDefault="00847F27" w:rsidP="002E601D">
            <w:pPr>
              <w:pStyle w:val="MText"/>
              <w:jc w:val="center"/>
              <w:rPr>
                <w:lang w:val="en-US"/>
              </w:rPr>
            </w:pPr>
            <w:r w:rsidRPr="00990CD5">
              <w:t>14</w:t>
            </w:r>
          </w:p>
        </w:tc>
      </w:tr>
      <w:tr w:rsidR="00847F27" w:rsidRPr="009F64F8" w14:paraId="468AA07C" w14:textId="77777777" w:rsidTr="002E601D">
        <w:trPr>
          <w:trHeight w:val="300"/>
        </w:trPr>
        <w:tc>
          <w:tcPr>
            <w:tcW w:w="4050" w:type="dxa"/>
            <w:tcBorders>
              <w:top w:val="nil"/>
              <w:left w:val="nil"/>
              <w:bottom w:val="nil"/>
              <w:right w:val="nil"/>
            </w:tcBorders>
            <w:shd w:val="clear" w:color="auto" w:fill="auto"/>
            <w:vAlign w:val="bottom"/>
            <w:hideMark/>
          </w:tcPr>
          <w:p w14:paraId="5F3DD872" w14:textId="77777777" w:rsidR="00847F27" w:rsidRPr="009F64F8" w:rsidRDefault="00847F27" w:rsidP="00847F27">
            <w:pPr>
              <w:pStyle w:val="MText"/>
              <w:rPr>
                <w:lang w:val="en-US"/>
              </w:rPr>
            </w:pPr>
            <w:r w:rsidRPr="009F64F8">
              <w:t>Eastern Asia and South-eastern Asia</w:t>
            </w:r>
            <w:r w:rsidRPr="009F64F8">
              <w:rPr>
                <w:lang w:val="en-US"/>
              </w:rPr>
              <w:t> </w:t>
            </w:r>
          </w:p>
        </w:tc>
        <w:tc>
          <w:tcPr>
            <w:tcW w:w="2610" w:type="dxa"/>
            <w:tcBorders>
              <w:top w:val="nil"/>
              <w:left w:val="nil"/>
              <w:bottom w:val="nil"/>
              <w:right w:val="nil"/>
            </w:tcBorders>
            <w:shd w:val="clear" w:color="auto" w:fill="auto"/>
            <w:hideMark/>
          </w:tcPr>
          <w:p w14:paraId="62A57F87" w14:textId="10EE1D4B" w:rsidR="00847F27" w:rsidRPr="009F64F8" w:rsidRDefault="00847F27" w:rsidP="00847F27">
            <w:pPr>
              <w:pStyle w:val="MText"/>
              <w:jc w:val="center"/>
              <w:rPr>
                <w:lang w:val="en-US"/>
              </w:rPr>
            </w:pPr>
            <w:r w:rsidRPr="00990CD5">
              <w:t>18</w:t>
            </w:r>
          </w:p>
        </w:tc>
        <w:tc>
          <w:tcPr>
            <w:tcW w:w="2250" w:type="dxa"/>
            <w:tcBorders>
              <w:top w:val="nil"/>
              <w:left w:val="nil"/>
              <w:bottom w:val="nil"/>
              <w:right w:val="nil"/>
            </w:tcBorders>
          </w:tcPr>
          <w:p w14:paraId="278F3AC2" w14:textId="1910D6C9" w:rsidR="00847F27" w:rsidRPr="009F64F8" w:rsidRDefault="00847F27" w:rsidP="002E601D">
            <w:pPr>
              <w:pStyle w:val="MText"/>
              <w:jc w:val="center"/>
              <w:rPr>
                <w:lang w:val="en-US"/>
              </w:rPr>
            </w:pPr>
            <w:r w:rsidRPr="00990CD5">
              <w:t>1</w:t>
            </w:r>
            <w:r w:rsidR="009F115B">
              <w:t>9</w:t>
            </w:r>
          </w:p>
        </w:tc>
      </w:tr>
      <w:tr w:rsidR="00847F27" w:rsidRPr="009F64F8" w14:paraId="27581C13" w14:textId="77777777" w:rsidTr="00CC6A27">
        <w:trPr>
          <w:trHeight w:val="191"/>
        </w:trPr>
        <w:tc>
          <w:tcPr>
            <w:tcW w:w="4050" w:type="dxa"/>
            <w:tcBorders>
              <w:top w:val="nil"/>
              <w:left w:val="nil"/>
              <w:bottom w:val="nil"/>
              <w:right w:val="nil"/>
            </w:tcBorders>
            <w:shd w:val="clear" w:color="auto" w:fill="auto"/>
            <w:vAlign w:val="bottom"/>
            <w:hideMark/>
          </w:tcPr>
          <w:p w14:paraId="4F3B8991" w14:textId="77777777" w:rsidR="00847F27" w:rsidRPr="009F64F8" w:rsidRDefault="00847F27" w:rsidP="00847F27">
            <w:pPr>
              <w:pStyle w:val="MText"/>
              <w:rPr>
                <w:lang w:val="en-US"/>
              </w:rPr>
            </w:pPr>
            <w:r w:rsidRPr="009F64F8">
              <w:t>Northern Africa and Western Asia</w:t>
            </w:r>
            <w:r w:rsidRPr="009F64F8">
              <w:rPr>
                <w:lang w:val="en-US"/>
              </w:rPr>
              <w:t> </w:t>
            </w:r>
          </w:p>
        </w:tc>
        <w:tc>
          <w:tcPr>
            <w:tcW w:w="2610" w:type="dxa"/>
            <w:tcBorders>
              <w:top w:val="nil"/>
              <w:left w:val="nil"/>
              <w:bottom w:val="nil"/>
              <w:right w:val="nil"/>
            </w:tcBorders>
            <w:shd w:val="clear" w:color="auto" w:fill="auto"/>
            <w:hideMark/>
          </w:tcPr>
          <w:p w14:paraId="3A196C53" w14:textId="19E67754" w:rsidR="00847F27" w:rsidRPr="009F64F8" w:rsidRDefault="00847F27" w:rsidP="00847F27">
            <w:pPr>
              <w:pStyle w:val="MText"/>
              <w:jc w:val="center"/>
              <w:rPr>
                <w:lang w:val="en-US"/>
              </w:rPr>
            </w:pPr>
            <w:r w:rsidRPr="009F64F8">
              <w:t>23</w:t>
            </w:r>
          </w:p>
        </w:tc>
        <w:tc>
          <w:tcPr>
            <w:tcW w:w="2250" w:type="dxa"/>
            <w:tcBorders>
              <w:top w:val="nil"/>
              <w:left w:val="nil"/>
              <w:bottom w:val="nil"/>
              <w:right w:val="nil"/>
            </w:tcBorders>
          </w:tcPr>
          <w:p w14:paraId="6EEE7CC4" w14:textId="1A63B192" w:rsidR="00847F27" w:rsidRPr="009F64F8" w:rsidRDefault="00847F27" w:rsidP="002E601D">
            <w:pPr>
              <w:pStyle w:val="MText"/>
              <w:jc w:val="center"/>
              <w:rPr>
                <w:lang w:val="en-US"/>
              </w:rPr>
            </w:pPr>
            <w:r w:rsidRPr="009F64F8">
              <w:t>2</w:t>
            </w:r>
            <w:r w:rsidR="009F115B">
              <w:t>4</w:t>
            </w:r>
          </w:p>
        </w:tc>
      </w:tr>
      <w:tr w:rsidR="00847F27" w:rsidRPr="009F64F8" w14:paraId="4FFA2CA5" w14:textId="77777777" w:rsidTr="002E601D">
        <w:trPr>
          <w:trHeight w:val="300"/>
        </w:trPr>
        <w:tc>
          <w:tcPr>
            <w:tcW w:w="4050" w:type="dxa"/>
            <w:tcBorders>
              <w:top w:val="nil"/>
              <w:left w:val="nil"/>
              <w:bottom w:val="nil"/>
              <w:right w:val="nil"/>
            </w:tcBorders>
            <w:shd w:val="clear" w:color="auto" w:fill="auto"/>
            <w:vAlign w:val="bottom"/>
            <w:hideMark/>
          </w:tcPr>
          <w:p w14:paraId="7A39BE12" w14:textId="77777777" w:rsidR="00847F27" w:rsidRPr="009F64F8" w:rsidRDefault="00847F27" w:rsidP="00847F27">
            <w:pPr>
              <w:pStyle w:val="MText"/>
              <w:rPr>
                <w:lang w:val="en-US"/>
              </w:rPr>
            </w:pPr>
            <w:r w:rsidRPr="009F64F8">
              <w:t>Sub-Saharan Africa</w:t>
            </w:r>
            <w:r w:rsidRPr="009F64F8">
              <w:rPr>
                <w:lang w:val="en-US"/>
              </w:rPr>
              <w:t> </w:t>
            </w:r>
          </w:p>
        </w:tc>
        <w:tc>
          <w:tcPr>
            <w:tcW w:w="2610" w:type="dxa"/>
            <w:tcBorders>
              <w:top w:val="nil"/>
              <w:left w:val="nil"/>
              <w:bottom w:val="nil"/>
              <w:right w:val="nil"/>
            </w:tcBorders>
            <w:shd w:val="clear" w:color="auto" w:fill="auto"/>
            <w:hideMark/>
          </w:tcPr>
          <w:p w14:paraId="143DA916" w14:textId="397C8405" w:rsidR="00847F27" w:rsidRPr="009F64F8" w:rsidRDefault="00847F27" w:rsidP="00847F27">
            <w:pPr>
              <w:pStyle w:val="MText"/>
              <w:jc w:val="center"/>
              <w:rPr>
                <w:lang w:val="en-US"/>
              </w:rPr>
            </w:pPr>
            <w:r w:rsidRPr="009F64F8">
              <w:t>49</w:t>
            </w:r>
          </w:p>
        </w:tc>
        <w:tc>
          <w:tcPr>
            <w:tcW w:w="2250" w:type="dxa"/>
            <w:tcBorders>
              <w:top w:val="nil"/>
              <w:left w:val="nil"/>
              <w:bottom w:val="nil"/>
              <w:right w:val="nil"/>
            </w:tcBorders>
          </w:tcPr>
          <w:p w14:paraId="7CE82079" w14:textId="15952B54" w:rsidR="00847F27" w:rsidRPr="009F64F8" w:rsidRDefault="009F115B" w:rsidP="002E601D">
            <w:pPr>
              <w:pStyle w:val="MText"/>
              <w:jc w:val="center"/>
              <w:rPr>
                <w:lang w:val="en-US"/>
              </w:rPr>
            </w:pPr>
            <w:r>
              <w:t>50</w:t>
            </w:r>
          </w:p>
        </w:tc>
      </w:tr>
      <w:tr w:rsidR="00847F27" w:rsidRPr="009F64F8" w14:paraId="43861855" w14:textId="77777777" w:rsidTr="002E601D">
        <w:trPr>
          <w:trHeight w:val="300"/>
        </w:trPr>
        <w:tc>
          <w:tcPr>
            <w:tcW w:w="4050" w:type="dxa"/>
            <w:tcBorders>
              <w:top w:val="nil"/>
              <w:left w:val="nil"/>
              <w:bottom w:val="nil"/>
              <w:right w:val="nil"/>
            </w:tcBorders>
            <w:shd w:val="clear" w:color="auto" w:fill="auto"/>
            <w:vAlign w:val="bottom"/>
            <w:hideMark/>
          </w:tcPr>
          <w:p w14:paraId="4B8FA0B7" w14:textId="77777777" w:rsidR="00847F27" w:rsidRPr="009F64F8" w:rsidRDefault="00847F27" w:rsidP="00847F27">
            <w:pPr>
              <w:pStyle w:val="MText"/>
              <w:rPr>
                <w:lang w:val="en-US"/>
              </w:rPr>
            </w:pPr>
            <w:r w:rsidRPr="009F64F8">
              <w:t>Oceania excluding Australia and New Zealand</w:t>
            </w:r>
            <w:r w:rsidRPr="009F64F8">
              <w:rPr>
                <w:lang w:val="en-US"/>
              </w:rPr>
              <w:t> </w:t>
            </w:r>
          </w:p>
        </w:tc>
        <w:tc>
          <w:tcPr>
            <w:tcW w:w="2610" w:type="dxa"/>
            <w:tcBorders>
              <w:top w:val="nil"/>
              <w:left w:val="nil"/>
              <w:bottom w:val="nil"/>
              <w:right w:val="nil"/>
            </w:tcBorders>
            <w:shd w:val="clear" w:color="auto" w:fill="auto"/>
            <w:hideMark/>
          </w:tcPr>
          <w:p w14:paraId="60156019" w14:textId="78E177A0" w:rsidR="00847F27" w:rsidRPr="009F64F8" w:rsidRDefault="00847F27" w:rsidP="00847F27">
            <w:pPr>
              <w:pStyle w:val="MText"/>
              <w:jc w:val="center"/>
              <w:rPr>
                <w:lang w:val="en-US"/>
              </w:rPr>
            </w:pPr>
            <w:r w:rsidRPr="00990CD5">
              <w:rPr>
                <w:lang w:val="en-US"/>
              </w:rPr>
              <w:t>18</w:t>
            </w:r>
          </w:p>
        </w:tc>
        <w:tc>
          <w:tcPr>
            <w:tcW w:w="2250" w:type="dxa"/>
            <w:tcBorders>
              <w:top w:val="nil"/>
              <w:left w:val="nil"/>
              <w:bottom w:val="nil"/>
              <w:right w:val="nil"/>
            </w:tcBorders>
          </w:tcPr>
          <w:p w14:paraId="3B5ED646" w14:textId="062A85BD" w:rsidR="00847F27" w:rsidRPr="009F64F8" w:rsidRDefault="009F115B" w:rsidP="002E601D">
            <w:pPr>
              <w:pStyle w:val="MText"/>
              <w:jc w:val="center"/>
              <w:rPr>
                <w:lang w:val="en-US"/>
              </w:rPr>
            </w:pPr>
            <w:r>
              <w:rPr>
                <w:lang w:val="en-US"/>
              </w:rPr>
              <w:t>21</w:t>
            </w:r>
          </w:p>
        </w:tc>
      </w:tr>
      <w:tr w:rsidR="00847F27" w:rsidRPr="009F64F8" w14:paraId="09EC5970" w14:textId="77777777" w:rsidTr="002E601D">
        <w:trPr>
          <w:trHeight w:val="300"/>
        </w:trPr>
        <w:tc>
          <w:tcPr>
            <w:tcW w:w="4050" w:type="dxa"/>
            <w:tcBorders>
              <w:top w:val="nil"/>
              <w:left w:val="nil"/>
              <w:bottom w:val="nil"/>
              <w:right w:val="nil"/>
            </w:tcBorders>
            <w:shd w:val="clear" w:color="auto" w:fill="auto"/>
            <w:vAlign w:val="bottom"/>
            <w:hideMark/>
          </w:tcPr>
          <w:p w14:paraId="0A604A60" w14:textId="77777777" w:rsidR="00847F27" w:rsidRPr="009F64F8" w:rsidRDefault="00847F27" w:rsidP="00847F27">
            <w:pPr>
              <w:pStyle w:val="MText"/>
              <w:rPr>
                <w:lang w:val="en-US"/>
              </w:rPr>
            </w:pPr>
            <w:r w:rsidRPr="009F64F8">
              <w:t>Australia and New Zealand</w:t>
            </w:r>
            <w:r w:rsidRPr="009F64F8">
              <w:rPr>
                <w:lang w:val="en-US"/>
              </w:rPr>
              <w:t> </w:t>
            </w:r>
          </w:p>
        </w:tc>
        <w:tc>
          <w:tcPr>
            <w:tcW w:w="2610" w:type="dxa"/>
            <w:tcBorders>
              <w:top w:val="nil"/>
              <w:left w:val="nil"/>
              <w:bottom w:val="nil"/>
              <w:right w:val="nil"/>
            </w:tcBorders>
            <w:shd w:val="clear" w:color="auto" w:fill="auto"/>
            <w:hideMark/>
          </w:tcPr>
          <w:p w14:paraId="2B120205" w14:textId="7CB71DB9" w:rsidR="00847F27" w:rsidRPr="009F64F8" w:rsidRDefault="00847F27" w:rsidP="00847F27">
            <w:pPr>
              <w:pStyle w:val="MText"/>
              <w:jc w:val="center"/>
              <w:rPr>
                <w:lang w:val="en-US"/>
              </w:rPr>
            </w:pPr>
            <w:r w:rsidRPr="009F64F8">
              <w:t>2</w:t>
            </w:r>
          </w:p>
        </w:tc>
        <w:tc>
          <w:tcPr>
            <w:tcW w:w="2250" w:type="dxa"/>
            <w:tcBorders>
              <w:top w:val="nil"/>
              <w:left w:val="nil"/>
              <w:bottom w:val="nil"/>
              <w:right w:val="nil"/>
            </w:tcBorders>
          </w:tcPr>
          <w:p w14:paraId="70B0FA84" w14:textId="7CF95175" w:rsidR="00847F27" w:rsidRPr="009F64F8" w:rsidRDefault="00847F27" w:rsidP="002E601D">
            <w:pPr>
              <w:pStyle w:val="MText"/>
              <w:jc w:val="center"/>
              <w:rPr>
                <w:lang w:val="en-US"/>
              </w:rPr>
            </w:pPr>
            <w:r w:rsidRPr="009F64F8">
              <w:t>2</w:t>
            </w:r>
          </w:p>
        </w:tc>
      </w:tr>
      <w:tr w:rsidR="00847F27" w:rsidRPr="009F64F8" w14:paraId="452CDD5D" w14:textId="77777777" w:rsidTr="002E601D">
        <w:trPr>
          <w:trHeight w:val="300"/>
        </w:trPr>
        <w:tc>
          <w:tcPr>
            <w:tcW w:w="4050" w:type="dxa"/>
            <w:tcBorders>
              <w:top w:val="nil"/>
              <w:left w:val="nil"/>
              <w:bottom w:val="nil"/>
              <w:right w:val="nil"/>
            </w:tcBorders>
            <w:shd w:val="clear" w:color="auto" w:fill="auto"/>
            <w:vAlign w:val="bottom"/>
            <w:hideMark/>
          </w:tcPr>
          <w:p w14:paraId="4B2FCFAA" w14:textId="77777777" w:rsidR="00847F27" w:rsidRPr="009F64F8" w:rsidRDefault="00847F27" w:rsidP="00847F27">
            <w:pPr>
              <w:pStyle w:val="MText"/>
              <w:rPr>
                <w:lang w:val="en-US"/>
              </w:rPr>
            </w:pPr>
            <w:r w:rsidRPr="009F64F8">
              <w:t>Landlocked developing countries (LLDCs)</w:t>
            </w:r>
            <w:r w:rsidRPr="009F64F8">
              <w:rPr>
                <w:lang w:val="en-US"/>
              </w:rPr>
              <w:t> </w:t>
            </w:r>
          </w:p>
        </w:tc>
        <w:tc>
          <w:tcPr>
            <w:tcW w:w="2610" w:type="dxa"/>
            <w:tcBorders>
              <w:top w:val="nil"/>
              <w:left w:val="nil"/>
              <w:bottom w:val="nil"/>
              <w:right w:val="nil"/>
            </w:tcBorders>
            <w:shd w:val="clear" w:color="auto" w:fill="auto"/>
            <w:hideMark/>
          </w:tcPr>
          <w:p w14:paraId="043E8C85" w14:textId="17FC31EE" w:rsidR="00847F27" w:rsidRPr="009F64F8" w:rsidRDefault="00847F27" w:rsidP="00847F27">
            <w:pPr>
              <w:pStyle w:val="MText"/>
              <w:jc w:val="center"/>
              <w:rPr>
                <w:lang w:val="en-US"/>
              </w:rPr>
            </w:pPr>
            <w:r w:rsidRPr="009F64F8">
              <w:t>32</w:t>
            </w:r>
          </w:p>
        </w:tc>
        <w:tc>
          <w:tcPr>
            <w:tcW w:w="2250" w:type="dxa"/>
            <w:tcBorders>
              <w:top w:val="nil"/>
              <w:left w:val="nil"/>
              <w:bottom w:val="nil"/>
              <w:right w:val="nil"/>
            </w:tcBorders>
          </w:tcPr>
          <w:p w14:paraId="538F8230" w14:textId="03B6F423" w:rsidR="00847F27" w:rsidRPr="009F64F8" w:rsidRDefault="00847F27" w:rsidP="002E601D">
            <w:pPr>
              <w:pStyle w:val="MText"/>
              <w:jc w:val="center"/>
              <w:rPr>
                <w:lang w:val="en-US"/>
              </w:rPr>
            </w:pPr>
            <w:r w:rsidRPr="009F64F8">
              <w:t>32</w:t>
            </w:r>
          </w:p>
        </w:tc>
      </w:tr>
      <w:tr w:rsidR="00847F27" w:rsidRPr="009F64F8" w14:paraId="382EC964" w14:textId="77777777" w:rsidTr="008815D8">
        <w:trPr>
          <w:trHeight w:val="230"/>
        </w:trPr>
        <w:tc>
          <w:tcPr>
            <w:tcW w:w="4050" w:type="dxa"/>
            <w:tcBorders>
              <w:top w:val="nil"/>
              <w:left w:val="nil"/>
              <w:bottom w:val="nil"/>
              <w:right w:val="nil"/>
            </w:tcBorders>
            <w:shd w:val="clear" w:color="auto" w:fill="auto"/>
            <w:vAlign w:val="bottom"/>
            <w:hideMark/>
          </w:tcPr>
          <w:p w14:paraId="6535249B" w14:textId="77777777" w:rsidR="00847F27" w:rsidRPr="009F64F8" w:rsidRDefault="00847F27" w:rsidP="00847F27">
            <w:pPr>
              <w:pStyle w:val="MText"/>
              <w:rPr>
                <w:lang w:val="en-US"/>
              </w:rPr>
            </w:pPr>
            <w:r w:rsidRPr="009F64F8">
              <w:t>Least Developed Countries (LDCs)</w:t>
            </w:r>
            <w:r w:rsidRPr="009F64F8">
              <w:rPr>
                <w:lang w:val="en-US"/>
              </w:rPr>
              <w:t> </w:t>
            </w:r>
          </w:p>
        </w:tc>
        <w:tc>
          <w:tcPr>
            <w:tcW w:w="2610" w:type="dxa"/>
            <w:tcBorders>
              <w:top w:val="nil"/>
              <w:left w:val="nil"/>
              <w:bottom w:val="nil"/>
              <w:right w:val="nil"/>
            </w:tcBorders>
            <w:shd w:val="clear" w:color="auto" w:fill="auto"/>
            <w:hideMark/>
          </w:tcPr>
          <w:p w14:paraId="42CA36C2" w14:textId="5825F7C3" w:rsidR="00847F27" w:rsidRPr="009F64F8" w:rsidRDefault="00847F27" w:rsidP="00847F27">
            <w:pPr>
              <w:pStyle w:val="MText"/>
              <w:jc w:val="center"/>
              <w:rPr>
                <w:lang w:val="en-US"/>
              </w:rPr>
            </w:pPr>
            <w:r w:rsidRPr="00990CD5">
              <w:rPr>
                <w:lang w:val="en-US"/>
              </w:rPr>
              <w:t>43</w:t>
            </w:r>
          </w:p>
        </w:tc>
        <w:tc>
          <w:tcPr>
            <w:tcW w:w="2250" w:type="dxa"/>
            <w:tcBorders>
              <w:top w:val="nil"/>
              <w:left w:val="nil"/>
              <w:bottom w:val="nil"/>
              <w:right w:val="nil"/>
            </w:tcBorders>
          </w:tcPr>
          <w:p w14:paraId="78E0A725" w14:textId="007D55AF" w:rsidR="00847F27" w:rsidRPr="009F64F8" w:rsidRDefault="00C442D4" w:rsidP="002E601D">
            <w:pPr>
              <w:pStyle w:val="MText"/>
              <w:jc w:val="center"/>
              <w:rPr>
                <w:lang w:val="en-US"/>
              </w:rPr>
            </w:pPr>
            <w:r>
              <w:rPr>
                <w:lang w:val="en-US"/>
              </w:rPr>
              <w:t>44</w:t>
            </w:r>
          </w:p>
        </w:tc>
      </w:tr>
      <w:tr w:rsidR="00847F27" w:rsidRPr="009F64F8" w14:paraId="56C1F1D1" w14:textId="77777777" w:rsidTr="00CC6A27">
        <w:trPr>
          <w:trHeight w:val="92"/>
        </w:trPr>
        <w:tc>
          <w:tcPr>
            <w:tcW w:w="4050" w:type="dxa"/>
            <w:tcBorders>
              <w:top w:val="nil"/>
              <w:left w:val="nil"/>
              <w:bottom w:val="single" w:sz="6" w:space="0" w:color="auto"/>
              <w:right w:val="nil"/>
            </w:tcBorders>
            <w:shd w:val="clear" w:color="auto" w:fill="auto"/>
            <w:vAlign w:val="bottom"/>
            <w:hideMark/>
          </w:tcPr>
          <w:p w14:paraId="75F0CBE1" w14:textId="77777777" w:rsidR="00847F27" w:rsidRPr="009F64F8" w:rsidRDefault="00847F27" w:rsidP="00847F27">
            <w:pPr>
              <w:pStyle w:val="MText"/>
              <w:rPr>
                <w:lang w:val="en-US"/>
              </w:rPr>
            </w:pPr>
            <w:r w:rsidRPr="009F64F8">
              <w:lastRenderedPageBreak/>
              <w:t xml:space="preserve">Small island </w:t>
            </w:r>
            <w:r w:rsidRPr="00CC6A27">
              <w:t>developing</w:t>
            </w:r>
            <w:r w:rsidRPr="009F64F8">
              <w:t xml:space="preserve"> States (SIDS)</w:t>
            </w:r>
            <w:r w:rsidRPr="009F64F8">
              <w:rPr>
                <w:lang w:val="en-US"/>
              </w:rPr>
              <w:t> </w:t>
            </w:r>
          </w:p>
        </w:tc>
        <w:tc>
          <w:tcPr>
            <w:tcW w:w="2610" w:type="dxa"/>
            <w:tcBorders>
              <w:top w:val="nil"/>
              <w:left w:val="nil"/>
              <w:bottom w:val="single" w:sz="4" w:space="0" w:color="auto"/>
              <w:right w:val="nil"/>
            </w:tcBorders>
            <w:shd w:val="clear" w:color="auto" w:fill="auto"/>
            <w:hideMark/>
          </w:tcPr>
          <w:p w14:paraId="31CA6CAD" w14:textId="1360CFAB" w:rsidR="00847F27" w:rsidRPr="009F64F8" w:rsidRDefault="00847F27" w:rsidP="00847F27">
            <w:pPr>
              <w:pStyle w:val="MText"/>
              <w:jc w:val="center"/>
              <w:rPr>
                <w:lang w:val="en-US"/>
              </w:rPr>
            </w:pPr>
            <w:r w:rsidRPr="00990CD5">
              <w:rPr>
                <w:lang w:val="en-US"/>
              </w:rPr>
              <w:t>54</w:t>
            </w:r>
          </w:p>
        </w:tc>
        <w:tc>
          <w:tcPr>
            <w:tcW w:w="2250" w:type="dxa"/>
            <w:tcBorders>
              <w:top w:val="nil"/>
              <w:left w:val="nil"/>
              <w:bottom w:val="single" w:sz="4" w:space="0" w:color="auto"/>
              <w:right w:val="nil"/>
            </w:tcBorders>
          </w:tcPr>
          <w:p w14:paraId="7B7BB866" w14:textId="58938E95" w:rsidR="00847F27" w:rsidRPr="009F64F8" w:rsidRDefault="00847F27" w:rsidP="002E601D">
            <w:pPr>
              <w:pStyle w:val="MText"/>
              <w:jc w:val="center"/>
              <w:rPr>
                <w:lang w:val="en-US"/>
              </w:rPr>
            </w:pPr>
            <w:r w:rsidRPr="00990CD5">
              <w:rPr>
                <w:lang w:val="en-US"/>
              </w:rPr>
              <w:t>5</w:t>
            </w:r>
            <w:r w:rsidR="009F115B">
              <w:rPr>
                <w:lang w:val="en-US"/>
              </w:rPr>
              <w:t>7</w:t>
            </w:r>
          </w:p>
        </w:tc>
      </w:tr>
    </w:tbl>
    <w:p w14:paraId="251958C7" w14:textId="73163B5A" w:rsidR="009F64F8" w:rsidRDefault="00B80260" w:rsidP="009F64F8">
      <w:pPr>
        <w:pStyle w:val="MText"/>
      </w:pPr>
      <w:r>
        <w:br w:type="textWrapping" w:clear="all"/>
      </w:r>
    </w:p>
    <w:p w14:paraId="4D174EAE" w14:textId="77777777" w:rsidR="00BB2407" w:rsidRPr="00BB2407" w:rsidRDefault="00BB2407" w:rsidP="009F64F8">
      <w:pPr>
        <w:pStyle w:val="MText"/>
        <w:rPr>
          <w:b/>
          <w:bCs/>
        </w:rPr>
      </w:pPr>
      <w:r w:rsidRPr="00BB2407">
        <w:rPr>
          <w:b/>
          <w:bCs/>
        </w:rPr>
        <w:t xml:space="preserve">Time series: </w:t>
      </w:r>
    </w:p>
    <w:p w14:paraId="2D9397C6" w14:textId="77777777" w:rsidR="00BB2407" w:rsidRDefault="00BB2407" w:rsidP="009F64F8">
      <w:pPr>
        <w:pStyle w:val="MText"/>
      </w:pPr>
      <w:r w:rsidRPr="00BB2407">
        <w:t xml:space="preserve">See </w:t>
      </w:r>
      <w:r>
        <w:t>T</w:t>
      </w:r>
      <w:r w:rsidRPr="00BB2407">
        <w:t>able 1 above</w:t>
      </w:r>
      <w:r>
        <w:t>.</w:t>
      </w:r>
      <w:r w:rsidRPr="00BB2407">
        <w:t xml:space="preserve"> </w:t>
      </w:r>
    </w:p>
    <w:p w14:paraId="319A7888" w14:textId="77777777" w:rsidR="00BB2407" w:rsidRDefault="00BB2407" w:rsidP="009F64F8">
      <w:pPr>
        <w:pStyle w:val="MText"/>
      </w:pPr>
    </w:p>
    <w:p w14:paraId="6A26E56B" w14:textId="77777777" w:rsidR="00BB2407" w:rsidRPr="00BB2407" w:rsidRDefault="00BB2407" w:rsidP="009F64F8">
      <w:pPr>
        <w:pStyle w:val="MText"/>
        <w:rPr>
          <w:b/>
          <w:bCs/>
        </w:rPr>
      </w:pPr>
      <w:r w:rsidRPr="00BB2407">
        <w:rPr>
          <w:b/>
          <w:bCs/>
        </w:rPr>
        <w:t xml:space="preserve">Disaggregation: </w:t>
      </w:r>
    </w:p>
    <w:p w14:paraId="69663A8C" w14:textId="0E0ED5A5" w:rsidR="009F64F8" w:rsidRDefault="00BB2407" w:rsidP="009F64F8">
      <w:pPr>
        <w:pStyle w:val="MText"/>
      </w:pPr>
      <w:r w:rsidRPr="00BB2407">
        <w:t>Age, education, number of living children, marital status, socioeconomic status, geographic location and other categories, depending on the data source and number of observations.</w:t>
      </w:r>
    </w:p>
    <w:p w14:paraId="4980717F" w14:textId="77777777" w:rsidR="009F64F8" w:rsidRPr="009F64F8" w:rsidRDefault="009F64F8" w:rsidP="009F64F8">
      <w:pPr>
        <w:pStyle w:val="MText"/>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A597DB9" w14:textId="77777777" w:rsidR="00CF1022" w:rsidRPr="00CF1022" w:rsidRDefault="00CF1022" w:rsidP="00576CFA">
      <w:pPr>
        <w:pStyle w:val="MText"/>
        <w:rPr>
          <w:b/>
          <w:bCs/>
        </w:rPr>
      </w:pPr>
      <w:r w:rsidRPr="00CF1022">
        <w:rPr>
          <w:b/>
          <w:bCs/>
        </w:rPr>
        <w:t xml:space="preserve">Sources of discrepancies: </w:t>
      </w:r>
    </w:p>
    <w:p w14:paraId="33CAB7BE" w14:textId="4934D913" w:rsidR="00EC2915" w:rsidRDefault="00CF1022" w:rsidP="00576CFA">
      <w:pPr>
        <w:pStyle w:val="MText"/>
      </w:pPr>
      <w:r>
        <w:t xml:space="preserve">Estimates based on civil registration are only provided when the country reports at least 90 percent coverage and when there is reasonable agreement between civil registration estimates and survey estimates. Small discrepancies might arise due to different denominators or the inclusion of births to women under 15 years of age. Survey estimates are only provided when there is no reliable civil registration. There might be discrepancies on the dating and the actual figure if a different reference period is being used. </w:t>
      </w:r>
      <w:proofErr w:type="gramStart"/>
      <w:r>
        <w:t>In particular, many</w:t>
      </w:r>
      <w:proofErr w:type="gramEnd"/>
      <w:r>
        <w:t xml:space="preserve"> surveys report rates both for a three-year and a five-year reference period. For countries </w:t>
      </w:r>
      <w:r w:rsidR="55665812">
        <w:t xml:space="preserve">and areas </w:t>
      </w:r>
      <w:r>
        <w:t>where data are scarce, reference periods located more than five years before the survey might be used.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2F5D60A" w14:textId="77777777" w:rsidR="00753FED" w:rsidRPr="00657114" w:rsidRDefault="00CF1022" w:rsidP="00753FED">
      <w:pPr>
        <w:pStyle w:val="MText"/>
        <w:rPr>
          <w:b/>
          <w:bCs/>
        </w:rPr>
      </w:pPr>
      <w:r w:rsidRPr="00657114">
        <w:rPr>
          <w:b/>
          <w:bCs/>
        </w:rPr>
        <w:t>URL:</w:t>
      </w:r>
    </w:p>
    <w:p w14:paraId="5BF8AF27" w14:textId="77777777" w:rsidR="00753FED" w:rsidRPr="00753FED" w:rsidRDefault="00753FED" w:rsidP="00753FED">
      <w:pPr>
        <w:pStyle w:val="MText"/>
      </w:pPr>
    </w:p>
    <w:p w14:paraId="690E74C5" w14:textId="4B91C932" w:rsidR="00753FED" w:rsidRDefault="00753FED" w:rsidP="00753FED">
      <w:pPr>
        <w:pStyle w:val="MText"/>
      </w:pPr>
      <w:hyperlink r:id="rId29" w:history="1">
        <w:r w:rsidRPr="005C77CE">
          <w:rPr>
            <w:rStyle w:val="Hyperlink"/>
          </w:rPr>
          <w:t>https://www.un.org/development/desa/pd/</w:t>
        </w:r>
      </w:hyperlink>
      <w:r w:rsidR="00CF1022" w:rsidRPr="00753FED">
        <w:t>;</w:t>
      </w:r>
    </w:p>
    <w:p w14:paraId="28464F05" w14:textId="157DEF68" w:rsidR="00CF1022" w:rsidRDefault="00CF1022" w:rsidP="2DE5864C">
      <w:pPr>
        <w:pStyle w:val="MText"/>
      </w:pPr>
      <w:hyperlink r:id="rId30" w:history="1">
        <w:r w:rsidR="58CF7C7F" w:rsidRPr="2DE5864C">
          <w:rPr>
            <w:rStyle w:val="Hyperlink"/>
          </w:rPr>
          <w:t>https://www.unfpa.org/data</w:t>
        </w:r>
      </w:hyperlink>
      <w:r w:rsidR="58CF7C7F">
        <w:t xml:space="preserve">; </w:t>
      </w:r>
    </w:p>
    <w:p w14:paraId="007801B4" w14:textId="1B29CC35" w:rsidR="00753FED" w:rsidRPr="004568BC" w:rsidRDefault="004568BC" w:rsidP="004568BC">
      <w:pPr>
        <w:pStyle w:val="MText"/>
        <w:rPr>
          <w:lang w:val="en-US"/>
        </w:rPr>
      </w:pPr>
      <w:r w:rsidRPr="004568BC">
        <w:rPr>
          <w:lang w:val="en-US"/>
        </w:rPr>
        <w:t>Expert group meeting on the evaluation of adolescent fertility data and estimates</w:t>
      </w:r>
      <w:r>
        <w:rPr>
          <w:lang w:val="en-US"/>
        </w:rPr>
        <w:t xml:space="preserve">, available at: </w:t>
      </w:r>
      <w:hyperlink r:id="rId31" w:history="1">
        <w:r w:rsidRPr="005C77CE">
          <w:rPr>
            <w:rStyle w:val="Hyperlink"/>
          </w:rPr>
          <w:t>https://www.un.org/development/desa/pd/events/EGM-on-the-evaluation-of-adolescent-fertility-data-estimates-for-SDG-reporting</w:t>
        </w:r>
      </w:hyperlink>
    </w:p>
    <w:p w14:paraId="5AF2B60A" w14:textId="77777777" w:rsidR="004568BC" w:rsidRPr="00753FED" w:rsidRDefault="004568BC" w:rsidP="00753FED">
      <w:pPr>
        <w:pStyle w:val="MText"/>
      </w:pPr>
    </w:p>
    <w:p w14:paraId="13826AE6" w14:textId="77777777" w:rsidR="00753FED" w:rsidRPr="00657114" w:rsidRDefault="00CF1022" w:rsidP="00753FED">
      <w:pPr>
        <w:pStyle w:val="MText"/>
        <w:rPr>
          <w:b/>
          <w:bCs/>
        </w:rPr>
      </w:pPr>
      <w:r w:rsidRPr="00657114">
        <w:rPr>
          <w:b/>
          <w:bCs/>
        </w:rPr>
        <w:t xml:space="preserve">References: </w:t>
      </w:r>
    </w:p>
    <w:p w14:paraId="2EEFE2D6" w14:textId="77777777" w:rsidR="00753FED" w:rsidRDefault="00753FED" w:rsidP="00753FED">
      <w:pPr>
        <w:pStyle w:val="MText"/>
      </w:pPr>
    </w:p>
    <w:p w14:paraId="377367C6" w14:textId="526CD74D" w:rsidR="00753FED" w:rsidRDefault="00CF1022" w:rsidP="00753FED">
      <w:pPr>
        <w:pStyle w:val="MText"/>
      </w:pPr>
      <w:r w:rsidRPr="00753FED">
        <w:t xml:space="preserve">United Nations, Department of Economic and Social Affairs, Population Division </w:t>
      </w:r>
      <w:r w:rsidR="002B719A" w:rsidRPr="00400C8A">
        <w:t>(2024). World Population Prospects 2024: Methodology of the United Nations population estimates and projections (UN DESA/POP/2024/DC/NO. 10)</w:t>
      </w:r>
      <w:r w:rsidR="002B719A">
        <w:t xml:space="preserve">, available at: </w:t>
      </w:r>
      <w:hyperlink r:id="rId32" w:history="1">
        <w:r w:rsidR="002B719A" w:rsidRPr="002F4D2C">
          <w:rPr>
            <w:rStyle w:val="Hyperlink"/>
          </w:rPr>
          <w:t>https://population.un.org/wpp/assets/Files/WPP2024_Methodology-Report_Final.pdf</w:t>
        </w:r>
      </w:hyperlink>
      <w:r w:rsidR="002B719A">
        <w:t>.</w:t>
      </w:r>
    </w:p>
    <w:p w14:paraId="5AF3D5EC" w14:textId="77777777" w:rsidR="00753FED" w:rsidRDefault="00753FED" w:rsidP="00753FED">
      <w:pPr>
        <w:pStyle w:val="MText"/>
      </w:pPr>
    </w:p>
    <w:p w14:paraId="00EDBE41" w14:textId="0AF7770E" w:rsidR="00753FED" w:rsidRDefault="00CF1022" w:rsidP="00F60741">
      <w:pPr>
        <w:pStyle w:val="MText"/>
      </w:pPr>
      <w:r w:rsidRPr="00753FED">
        <w:t>United Nations, Department of Economic and Social Affairs, Population Division (</w:t>
      </w:r>
      <w:r w:rsidR="002B719A" w:rsidRPr="00753FED">
        <w:t>202</w:t>
      </w:r>
      <w:r w:rsidR="002B719A">
        <w:t>4</w:t>
      </w:r>
      <w:r w:rsidRPr="00753FED">
        <w:t xml:space="preserve">). World Population Prospects </w:t>
      </w:r>
      <w:r w:rsidR="002B719A" w:rsidRPr="00753FED">
        <w:t>202</w:t>
      </w:r>
      <w:r w:rsidR="002B719A">
        <w:t>4</w:t>
      </w:r>
      <w:r w:rsidR="00F60741">
        <w:t xml:space="preserve">, available at </w:t>
      </w:r>
      <w:hyperlink r:id="rId33" w:history="1">
        <w:r w:rsidR="00F60741" w:rsidRPr="00F60741">
          <w:rPr>
            <w:rStyle w:val="Hyperlink"/>
          </w:rPr>
          <w:t>https://population.un.org/wpp/</w:t>
        </w:r>
      </w:hyperlink>
      <w:r w:rsidR="00F60741" w:rsidRPr="00F60741">
        <w:t>.</w:t>
      </w:r>
      <w:r w:rsidRPr="00753FED">
        <w:t xml:space="preserve"> </w:t>
      </w:r>
    </w:p>
    <w:p w14:paraId="2BC83E7C" w14:textId="77777777" w:rsidR="00753FED" w:rsidRDefault="00753FED" w:rsidP="00753FED">
      <w:pPr>
        <w:pStyle w:val="MText"/>
      </w:pPr>
    </w:p>
    <w:p w14:paraId="169954E7" w14:textId="6573CBA1" w:rsidR="00753FED" w:rsidRDefault="00CF1022" w:rsidP="00753FED">
      <w:pPr>
        <w:pStyle w:val="MText"/>
      </w:pPr>
      <w:r w:rsidRPr="00753FED">
        <w:t>Handbook on the Collection of Fertility and Mortality Data, United Nations Publication (ST/ESA/STAT/SER.F/92),</w:t>
      </w:r>
      <w:r w:rsidR="00F60741">
        <w:t xml:space="preserve"> available at: </w:t>
      </w:r>
      <w:hyperlink r:id="rId34" w:history="1">
        <w:r w:rsidR="00F60741" w:rsidRPr="005C77CE">
          <w:rPr>
            <w:rStyle w:val="Hyperlink"/>
          </w:rPr>
          <w:t>https://unstats.un.org/unsd/demographic/standmeth/handbooks/Handbook_Fertility_Mortality.pdf</w:t>
        </w:r>
      </w:hyperlink>
      <w:r w:rsidR="00F60741">
        <w:t>.</w:t>
      </w:r>
    </w:p>
    <w:p w14:paraId="1DEF23B1" w14:textId="77777777" w:rsidR="00753FED" w:rsidRDefault="00753FED" w:rsidP="00753FED">
      <w:pPr>
        <w:pStyle w:val="MText"/>
      </w:pPr>
    </w:p>
    <w:p w14:paraId="384B0992" w14:textId="4D6E70AD" w:rsidR="00186795" w:rsidRDefault="00CF1022" w:rsidP="00753FED">
      <w:pPr>
        <w:pStyle w:val="MText"/>
      </w:pPr>
      <w:r w:rsidRPr="00753FED">
        <w:t>Manual X: Indirect Techniques for Demographic Estimation, United Nations Publication, Sales No. E.83.XIII.2</w:t>
      </w:r>
      <w:r w:rsidR="00F60741">
        <w:t xml:space="preserve">, available at: </w:t>
      </w:r>
      <w:hyperlink r:id="rId35" w:history="1">
        <w:r w:rsidR="00F60741" w:rsidRPr="005C77CE">
          <w:rPr>
            <w:rStyle w:val="Hyperlink"/>
          </w:rPr>
          <w:t>https://www.un.org/en/development/desa/population/publications/pdf/mortality/Manual_X.pdf</w:t>
        </w:r>
      </w:hyperlink>
    </w:p>
    <w:p w14:paraId="6C014312" w14:textId="77777777" w:rsidR="008C79B9" w:rsidRDefault="008C79B9" w:rsidP="00753FED">
      <w:pPr>
        <w:pStyle w:val="MText"/>
      </w:pPr>
    </w:p>
    <w:p w14:paraId="27BE68B2" w14:textId="3876820E" w:rsidR="008C79B9" w:rsidRDefault="008C79B9" w:rsidP="00753FED">
      <w:pPr>
        <w:pStyle w:val="MText"/>
      </w:pPr>
      <w:r>
        <w:t xml:space="preserve">Indicator and Monitoring Framework for the Global Strategy for Women’s, Children’s and Adolescents’ Health (2016-2030), </w:t>
      </w:r>
      <w:r w:rsidR="00F60741">
        <w:t>available at:</w:t>
      </w:r>
      <w:r w:rsidR="4C3C4CB9">
        <w:t xml:space="preserve"> </w:t>
      </w:r>
      <w:hyperlink r:id="rId36" w:history="1">
        <w:r w:rsidR="4C3C4CB9" w:rsidRPr="2DE5864C">
          <w:rPr>
            <w:rStyle w:val="Hyperlink"/>
          </w:rPr>
          <w:t>https://platform.who.int/docs/default-source/mca-documents/rmncah/global-strategy/gs-indicator-and-monitoring-framework.pdf</w:t>
        </w:r>
      </w:hyperlink>
      <w:r w:rsidR="00F60741">
        <w:t xml:space="preserve">. </w:t>
      </w:r>
      <w:r w:rsidR="1F55CE31">
        <w:t xml:space="preserve"> </w:t>
      </w:r>
    </w:p>
    <w:p w14:paraId="22A3298F" w14:textId="77777777" w:rsidR="008C79B9" w:rsidRPr="00D87977" w:rsidRDefault="008C79B9" w:rsidP="00753FED">
      <w:pPr>
        <w:pStyle w:val="MText"/>
      </w:pPr>
    </w:p>
    <w:sectPr w:rsidR="008C79B9" w:rsidRPr="00D87977">
      <w:headerReference w:type="default" r:id="rId37"/>
      <w:footerReference w:type="default" r:id="rId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6E413" w14:textId="77777777" w:rsidR="00B22BDC" w:rsidRDefault="00B22BDC" w:rsidP="00573C0B">
      <w:pPr>
        <w:spacing w:after="0" w:line="240" w:lineRule="auto"/>
      </w:pPr>
      <w:r>
        <w:separator/>
      </w:r>
    </w:p>
  </w:endnote>
  <w:endnote w:type="continuationSeparator" w:id="0">
    <w:p w14:paraId="2E98F386" w14:textId="77777777" w:rsidR="00B22BDC" w:rsidRDefault="00B22BDC" w:rsidP="00573C0B">
      <w:pPr>
        <w:spacing w:after="0" w:line="240" w:lineRule="auto"/>
      </w:pPr>
      <w:r>
        <w:continuationSeparator/>
      </w:r>
    </w:p>
  </w:endnote>
  <w:endnote w:type="continuationNotice" w:id="1">
    <w:p w14:paraId="2622D56C" w14:textId="77777777" w:rsidR="00B22BDC" w:rsidRDefault="00B22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EFA4834" w14:paraId="4FE9E015" w14:textId="77777777" w:rsidTr="1EFA4834">
      <w:trPr>
        <w:trHeight w:val="300"/>
      </w:trPr>
      <w:tc>
        <w:tcPr>
          <w:tcW w:w="3005" w:type="dxa"/>
        </w:tcPr>
        <w:p w14:paraId="08A94F65" w14:textId="53A7442A" w:rsidR="1EFA4834" w:rsidRDefault="1EFA4834" w:rsidP="1EFA4834">
          <w:pPr>
            <w:pStyle w:val="Header"/>
            <w:ind w:left="-115"/>
          </w:pPr>
        </w:p>
      </w:tc>
      <w:tc>
        <w:tcPr>
          <w:tcW w:w="3005" w:type="dxa"/>
        </w:tcPr>
        <w:p w14:paraId="7F6E7484" w14:textId="54E2518B" w:rsidR="1EFA4834" w:rsidRDefault="1EFA4834" w:rsidP="1EFA4834">
          <w:pPr>
            <w:pStyle w:val="Header"/>
            <w:jc w:val="center"/>
          </w:pPr>
        </w:p>
      </w:tc>
      <w:tc>
        <w:tcPr>
          <w:tcW w:w="3005" w:type="dxa"/>
        </w:tcPr>
        <w:p w14:paraId="307B21DC" w14:textId="69215BA0" w:rsidR="1EFA4834" w:rsidRDefault="1EFA4834" w:rsidP="1EFA4834">
          <w:pPr>
            <w:pStyle w:val="Header"/>
            <w:ind w:right="-115"/>
            <w:jc w:val="right"/>
          </w:pPr>
        </w:p>
      </w:tc>
    </w:tr>
  </w:tbl>
  <w:p w14:paraId="02431E8E" w14:textId="5B2C8FEA" w:rsidR="1EFA4834" w:rsidRDefault="1EFA4834" w:rsidP="1EFA4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47158" w14:textId="77777777" w:rsidR="00B22BDC" w:rsidRDefault="00B22BDC" w:rsidP="00573C0B">
      <w:pPr>
        <w:spacing w:after="0" w:line="240" w:lineRule="auto"/>
      </w:pPr>
      <w:r>
        <w:separator/>
      </w:r>
    </w:p>
  </w:footnote>
  <w:footnote w:type="continuationSeparator" w:id="0">
    <w:p w14:paraId="56A3EC8E" w14:textId="77777777" w:rsidR="00B22BDC" w:rsidRDefault="00B22BDC" w:rsidP="00573C0B">
      <w:pPr>
        <w:spacing w:after="0" w:line="240" w:lineRule="auto"/>
      </w:pPr>
      <w:r>
        <w:continuationSeparator/>
      </w:r>
    </w:p>
  </w:footnote>
  <w:footnote w:type="continuationNotice" w:id="1">
    <w:p w14:paraId="2650FC2B" w14:textId="77777777" w:rsidR="00B22BDC" w:rsidRDefault="00B22B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3630" w14:textId="5F455E8D" w:rsidR="00786218" w:rsidRPr="00757E8A" w:rsidRDefault="1EFA4834" w:rsidP="00786218">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EFA4834">
      <w:rPr>
        <w:color w:val="404040" w:themeColor="text1" w:themeTint="BF"/>
        <w:sz w:val="18"/>
        <w:szCs w:val="18"/>
      </w:rPr>
      <w:t>Last updated:</w:t>
    </w:r>
    <w:bookmarkEnd w:id="5"/>
    <w:bookmarkEnd w:id="6"/>
    <w:bookmarkEnd w:id="7"/>
    <w:bookmarkEnd w:id="8"/>
    <w:bookmarkEnd w:id="9"/>
    <w:bookmarkEnd w:id="10"/>
    <w:r w:rsidRPr="1EFA4834">
      <w:rPr>
        <w:color w:val="404040" w:themeColor="text1" w:themeTint="BF"/>
        <w:sz w:val="18"/>
        <w:szCs w:val="18"/>
      </w:rPr>
      <w:t xml:space="preserve"> </w:t>
    </w:r>
    <w:r w:rsidR="1D3C86A6" w:rsidRPr="1D3C86A6">
      <w:rPr>
        <w:color w:val="404040" w:themeColor="text1" w:themeTint="BF"/>
        <w:sz w:val="18"/>
        <w:szCs w:val="18"/>
      </w:rPr>
      <w:t>2025-0</w:t>
    </w:r>
    <w:r w:rsidR="00DB3752">
      <w:rPr>
        <w:color w:val="404040" w:themeColor="text1" w:themeTint="BF"/>
        <w:sz w:val="18"/>
        <w:szCs w:val="18"/>
      </w:rPr>
      <w:t>3</w:t>
    </w:r>
    <w:r w:rsidR="1D3C86A6" w:rsidRPr="1D3C86A6">
      <w:rPr>
        <w:color w:val="404040" w:themeColor="text1" w:themeTint="BF"/>
        <w:sz w:val="18"/>
        <w:szCs w:val="18"/>
      </w:rPr>
      <w:t>-2</w:t>
    </w:r>
    <w:r w:rsidR="00DB3752">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429C"/>
    <w:multiLevelType w:val="hybridMultilevel"/>
    <w:tmpl w:val="FD1A992A"/>
    <w:lvl w:ilvl="0" w:tplc="91528CBE">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E75E7"/>
    <w:multiLevelType w:val="hybridMultilevel"/>
    <w:tmpl w:val="92626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567816">
    <w:abstractNumId w:val="3"/>
  </w:num>
  <w:num w:numId="2" w16cid:durableId="106975216">
    <w:abstractNumId w:val="1"/>
  </w:num>
  <w:num w:numId="3" w16cid:durableId="1809662398">
    <w:abstractNumId w:val="5"/>
  </w:num>
  <w:num w:numId="4" w16cid:durableId="955260955">
    <w:abstractNumId w:val="2"/>
  </w:num>
  <w:num w:numId="5" w16cid:durableId="1326276856">
    <w:abstractNumId w:val="4"/>
  </w:num>
  <w:num w:numId="6" w16cid:durableId="162820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2301"/>
    <w:rsid w:val="000412A0"/>
    <w:rsid w:val="00047DDA"/>
    <w:rsid w:val="0005455A"/>
    <w:rsid w:val="00057127"/>
    <w:rsid w:val="00061BE1"/>
    <w:rsid w:val="0006242F"/>
    <w:rsid w:val="00071F07"/>
    <w:rsid w:val="0007759D"/>
    <w:rsid w:val="000777AB"/>
    <w:rsid w:val="00077F46"/>
    <w:rsid w:val="00090FB1"/>
    <w:rsid w:val="00096186"/>
    <w:rsid w:val="000A72E4"/>
    <w:rsid w:val="000B0E2F"/>
    <w:rsid w:val="000B120F"/>
    <w:rsid w:val="000B2430"/>
    <w:rsid w:val="000C4E44"/>
    <w:rsid w:val="000D0B30"/>
    <w:rsid w:val="000E4B86"/>
    <w:rsid w:val="000F703E"/>
    <w:rsid w:val="00120E86"/>
    <w:rsid w:val="00125DE9"/>
    <w:rsid w:val="001267DF"/>
    <w:rsid w:val="00130C2C"/>
    <w:rsid w:val="001330A5"/>
    <w:rsid w:val="001332E0"/>
    <w:rsid w:val="00134DE7"/>
    <w:rsid w:val="001733B6"/>
    <w:rsid w:val="001736C7"/>
    <w:rsid w:val="00182210"/>
    <w:rsid w:val="00185354"/>
    <w:rsid w:val="001854DC"/>
    <w:rsid w:val="00186795"/>
    <w:rsid w:val="00194D09"/>
    <w:rsid w:val="001A7D5C"/>
    <w:rsid w:val="001B1D95"/>
    <w:rsid w:val="001B60AA"/>
    <w:rsid w:val="001B63C8"/>
    <w:rsid w:val="001C1972"/>
    <w:rsid w:val="001C421F"/>
    <w:rsid w:val="001D360D"/>
    <w:rsid w:val="001D5CC9"/>
    <w:rsid w:val="001E2575"/>
    <w:rsid w:val="00221C68"/>
    <w:rsid w:val="00231A54"/>
    <w:rsid w:val="00261A8D"/>
    <w:rsid w:val="00270441"/>
    <w:rsid w:val="00280922"/>
    <w:rsid w:val="00280C60"/>
    <w:rsid w:val="00283C1C"/>
    <w:rsid w:val="00291A00"/>
    <w:rsid w:val="00291A11"/>
    <w:rsid w:val="002A315C"/>
    <w:rsid w:val="002A3342"/>
    <w:rsid w:val="002A64BA"/>
    <w:rsid w:val="002B4989"/>
    <w:rsid w:val="002B719A"/>
    <w:rsid w:val="002C2510"/>
    <w:rsid w:val="002D714E"/>
    <w:rsid w:val="002E3BC3"/>
    <w:rsid w:val="002E53C3"/>
    <w:rsid w:val="002E601D"/>
    <w:rsid w:val="002F1468"/>
    <w:rsid w:val="002F4D2C"/>
    <w:rsid w:val="002F5F0C"/>
    <w:rsid w:val="002F6220"/>
    <w:rsid w:val="00304A0A"/>
    <w:rsid w:val="003265EB"/>
    <w:rsid w:val="00327B5C"/>
    <w:rsid w:val="003371DE"/>
    <w:rsid w:val="0034329E"/>
    <w:rsid w:val="00343422"/>
    <w:rsid w:val="00343FAA"/>
    <w:rsid w:val="003451A6"/>
    <w:rsid w:val="00347F5E"/>
    <w:rsid w:val="00353C98"/>
    <w:rsid w:val="00371A20"/>
    <w:rsid w:val="00372839"/>
    <w:rsid w:val="003821B4"/>
    <w:rsid w:val="00382CF3"/>
    <w:rsid w:val="00387D52"/>
    <w:rsid w:val="003911A8"/>
    <w:rsid w:val="003A7CEA"/>
    <w:rsid w:val="003C3C54"/>
    <w:rsid w:val="003C61E7"/>
    <w:rsid w:val="003E3613"/>
    <w:rsid w:val="003E761F"/>
    <w:rsid w:val="003F0BD3"/>
    <w:rsid w:val="003F278A"/>
    <w:rsid w:val="003F7A02"/>
    <w:rsid w:val="00400C8A"/>
    <w:rsid w:val="0041085B"/>
    <w:rsid w:val="00422EA5"/>
    <w:rsid w:val="00422EFA"/>
    <w:rsid w:val="0042791F"/>
    <w:rsid w:val="00442FAC"/>
    <w:rsid w:val="004456ED"/>
    <w:rsid w:val="004568BC"/>
    <w:rsid w:val="00461B0C"/>
    <w:rsid w:val="0048045A"/>
    <w:rsid w:val="004841B8"/>
    <w:rsid w:val="004930F2"/>
    <w:rsid w:val="004A6169"/>
    <w:rsid w:val="004B0F1C"/>
    <w:rsid w:val="004E386D"/>
    <w:rsid w:val="004E548E"/>
    <w:rsid w:val="004F2EE6"/>
    <w:rsid w:val="004F333C"/>
    <w:rsid w:val="00502DBA"/>
    <w:rsid w:val="005040C4"/>
    <w:rsid w:val="00507637"/>
    <w:rsid w:val="00507852"/>
    <w:rsid w:val="0051067F"/>
    <w:rsid w:val="00510876"/>
    <w:rsid w:val="00514DBF"/>
    <w:rsid w:val="00550921"/>
    <w:rsid w:val="00556289"/>
    <w:rsid w:val="00563712"/>
    <w:rsid w:val="005735D5"/>
    <w:rsid w:val="00573631"/>
    <w:rsid w:val="00573C0B"/>
    <w:rsid w:val="00575427"/>
    <w:rsid w:val="00576CFA"/>
    <w:rsid w:val="005813B1"/>
    <w:rsid w:val="0058505E"/>
    <w:rsid w:val="0058556D"/>
    <w:rsid w:val="00592AF2"/>
    <w:rsid w:val="005947AD"/>
    <w:rsid w:val="00596187"/>
    <w:rsid w:val="00597748"/>
    <w:rsid w:val="005979E8"/>
    <w:rsid w:val="005C00BE"/>
    <w:rsid w:val="005C5227"/>
    <w:rsid w:val="005D0AF4"/>
    <w:rsid w:val="005D7342"/>
    <w:rsid w:val="005E54BD"/>
    <w:rsid w:val="005F3747"/>
    <w:rsid w:val="005F6CCA"/>
    <w:rsid w:val="006104AF"/>
    <w:rsid w:val="00621893"/>
    <w:rsid w:val="006351E1"/>
    <w:rsid w:val="00641081"/>
    <w:rsid w:val="006447B1"/>
    <w:rsid w:val="00657114"/>
    <w:rsid w:val="00662775"/>
    <w:rsid w:val="006642DB"/>
    <w:rsid w:val="00682FE7"/>
    <w:rsid w:val="006852FC"/>
    <w:rsid w:val="006B40AB"/>
    <w:rsid w:val="006B5DC5"/>
    <w:rsid w:val="006C4BFD"/>
    <w:rsid w:val="006C7D30"/>
    <w:rsid w:val="006D41D9"/>
    <w:rsid w:val="006E3C08"/>
    <w:rsid w:val="006E7C14"/>
    <w:rsid w:val="006F15C6"/>
    <w:rsid w:val="006F277C"/>
    <w:rsid w:val="00700ACF"/>
    <w:rsid w:val="0070267B"/>
    <w:rsid w:val="00712487"/>
    <w:rsid w:val="00723D16"/>
    <w:rsid w:val="007530CA"/>
    <w:rsid w:val="00753E73"/>
    <w:rsid w:val="00753FED"/>
    <w:rsid w:val="007578D9"/>
    <w:rsid w:val="00757E8A"/>
    <w:rsid w:val="00763E43"/>
    <w:rsid w:val="00764EB5"/>
    <w:rsid w:val="00774AC9"/>
    <w:rsid w:val="00777A95"/>
    <w:rsid w:val="00782416"/>
    <w:rsid w:val="00786218"/>
    <w:rsid w:val="007946BD"/>
    <w:rsid w:val="007A2D94"/>
    <w:rsid w:val="007B0364"/>
    <w:rsid w:val="007D0981"/>
    <w:rsid w:val="007D1327"/>
    <w:rsid w:val="007D1929"/>
    <w:rsid w:val="007F025B"/>
    <w:rsid w:val="00803CF1"/>
    <w:rsid w:val="008104BB"/>
    <w:rsid w:val="008249C5"/>
    <w:rsid w:val="00824C93"/>
    <w:rsid w:val="008446FF"/>
    <w:rsid w:val="00847F27"/>
    <w:rsid w:val="008526F9"/>
    <w:rsid w:val="0085285E"/>
    <w:rsid w:val="00853023"/>
    <w:rsid w:val="008534D4"/>
    <w:rsid w:val="0086269D"/>
    <w:rsid w:val="00863820"/>
    <w:rsid w:val="00865E62"/>
    <w:rsid w:val="008731FD"/>
    <w:rsid w:val="008815D8"/>
    <w:rsid w:val="00881E28"/>
    <w:rsid w:val="00894C4B"/>
    <w:rsid w:val="008A12E3"/>
    <w:rsid w:val="008A42FA"/>
    <w:rsid w:val="008B0AC7"/>
    <w:rsid w:val="008B3B60"/>
    <w:rsid w:val="008C1B07"/>
    <w:rsid w:val="008C2335"/>
    <w:rsid w:val="008C67C1"/>
    <w:rsid w:val="008C79B9"/>
    <w:rsid w:val="008D1D39"/>
    <w:rsid w:val="008D78A3"/>
    <w:rsid w:val="008F07D2"/>
    <w:rsid w:val="008F6494"/>
    <w:rsid w:val="00917851"/>
    <w:rsid w:val="00917F65"/>
    <w:rsid w:val="00926665"/>
    <w:rsid w:val="009311E7"/>
    <w:rsid w:val="00932CAC"/>
    <w:rsid w:val="0093342B"/>
    <w:rsid w:val="00942694"/>
    <w:rsid w:val="00963F99"/>
    <w:rsid w:val="00987D5F"/>
    <w:rsid w:val="00990CD5"/>
    <w:rsid w:val="009A7E3A"/>
    <w:rsid w:val="009B1265"/>
    <w:rsid w:val="009B4A15"/>
    <w:rsid w:val="009B5693"/>
    <w:rsid w:val="009C2CE4"/>
    <w:rsid w:val="009C4347"/>
    <w:rsid w:val="009C61A2"/>
    <w:rsid w:val="009C78E4"/>
    <w:rsid w:val="009D002C"/>
    <w:rsid w:val="009D687E"/>
    <w:rsid w:val="009E185C"/>
    <w:rsid w:val="009F115B"/>
    <w:rsid w:val="009F497C"/>
    <w:rsid w:val="009F64F8"/>
    <w:rsid w:val="009F6DE7"/>
    <w:rsid w:val="00A011EE"/>
    <w:rsid w:val="00A055D6"/>
    <w:rsid w:val="00A10583"/>
    <w:rsid w:val="00A11917"/>
    <w:rsid w:val="00A21090"/>
    <w:rsid w:val="00A37FCB"/>
    <w:rsid w:val="00A41CE3"/>
    <w:rsid w:val="00A54863"/>
    <w:rsid w:val="00A61D74"/>
    <w:rsid w:val="00A631D3"/>
    <w:rsid w:val="00A64336"/>
    <w:rsid w:val="00A717FB"/>
    <w:rsid w:val="00A8688B"/>
    <w:rsid w:val="00A902D7"/>
    <w:rsid w:val="00A91163"/>
    <w:rsid w:val="00A9286F"/>
    <w:rsid w:val="00A95912"/>
    <w:rsid w:val="00A96255"/>
    <w:rsid w:val="00AA3CF0"/>
    <w:rsid w:val="00AB0822"/>
    <w:rsid w:val="00AB285B"/>
    <w:rsid w:val="00AE6A62"/>
    <w:rsid w:val="00AF5552"/>
    <w:rsid w:val="00AF5CB4"/>
    <w:rsid w:val="00AF5ED1"/>
    <w:rsid w:val="00AF71D6"/>
    <w:rsid w:val="00B22BDC"/>
    <w:rsid w:val="00B23360"/>
    <w:rsid w:val="00B3175F"/>
    <w:rsid w:val="00B31E2C"/>
    <w:rsid w:val="00B329B0"/>
    <w:rsid w:val="00B36736"/>
    <w:rsid w:val="00B402D8"/>
    <w:rsid w:val="00B4237C"/>
    <w:rsid w:val="00B42FE8"/>
    <w:rsid w:val="00B52AFD"/>
    <w:rsid w:val="00B54077"/>
    <w:rsid w:val="00B63A5F"/>
    <w:rsid w:val="00B80260"/>
    <w:rsid w:val="00B8087E"/>
    <w:rsid w:val="00B87544"/>
    <w:rsid w:val="00BB2407"/>
    <w:rsid w:val="00BB646E"/>
    <w:rsid w:val="00BD1BA1"/>
    <w:rsid w:val="00BD1BDC"/>
    <w:rsid w:val="00BE249E"/>
    <w:rsid w:val="00BE268F"/>
    <w:rsid w:val="00C175D4"/>
    <w:rsid w:val="00C22975"/>
    <w:rsid w:val="00C35BC4"/>
    <w:rsid w:val="00C42021"/>
    <w:rsid w:val="00C42029"/>
    <w:rsid w:val="00C43F5B"/>
    <w:rsid w:val="00C442D4"/>
    <w:rsid w:val="00C44696"/>
    <w:rsid w:val="00C542BE"/>
    <w:rsid w:val="00C763EB"/>
    <w:rsid w:val="00C77271"/>
    <w:rsid w:val="00CA3F8A"/>
    <w:rsid w:val="00CB349F"/>
    <w:rsid w:val="00CB3894"/>
    <w:rsid w:val="00CB4371"/>
    <w:rsid w:val="00CC460F"/>
    <w:rsid w:val="00CC516D"/>
    <w:rsid w:val="00CC6A27"/>
    <w:rsid w:val="00CE6F10"/>
    <w:rsid w:val="00CF1022"/>
    <w:rsid w:val="00CF2343"/>
    <w:rsid w:val="00D13DA6"/>
    <w:rsid w:val="00D161EE"/>
    <w:rsid w:val="00D24330"/>
    <w:rsid w:val="00D306F0"/>
    <w:rsid w:val="00D40056"/>
    <w:rsid w:val="00D54F29"/>
    <w:rsid w:val="00D70AD9"/>
    <w:rsid w:val="00D72152"/>
    <w:rsid w:val="00D8256B"/>
    <w:rsid w:val="00D87977"/>
    <w:rsid w:val="00D94BA5"/>
    <w:rsid w:val="00D9510F"/>
    <w:rsid w:val="00DA615C"/>
    <w:rsid w:val="00DA62D7"/>
    <w:rsid w:val="00DA75FC"/>
    <w:rsid w:val="00DB3752"/>
    <w:rsid w:val="00DD1BC6"/>
    <w:rsid w:val="00DE5DC3"/>
    <w:rsid w:val="00E00D8A"/>
    <w:rsid w:val="00E1050F"/>
    <w:rsid w:val="00E11604"/>
    <w:rsid w:val="00E11D92"/>
    <w:rsid w:val="00E130A0"/>
    <w:rsid w:val="00E210C4"/>
    <w:rsid w:val="00E23DB7"/>
    <w:rsid w:val="00E32B21"/>
    <w:rsid w:val="00E46D96"/>
    <w:rsid w:val="00E52CCA"/>
    <w:rsid w:val="00E66409"/>
    <w:rsid w:val="00E72ED6"/>
    <w:rsid w:val="00E81D5B"/>
    <w:rsid w:val="00E918C1"/>
    <w:rsid w:val="00E976B9"/>
    <w:rsid w:val="00EA05D3"/>
    <w:rsid w:val="00EB19AD"/>
    <w:rsid w:val="00EB2F31"/>
    <w:rsid w:val="00EB6493"/>
    <w:rsid w:val="00EC01C0"/>
    <w:rsid w:val="00EC2915"/>
    <w:rsid w:val="00EC64C2"/>
    <w:rsid w:val="00ED05A9"/>
    <w:rsid w:val="00ED1BA0"/>
    <w:rsid w:val="00EE2930"/>
    <w:rsid w:val="00F17257"/>
    <w:rsid w:val="00F34D24"/>
    <w:rsid w:val="00F4130B"/>
    <w:rsid w:val="00F556A2"/>
    <w:rsid w:val="00F60741"/>
    <w:rsid w:val="00F719A8"/>
    <w:rsid w:val="00F878B9"/>
    <w:rsid w:val="00FB24E8"/>
    <w:rsid w:val="00FB3B2B"/>
    <w:rsid w:val="00FB77D2"/>
    <w:rsid w:val="00FC12EF"/>
    <w:rsid w:val="00FC18DA"/>
    <w:rsid w:val="00FC1C20"/>
    <w:rsid w:val="00FC3917"/>
    <w:rsid w:val="00FC7C71"/>
    <w:rsid w:val="00FD13EE"/>
    <w:rsid w:val="00FD60DA"/>
    <w:rsid w:val="00FD6180"/>
    <w:rsid w:val="00FD777C"/>
    <w:rsid w:val="00FE1364"/>
    <w:rsid w:val="00FE32D9"/>
    <w:rsid w:val="00FF07B4"/>
    <w:rsid w:val="01664437"/>
    <w:rsid w:val="06566BE8"/>
    <w:rsid w:val="06E9B04E"/>
    <w:rsid w:val="06F69831"/>
    <w:rsid w:val="0C87627D"/>
    <w:rsid w:val="0C9E404E"/>
    <w:rsid w:val="0DE1AB9F"/>
    <w:rsid w:val="16D1DA77"/>
    <w:rsid w:val="1721FC54"/>
    <w:rsid w:val="182943FA"/>
    <w:rsid w:val="1D3C86A6"/>
    <w:rsid w:val="1EFA4834"/>
    <w:rsid w:val="1F55CE31"/>
    <w:rsid w:val="25324341"/>
    <w:rsid w:val="2DE5864C"/>
    <w:rsid w:val="3109E23C"/>
    <w:rsid w:val="346E57A4"/>
    <w:rsid w:val="395A70EF"/>
    <w:rsid w:val="3B3B7F51"/>
    <w:rsid w:val="3EE349CE"/>
    <w:rsid w:val="419C8379"/>
    <w:rsid w:val="41B220E8"/>
    <w:rsid w:val="4229EB4D"/>
    <w:rsid w:val="4275C6D5"/>
    <w:rsid w:val="461E7F36"/>
    <w:rsid w:val="4B53AFF2"/>
    <w:rsid w:val="4C3C4CB9"/>
    <w:rsid w:val="4CA17972"/>
    <w:rsid w:val="4DC67814"/>
    <w:rsid w:val="53D930C4"/>
    <w:rsid w:val="55665812"/>
    <w:rsid w:val="55B5BE16"/>
    <w:rsid w:val="562B779C"/>
    <w:rsid w:val="58CF7C7F"/>
    <w:rsid w:val="605A311A"/>
    <w:rsid w:val="63499D5B"/>
    <w:rsid w:val="680287A5"/>
    <w:rsid w:val="6C930566"/>
    <w:rsid w:val="6DA0AF8A"/>
    <w:rsid w:val="6E3552D6"/>
    <w:rsid w:val="6E3F99E3"/>
    <w:rsid w:val="718D2BFF"/>
    <w:rsid w:val="75445B80"/>
    <w:rsid w:val="7A3596BC"/>
    <w:rsid w:val="7A557B3C"/>
    <w:rsid w:val="7F39E2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E37A350F-791A-C241-85D5-9E5A644D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5">
    <w:name w:val="heading 5"/>
    <w:basedOn w:val="Normal"/>
    <w:next w:val="Normal"/>
    <w:link w:val="Heading5Char"/>
    <w:uiPriority w:val="9"/>
    <w:semiHidden/>
    <w:unhideWhenUsed/>
    <w:qFormat/>
    <w:rsid w:val="003911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 w:type="paragraph" w:styleId="FootnoteText">
    <w:name w:val="footnote text"/>
    <w:basedOn w:val="Normal"/>
    <w:link w:val="FootnoteTextChar"/>
    <w:uiPriority w:val="99"/>
    <w:semiHidden/>
    <w:unhideWhenUsed/>
    <w:rsid w:val="00963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F99"/>
    <w:rPr>
      <w:sz w:val="20"/>
      <w:szCs w:val="20"/>
    </w:rPr>
  </w:style>
  <w:style w:type="character" w:styleId="FootnoteReference">
    <w:name w:val="footnote reference"/>
    <w:basedOn w:val="DefaultParagraphFont"/>
    <w:uiPriority w:val="99"/>
    <w:semiHidden/>
    <w:unhideWhenUsed/>
    <w:rsid w:val="00963F99"/>
    <w:rPr>
      <w:vertAlign w:val="superscript"/>
    </w:rPr>
  </w:style>
  <w:style w:type="character" w:customStyle="1" w:styleId="Heading5Char">
    <w:name w:val="Heading 5 Char"/>
    <w:basedOn w:val="DefaultParagraphFont"/>
    <w:link w:val="Heading5"/>
    <w:uiPriority w:val="9"/>
    <w:semiHidden/>
    <w:rsid w:val="003911A8"/>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8446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5322">
      <w:bodyDiv w:val="1"/>
      <w:marLeft w:val="0"/>
      <w:marRight w:val="0"/>
      <w:marTop w:val="0"/>
      <w:marBottom w:val="0"/>
      <w:divBdr>
        <w:top w:val="none" w:sz="0" w:space="0" w:color="auto"/>
        <w:left w:val="none" w:sz="0" w:space="0" w:color="auto"/>
        <w:bottom w:val="none" w:sz="0" w:space="0" w:color="auto"/>
        <w:right w:val="none" w:sz="0" w:space="0" w:color="auto"/>
      </w:divBdr>
      <w:divsChild>
        <w:div w:id="86578174">
          <w:marLeft w:val="0"/>
          <w:marRight w:val="0"/>
          <w:marTop w:val="0"/>
          <w:marBottom w:val="0"/>
          <w:divBdr>
            <w:top w:val="none" w:sz="0" w:space="0" w:color="auto"/>
            <w:left w:val="none" w:sz="0" w:space="0" w:color="auto"/>
            <w:bottom w:val="none" w:sz="0" w:space="0" w:color="auto"/>
            <w:right w:val="none" w:sz="0" w:space="0" w:color="auto"/>
          </w:divBdr>
          <w:divsChild>
            <w:div w:id="1289630243">
              <w:marLeft w:val="0"/>
              <w:marRight w:val="0"/>
              <w:marTop w:val="0"/>
              <w:marBottom w:val="0"/>
              <w:divBdr>
                <w:top w:val="none" w:sz="0" w:space="0" w:color="auto"/>
                <w:left w:val="none" w:sz="0" w:space="0" w:color="auto"/>
                <w:bottom w:val="none" w:sz="0" w:space="0" w:color="auto"/>
                <w:right w:val="none" w:sz="0" w:space="0" w:color="auto"/>
              </w:divBdr>
            </w:div>
          </w:divsChild>
        </w:div>
        <w:div w:id="125591392">
          <w:marLeft w:val="0"/>
          <w:marRight w:val="0"/>
          <w:marTop w:val="0"/>
          <w:marBottom w:val="0"/>
          <w:divBdr>
            <w:top w:val="none" w:sz="0" w:space="0" w:color="auto"/>
            <w:left w:val="none" w:sz="0" w:space="0" w:color="auto"/>
            <w:bottom w:val="none" w:sz="0" w:space="0" w:color="auto"/>
            <w:right w:val="none" w:sz="0" w:space="0" w:color="auto"/>
          </w:divBdr>
          <w:divsChild>
            <w:div w:id="900946784">
              <w:marLeft w:val="0"/>
              <w:marRight w:val="0"/>
              <w:marTop w:val="0"/>
              <w:marBottom w:val="0"/>
              <w:divBdr>
                <w:top w:val="none" w:sz="0" w:space="0" w:color="auto"/>
                <w:left w:val="none" w:sz="0" w:space="0" w:color="auto"/>
                <w:bottom w:val="none" w:sz="0" w:space="0" w:color="auto"/>
                <w:right w:val="none" w:sz="0" w:space="0" w:color="auto"/>
              </w:divBdr>
            </w:div>
          </w:divsChild>
        </w:div>
        <w:div w:id="126897047">
          <w:marLeft w:val="0"/>
          <w:marRight w:val="0"/>
          <w:marTop w:val="0"/>
          <w:marBottom w:val="0"/>
          <w:divBdr>
            <w:top w:val="none" w:sz="0" w:space="0" w:color="auto"/>
            <w:left w:val="none" w:sz="0" w:space="0" w:color="auto"/>
            <w:bottom w:val="none" w:sz="0" w:space="0" w:color="auto"/>
            <w:right w:val="none" w:sz="0" w:space="0" w:color="auto"/>
          </w:divBdr>
          <w:divsChild>
            <w:div w:id="2041784249">
              <w:marLeft w:val="0"/>
              <w:marRight w:val="0"/>
              <w:marTop w:val="0"/>
              <w:marBottom w:val="0"/>
              <w:divBdr>
                <w:top w:val="none" w:sz="0" w:space="0" w:color="auto"/>
                <w:left w:val="none" w:sz="0" w:space="0" w:color="auto"/>
                <w:bottom w:val="none" w:sz="0" w:space="0" w:color="auto"/>
                <w:right w:val="none" w:sz="0" w:space="0" w:color="auto"/>
              </w:divBdr>
            </w:div>
          </w:divsChild>
        </w:div>
        <w:div w:id="243342404">
          <w:marLeft w:val="0"/>
          <w:marRight w:val="0"/>
          <w:marTop w:val="0"/>
          <w:marBottom w:val="0"/>
          <w:divBdr>
            <w:top w:val="none" w:sz="0" w:space="0" w:color="auto"/>
            <w:left w:val="none" w:sz="0" w:space="0" w:color="auto"/>
            <w:bottom w:val="none" w:sz="0" w:space="0" w:color="auto"/>
            <w:right w:val="none" w:sz="0" w:space="0" w:color="auto"/>
          </w:divBdr>
          <w:divsChild>
            <w:div w:id="1793358537">
              <w:marLeft w:val="0"/>
              <w:marRight w:val="0"/>
              <w:marTop w:val="0"/>
              <w:marBottom w:val="0"/>
              <w:divBdr>
                <w:top w:val="none" w:sz="0" w:space="0" w:color="auto"/>
                <w:left w:val="none" w:sz="0" w:space="0" w:color="auto"/>
                <w:bottom w:val="none" w:sz="0" w:space="0" w:color="auto"/>
                <w:right w:val="none" w:sz="0" w:space="0" w:color="auto"/>
              </w:divBdr>
            </w:div>
          </w:divsChild>
        </w:div>
        <w:div w:id="312948034">
          <w:marLeft w:val="0"/>
          <w:marRight w:val="0"/>
          <w:marTop w:val="0"/>
          <w:marBottom w:val="0"/>
          <w:divBdr>
            <w:top w:val="none" w:sz="0" w:space="0" w:color="auto"/>
            <w:left w:val="none" w:sz="0" w:space="0" w:color="auto"/>
            <w:bottom w:val="none" w:sz="0" w:space="0" w:color="auto"/>
            <w:right w:val="none" w:sz="0" w:space="0" w:color="auto"/>
          </w:divBdr>
          <w:divsChild>
            <w:div w:id="196505435">
              <w:marLeft w:val="0"/>
              <w:marRight w:val="0"/>
              <w:marTop w:val="0"/>
              <w:marBottom w:val="0"/>
              <w:divBdr>
                <w:top w:val="none" w:sz="0" w:space="0" w:color="auto"/>
                <w:left w:val="none" w:sz="0" w:space="0" w:color="auto"/>
                <w:bottom w:val="none" w:sz="0" w:space="0" w:color="auto"/>
                <w:right w:val="none" w:sz="0" w:space="0" w:color="auto"/>
              </w:divBdr>
            </w:div>
          </w:divsChild>
        </w:div>
        <w:div w:id="338123071">
          <w:marLeft w:val="0"/>
          <w:marRight w:val="0"/>
          <w:marTop w:val="0"/>
          <w:marBottom w:val="0"/>
          <w:divBdr>
            <w:top w:val="none" w:sz="0" w:space="0" w:color="auto"/>
            <w:left w:val="none" w:sz="0" w:space="0" w:color="auto"/>
            <w:bottom w:val="none" w:sz="0" w:space="0" w:color="auto"/>
            <w:right w:val="none" w:sz="0" w:space="0" w:color="auto"/>
          </w:divBdr>
          <w:divsChild>
            <w:div w:id="1720131153">
              <w:marLeft w:val="0"/>
              <w:marRight w:val="0"/>
              <w:marTop w:val="0"/>
              <w:marBottom w:val="0"/>
              <w:divBdr>
                <w:top w:val="none" w:sz="0" w:space="0" w:color="auto"/>
                <w:left w:val="none" w:sz="0" w:space="0" w:color="auto"/>
                <w:bottom w:val="none" w:sz="0" w:space="0" w:color="auto"/>
                <w:right w:val="none" w:sz="0" w:space="0" w:color="auto"/>
              </w:divBdr>
            </w:div>
          </w:divsChild>
        </w:div>
        <w:div w:id="414010166">
          <w:marLeft w:val="0"/>
          <w:marRight w:val="0"/>
          <w:marTop w:val="0"/>
          <w:marBottom w:val="0"/>
          <w:divBdr>
            <w:top w:val="none" w:sz="0" w:space="0" w:color="auto"/>
            <w:left w:val="none" w:sz="0" w:space="0" w:color="auto"/>
            <w:bottom w:val="none" w:sz="0" w:space="0" w:color="auto"/>
            <w:right w:val="none" w:sz="0" w:space="0" w:color="auto"/>
          </w:divBdr>
          <w:divsChild>
            <w:div w:id="1242373756">
              <w:marLeft w:val="0"/>
              <w:marRight w:val="0"/>
              <w:marTop w:val="0"/>
              <w:marBottom w:val="0"/>
              <w:divBdr>
                <w:top w:val="none" w:sz="0" w:space="0" w:color="auto"/>
                <w:left w:val="none" w:sz="0" w:space="0" w:color="auto"/>
                <w:bottom w:val="none" w:sz="0" w:space="0" w:color="auto"/>
                <w:right w:val="none" w:sz="0" w:space="0" w:color="auto"/>
              </w:divBdr>
            </w:div>
          </w:divsChild>
        </w:div>
        <w:div w:id="521553975">
          <w:marLeft w:val="0"/>
          <w:marRight w:val="0"/>
          <w:marTop w:val="0"/>
          <w:marBottom w:val="0"/>
          <w:divBdr>
            <w:top w:val="none" w:sz="0" w:space="0" w:color="auto"/>
            <w:left w:val="none" w:sz="0" w:space="0" w:color="auto"/>
            <w:bottom w:val="none" w:sz="0" w:space="0" w:color="auto"/>
            <w:right w:val="none" w:sz="0" w:space="0" w:color="auto"/>
          </w:divBdr>
          <w:divsChild>
            <w:div w:id="1743135030">
              <w:marLeft w:val="0"/>
              <w:marRight w:val="0"/>
              <w:marTop w:val="0"/>
              <w:marBottom w:val="0"/>
              <w:divBdr>
                <w:top w:val="none" w:sz="0" w:space="0" w:color="auto"/>
                <w:left w:val="none" w:sz="0" w:space="0" w:color="auto"/>
                <w:bottom w:val="none" w:sz="0" w:space="0" w:color="auto"/>
                <w:right w:val="none" w:sz="0" w:space="0" w:color="auto"/>
              </w:divBdr>
            </w:div>
          </w:divsChild>
        </w:div>
        <w:div w:id="550309352">
          <w:marLeft w:val="0"/>
          <w:marRight w:val="0"/>
          <w:marTop w:val="0"/>
          <w:marBottom w:val="0"/>
          <w:divBdr>
            <w:top w:val="none" w:sz="0" w:space="0" w:color="auto"/>
            <w:left w:val="none" w:sz="0" w:space="0" w:color="auto"/>
            <w:bottom w:val="none" w:sz="0" w:space="0" w:color="auto"/>
            <w:right w:val="none" w:sz="0" w:space="0" w:color="auto"/>
          </w:divBdr>
          <w:divsChild>
            <w:div w:id="1610966851">
              <w:marLeft w:val="0"/>
              <w:marRight w:val="0"/>
              <w:marTop w:val="0"/>
              <w:marBottom w:val="0"/>
              <w:divBdr>
                <w:top w:val="none" w:sz="0" w:space="0" w:color="auto"/>
                <w:left w:val="none" w:sz="0" w:space="0" w:color="auto"/>
                <w:bottom w:val="none" w:sz="0" w:space="0" w:color="auto"/>
                <w:right w:val="none" w:sz="0" w:space="0" w:color="auto"/>
              </w:divBdr>
            </w:div>
          </w:divsChild>
        </w:div>
        <w:div w:id="577634894">
          <w:marLeft w:val="0"/>
          <w:marRight w:val="0"/>
          <w:marTop w:val="0"/>
          <w:marBottom w:val="0"/>
          <w:divBdr>
            <w:top w:val="none" w:sz="0" w:space="0" w:color="auto"/>
            <w:left w:val="none" w:sz="0" w:space="0" w:color="auto"/>
            <w:bottom w:val="none" w:sz="0" w:space="0" w:color="auto"/>
            <w:right w:val="none" w:sz="0" w:space="0" w:color="auto"/>
          </w:divBdr>
          <w:divsChild>
            <w:div w:id="1593732882">
              <w:marLeft w:val="0"/>
              <w:marRight w:val="0"/>
              <w:marTop w:val="0"/>
              <w:marBottom w:val="0"/>
              <w:divBdr>
                <w:top w:val="none" w:sz="0" w:space="0" w:color="auto"/>
                <w:left w:val="none" w:sz="0" w:space="0" w:color="auto"/>
                <w:bottom w:val="none" w:sz="0" w:space="0" w:color="auto"/>
                <w:right w:val="none" w:sz="0" w:space="0" w:color="auto"/>
              </w:divBdr>
            </w:div>
          </w:divsChild>
        </w:div>
        <w:div w:id="713777978">
          <w:marLeft w:val="0"/>
          <w:marRight w:val="0"/>
          <w:marTop w:val="0"/>
          <w:marBottom w:val="0"/>
          <w:divBdr>
            <w:top w:val="none" w:sz="0" w:space="0" w:color="auto"/>
            <w:left w:val="none" w:sz="0" w:space="0" w:color="auto"/>
            <w:bottom w:val="none" w:sz="0" w:space="0" w:color="auto"/>
            <w:right w:val="none" w:sz="0" w:space="0" w:color="auto"/>
          </w:divBdr>
          <w:divsChild>
            <w:div w:id="987825911">
              <w:marLeft w:val="0"/>
              <w:marRight w:val="0"/>
              <w:marTop w:val="0"/>
              <w:marBottom w:val="0"/>
              <w:divBdr>
                <w:top w:val="none" w:sz="0" w:space="0" w:color="auto"/>
                <w:left w:val="none" w:sz="0" w:space="0" w:color="auto"/>
                <w:bottom w:val="none" w:sz="0" w:space="0" w:color="auto"/>
                <w:right w:val="none" w:sz="0" w:space="0" w:color="auto"/>
              </w:divBdr>
            </w:div>
          </w:divsChild>
        </w:div>
        <w:div w:id="775099879">
          <w:marLeft w:val="0"/>
          <w:marRight w:val="0"/>
          <w:marTop w:val="0"/>
          <w:marBottom w:val="0"/>
          <w:divBdr>
            <w:top w:val="none" w:sz="0" w:space="0" w:color="auto"/>
            <w:left w:val="none" w:sz="0" w:space="0" w:color="auto"/>
            <w:bottom w:val="none" w:sz="0" w:space="0" w:color="auto"/>
            <w:right w:val="none" w:sz="0" w:space="0" w:color="auto"/>
          </w:divBdr>
          <w:divsChild>
            <w:div w:id="1559439167">
              <w:marLeft w:val="0"/>
              <w:marRight w:val="0"/>
              <w:marTop w:val="0"/>
              <w:marBottom w:val="0"/>
              <w:divBdr>
                <w:top w:val="none" w:sz="0" w:space="0" w:color="auto"/>
                <w:left w:val="none" w:sz="0" w:space="0" w:color="auto"/>
                <w:bottom w:val="none" w:sz="0" w:space="0" w:color="auto"/>
                <w:right w:val="none" w:sz="0" w:space="0" w:color="auto"/>
              </w:divBdr>
            </w:div>
          </w:divsChild>
        </w:div>
        <w:div w:id="811362467">
          <w:marLeft w:val="0"/>
          <w:marRight w:val="0"/>
          <w:marTop w:val="0"/>
          <w:marBottom w:val="0"/>
          <w:divBdr>
            <w:top w:val="none" w:sz="0" w:space="0" w:color="auto"/>
            <w:left w:val="none" w:sz="0" w:space="0" w:color="auto"/>
            <w:bottom w:val="none" w:sz="0" w:space="0" w:color="auto"/>
            <w:right w:val="none" w:sz="0" w:space="0" w:color="auto"/>
          </w:divBdr>
          <w:divsChild>
            <w:div w:id="1020009171">
              <w:marLeft w:val="0"/>
              <w:marRight w:val="0"/>
              <w:marTop w:val="0"/>
              <w:marBottom w:val="0"/>
              <w:divBdr>
                <w:top w:val="none" w:sz="0" w:space="0" w:color="auto"/>
                <w:left w:val="none" w:sz="0" w:space="0" w:color="auto"/>
                <w:bottom w:val="none" w:sz="0" w:space="0" w:color="auto"/>
                <w:right w:val="none" w:sz="0" w:space="0" w:color="auto"/>
              </w:divBdr>
            </w:div>
          </w:divsChild>
        </w:div>
        <w:div w:id="986402429">
          <w:marLeft w:val="0"/>
          <w:marRight w:val="0"/>
          <w:marTop w:val="0"/>
          <w:marBottom w:val="0"/>
          <w:divBdr>
            <w:top w:val="none" w:sz="0" w:space="0" w:color="auto"/>
            <w:left w:val="none" w:sz="0" w:space="0" w:color="auto"/>
            <w:bottom w:val="none" w:sz="0" w:space="0" w:color="auto"/>
            <w:right w:val="none" w:sz="0" w:space="0" w:color="auto"/>
          </w:divBdr>
          <w:divsChild>
            <w:div w:id="1097293538">
              <w:marLeft w:val="0"/>
              <w:marRight w:val="0"/>
              <w:marTop w:val="0"/>
              <w:marBottom w:val="0"/>
              <w:divBdr>
                <w:top w:val="none" w:sz="0" w:space="0" w:color="auto"/>
                <w:left w:val="none" w:sz="0" w:space="0" w:color="auto"/>
                <w:bottom w:val="none" w:sz="0" w:space="0" w:color="auto"/>
                <w:right w:val="none" w:sz="0" w:space="0" w:color="auto"/>
              </w:divBdr>
            </w:div>
          </w:divsChild>
        </w:div>
        <w:div w:id="1005937048">
          <w:marLeft w:val="0"/>
          <w:marRight w:val="0"/>
          <w:marTop w:val="0"/>
          <w:marBottom w:val="0"/>
          <w:divBdr>
            <w:top w:val="none" w:sz="0" w:space="0" w:color="auto"/>
            <w:left w:val="none" w:sz="0" w:space="0" w:color="auto"/>
            <w:bottom w:val="none" w:sz="0" w:space="0" w:color="auto"/>
            <w:right w:val="none" w:sz="0" w:space="0" w:color="auto"/>
          </w:divBdr>
          <w:divsChild>
            <w:div w:id="239757104">
              <w:marLeft w:val="0"/>
              <w:marRight w:val="0"/>
              <w:marTop w:val="0"/>
              <w:marBottom w:val="0"/>
              <w:divBdr>
                <w:top w:val="none" w:sz="0" w:space="0" w:color="auto"/>
                <w:left w:val="none" w:sz="0" w:space="0" w:color="auto"/>
                <w:bottom w:val="none" w:sz="0" w:space="0" w:color="auto"/>
                <w:right w:val="none" w:sz="0" w:space="0" w:color="auto"/>
              </w:divBdr>
            </w:div>
          </w:divsChild>
        </w:div>
        <w:div w:id="1086267698">
          <w:marLeft w:val="0"/>
          <w:marRight w:val="0"/>
          <w:marTop w:val="0"/>
          <w:marBottom w:val="0"/>
          <w:divBdr>
            <w:top w:val="none" w:sz="0" w:space="0" w:color="auto"/>
            <w:left w:val="none" w:sz="0" w:space="0" w:color="auto"/>
            <w:bottom w:val="none" w:sz="0" w:space="0" w:color="auto"/>
            <w:right w:val="none" w:sz="0" w:space="0" w:color="auto"/>
          </w:divBdr>
          <w:divsChild>
            <w:div w:id="539560589">
              <w:marLeft w:val="0"/>
              <w:marRight w:val="0"/>
              <w:marTop w:val="0"/>
              <w:marBottom w:val="0"/>
              <w:divBdr>
                <w:top w:val="none" w:sz="0" w:space="0" w:color="auto"/>
                <w:left w:val="none" w:sz="0" w:space="0" w:color="auto"/>
                <w:bottom w:val="none" w:sz="0" w:space="0" w:color="auto"/>
                <w:right w:val="none" w:sz="0" w:space="0" w:color="auto"/>
              </w:divBdr>
            </w:div>
          </w:divsChild>
        </w:div>
        <w:div w:id="1093431969">
          <w:marLeft w:val="0"/>
          <w:marRight w:val="0"/>
          <w:marTop w:val="0"/>
          <w:marBottom w:val="0"/>
          <w:divBdr>
            <w:top w:val="none" w:sz="0" w:space="0" w:color="auto"/>
            <w:left w:val="none" w:sz="0" w:space="0" w:color="auto"/>
            <w:bottom w:val="none" w:sz="0" w:space="0" w:color="auto"/>
            <w:right w:val="none" w:sz="0" w:space="0" w:color="auto"/>
          </w:divBdr>
          <w:divsChild>
            <w:div w:id="25257724">
              <w:marLeft w:val="0"/>
              <w:marRight w:val="0"/>
              <w:marTop w:val="0"/>
              <w:marBottom w:val="0"/>
              <w:divBdr>
                <w:top w:val="none" w:sz="0" w:space="0" w:color="auto"/>
                <w:left w:val="none" w:sz="0" w:space="0" w:color="auto"/>
                <w:bottom w:val="none" w:sz="0" w:space="0" w:color="auto"/>
                <w:right w:val="none" w:sz="0" w:space="0" w:color="auto"/>
              </w:divBdr>
            </w:div>
            <w:div w:id="233130526">
              <w:marLeft w:val="0"/>
              <w:marRight w:val="0"/>
              <w:marTop w:val="0"/>
              <w:marBottom w:val="0"/>
              <w:divBdr>
                <w:top w:val="none" w:sz="0" w:space="0" w:color="auto"/>
                <w:left w:val="none" w:sz="0" w:space="0" w:color="auto"/>
                <w:bottom w:val="none" w:sz="0" w:space="0" w:color="auto"/>
                <w:right w:val="none" w:sz="0" w:space="0" w:color="auto"/>
              </w:divBdr>
            </w:div>
            <w:div w:id="242879655">
              <w:marLeft w:val="0"/>
              <w:marRight w:val="0"/>
              <w:marTop w:val="0"/>
              <w:marBottom w:val="0"/>
              <w:divBdr>
                <w:top w:val="none" w:sz="0" w:space="0" w:color="auto"/>
                <w:left w:val="none" w:sz="0" w:space="0" w:color="auto"/>
                <w:bottom w:val="none" w:sz="0" w:space="0" w:color="auto"/>
                <w:right w:val="none" w:sz="0" w:space="0" w:color="auto"/>
              </w:divBdr>
            </w:div>
            <w:div w:id="814103268">
              <w:marLeft w:val="0"/>
              <w:marRight w:val="0"/>
              <w:marTop w:val="0"/>
              <w:marBottom w:val="0"/>
              <w:divBdr>
                <w:top w:val="none" w:sz="0" w:space="0" w:color="auto"/>
                <w:left w:val="none" w:sz="0" w:space="0" w:color="auto"/>
                <w:bottom w:val="none" w:sz="0" w:space="0" w:color="auto"/>
                <w:right w:val="none" w:sz="0" w:space="0" w:color="auto"/>
              </w:divBdr>
            </w:div>
            <w:div w:id="1040740642">
              <w:marLeft w:val="0"/>
              <w:marRight w:val="0"/>
              <w:marTop w:val="0"/>
              <w:marBottom w:val="0"/>
              <w:divBdr>
                <w:top w:val="none" w:sz="0" w:space="0" w:color="auto"/>
                <w:left w:val="none" w:sz="0" w:space="0" w:color="auto"/>
                <w:bottom w:val="none" w:sz="0" w:space="0" w:color="auto"/>
                <w:right w:val="none" w:sz="0" w:space="0" w:color="auto"/>
              </w:divBdr>
            </w:div>
            <w:div w:id="1136141987">
              <w:marLeft w:val="0"/>
              <w:marRight w:val="0"/>
              <w:marTop w:val="0"/>
              <w:marBottom w:val="0"/>
              <w:divBdr>
                <w:top w:val="none" w:sz="0" w:space="0" w:color="auto"/>
                <w:left w:val="none" w:sz="0" w:space="0" w:color="auto"/>
                <w:bottom w:val="none" w:sz="0" w:space="0" w:color="auto"/>
                <w:right w:val="none" w:sz="0" w:space="0" w:color="auto"/>
              </w:divBdr>
            </w:div>
            <w:div w:id="1197889540">
              <w:marLeft w:val="0"/>
              <w:marRight w:val="0"/>
              <w:marTop w:val="0"/>
              <w:marBottom w:val="0"/>
              <w:divBdr>
                <w:top w:val="none" w:sz="0" w:space="0" w:color="auto"/>
                <w:left w:val="none" w:sz="0" w:space="0" w:color="auto"/>
                <w:bottom w:val="none" w:sz="0" w:space="0" w:color="auto"/>
                <w:right w:val="none" w:sz="0" w:space="0" w:color="auto"/>
              </w:divBdr>
            </w:div>
            <w:div w:id="1270316484">
              <w:marLeft w:val="0"/>
              <w:marRight w:val="0"/>
              <w:marTop w:val="0"/>
              <w:marBottom w:val="0"/>
              <w:divBdr>
                <w:top w:val="none" w:sz="0" w:space="0" w:color="auto"/>
                <w:left w:val="none" w:sz="0" w:space="0" w:color="auto"/>
                <w:bottom w:val="none" w:sz="0" w:space="0" w:color="auto"/>
                <w:right w:val="none" w:sz="0" w:space="0" w:color="auto"/>
              </w:divBdr>
            </w:div>
            <w:div w:id="1533375103">
              <w:marLeft w:val="0"/>
              <w:marRight w:val="0"/>
              <w:marTop w:val="0"/>
              <w:marBottom w:val="0"/>
              <w:divBdr>
                <w:top w:val="none" w:sz="0" w:space="0" w:color="auto"/>
                <w:left w:val="none" w:sz="0" w:space="0" w:color="auto"/>
                <w:bottom w:val="none" w:sz="0" w:space="0" w:color="auto"/>
                <w:right w:val="none" w:sz="0" w:space="0" w:color="auto"/>
              </w:divBdr>
            </w:div>
            <w:div w:id="1772118176">
              <w:marLeft w:val="0"/>
              <w:marRight w:val="0"/>
              <w:marTop w:val="0"/>
              <w:marBottom w:val="0"/>
              <w:divBdr>
                <w:top w:val="none" w:sz="0" w:space="0" w:color="auto"/>
                <w:left w:val="none" w:sz="0" w:space="0" w:color="auto"/>
                <w:bottom w:val="none" w:sz="0" w:space="0" w:color="auto"/>
                <w:right w:val="none" w:sz="0" w:space="0" w:color="auto"/>
              </w:divBdr>
            </w:div>
            <w:div w:id="1950117697">
              <w:marLeft w:val="0"/>
              <w:marRight w:val="0"/>
              <w:marTop w:val="0"/>
              <w:marBottom w:val="0"/>
              <w:divBdr>
                <w:top w:val="none" w:sz="0" w:space="0" w:color="auto"/>
                <w:left w:val="none" w:sz="0" w:space="0" w:color="auto"/>
                <w:bottom w:val="none" w:sz="0" w:space="0" w:color="auto"/>
                <w:right w:val="none" w:sz="0" w:space="0" w:color="auto"/>
              </w:divBdr>
            </w:div>
            <w:div w:id="2031370136">
              <w:marLeft w:val="0"/>
              <w:marRight w:val="0"/>
              <w:marTop w:val="0"/>
              <w:marBottom w:val="0"/>
              <w:divBdr>
                <w:top w:val="none" w:sz="0" w:space="0" w:color="auto"/>
                <w:left w:val="none" w:sz="0" w:space="0" w:color="auto"/>
                <w:bottom w:val="none" w:sz="0" w:space="0" w:color="auto"/>
                <w:right w:val="none" w:sz="0" w:space="0" w:color="auto"/>
              </w:divBdr>
            </w:div>
          </w:divsChild>
        </w:div>
        <w:div w:id="1148671024">
          <w:marLeft w:val="0"/>
          <w:marRight w:val="0"/>
          <w:marTop w:val="0"/>
          <w:marBottom w:val="0"/>
          <w:divBdr>
            <w:top w:val="none" w:sz="0" w:space="0" w:color="auto"/>
            <w:left w:val="none" w:sz="0" w:space="0" w:color="auto"/>
            <w:bottom w:val="none" w:sz="0" w:space="0" w:color="auto"/>
            <w:right w:val="none" w:sz="0" w:space="0" w:color="auto"/>
          </w:divBdr>
          <w:divsChild>
            <w:div w:id="252786847">
              <w:marLeft w:val="0"/>
              <w:marRight w:val="0"/>
              <w:marTop w:val="0"/>
              <w:marBottom w:val="0"/>
              <w:divBdr>
                <w:top w:val="none" w:sz="0" w:space="0" w:color="auto"/>
                <w:left w:val="none" w:sz="0" w:space="0" w:color="auto"/>
                <w:bottom w:val="none" w:sz="0" w:space="0" w:color="auto"/>
                <w:right w:val="none" w:sz="0" w:space="0" w:color="auto"/>
              </w:divBdr>
            </w:div>
          </w:divsChild>
        </w:div>
        <w:div w:id="1157963270">
          <w:marLeft w:val="0"/>
          <w:marRight w:val="0"/>
          <w:marTop w:val="0"/>
          <w:marBottom w:val="0"/>
          <w:divBdr>
            <w:top w:val="none" w:sz="0" w:space="0" w:color="auto"/>
            <w:left w:val="none" w:sz="0" w:space="0" w:color="auto"/>
            <w:bottom w:val="none" w:sz="0" w:space="0" w:color="auto"/>
            <w:right w:val="none" w:sz="0" w:space="0" w:color="auto"/>
          </w:divBdr>
          <w:divsChild>
            <w:div w:id="85228868">
              <w:marLeft w:val="0"/>
              <w:marRight w:val="0"/>
              <w:marTop w:val="0"/>
              <w:marBottom w:val="0"/>
              <w:divBdr>
                <w:top w:val="none" w:sz="0" w:space="0" w:color="auto"/>
                <w:left w:val="none" w:sz="0" w:space="0" w:color="auto"/>
                <w:bottom w:val="none" w:sz="0" w:space="0" w:color="auto"/>
                <w:right w:val="none" w:sz="0" w:space="0" w:color="auto"/>
              </w:divBdr>
            </w:div>
          </w:divsChild>
        </w:div>
        <w:div w:id="1179197365">
          <w:marLeft w:val="0"/>
          <w:marRight w:val="0"/>
          <w:marTop w:val="0"/>
          <w:marBottom w:val="0"/>
          <w:divBdr>
            <w:top w:val="none" w:sz="0" w:space="0" w:color="auto"/>
            <w:left w:val="none" w:sz="0" w:space="0" w:color="auto"/>
            <w:bottom w:val="none" w:sz="0" w:space="0" w:color="auto"/>
            <w:right w:val="none" w:sz="0" w:space="0" w:color="auto"/>
          </w:divBdr>
          <w:divsChild>
            <w:div w:id="239295930">
              <w:marLeft w:val="0"/>
              <w:marRight w:val="0"/>
              <w:marTop w:val="0"/>
              <w:marBottom w:val="0"/>
              <w:divBdr>
                <w:top w:val="none" w:sz="0" w:space="0" w:color="auto"/>
                <w:left w:val="none" w:sz="0" w:space="0" w:color="auto"/>
                <w:bottom w:val="none" w:sz="0" w:space="0" w:color="auto"/>
                <w:right w:val="none" w:sz="0" w:space="0" w:color="auto"/>
              </w:divBdr>
            </w:div>
          </w:divsChild>
        </w:div>
        <w:div w:id="1185746090">
          <w:marLeft w:val="0"/>
          <w:marRight w:val="0"/>
          <w:marTop w:val="0"/>
          <w:marBottom w:val="0"/>
          <w:divBdr>
            <w:top w:val="none" w:sz="0" w:space="0" w:color="auto"/>
            <w:left w:val="none" w:sz="0" w:space="0" w:color="auto"/>
            <w:bottom w:val="none" w:sz="0" w:space="0" w:color="auto"/>
            <w:right w:val="none" w:sz="0" w:space="0" w:color="auto"/>
          </w:divBdr>
          <w:divsChild>
            <w:div w:id="340357877">
              <w:marLeft w:val="0"/>
              <w:marRight w:val="0"/>
              <w:marTop w:val="0"/>
              <w:marBottom w:val="0"/>
              <w:divBdr>
                <w:top w:val="none" w:sz="0" w:space="0" w:color="auto"/>
                <w:left w:val="none" w:sz="0" w:space="0" w:color="auto"/>
                <w:bottom w:val="none" w:sz="0" w:space="0" w:color="auto"/>
                <w:right w:val="none" w:sz="0" w:space="0" w:color="auto"/>
              </w:divBdr>
            </w:div>
          </w:divsChild>
        </w:div>
        <w:div w:id="1214076097">
          <w:marLeft w:val="0"/>
          <w:marRight w:val="0"/>
          <w:marTop w:val="0"/>
          <w:marBottom w:val="0"/>
          <w:divBdr>
            <w:top w:val="none" w:sz="0" w:space="0" w:color="auto"/>
            <w:left w:val="none" w:sz="0" w:space="0" w:color="auto"/>
            <w:bottom w:val="none" w:sz="0" w:space="0" w:color="auto"/>
            <w:right w:val="none" w:sz="0" w:space="0" w:color="auto"/>
          </w:divBdr>
          <w:divsChild>
            <w:div w:id="1846094553">
              <w:marLeft w:val="0"/>
              <w:marRight w:val="0"/>
              <w:marTop w:val="0"/>
              <w:marBottom w:val="0"/>
              <w:divBdr>
                <w:top w:val="none" w:sz="0" w:space="0" w:color="auto"/>
                <w:left w:val="none" w:sz="0" w:space="0" w:color="auto"/>
                <w:bottom w:val="none" w:sz="0" w:space="0" w:color="auto"/>
                <w:right w:val="none" w:sz="0" w:space="0" w:color="auto"/>
              </w:divBdr>
            </w:div>
          </w:divsChild>
        </w:div>
        <w:div w:id="1217356530">
          <w:marLeft w:val="0"/>
          <w:marRight w:val="0"/>
          <w:marTop w:val="0"/>
          <w:marBottom w:val="0"/>
          <w:divBdr>
            <w:top w:val="none" w:sz="0" w:space="0" w:color="auto"/>
            <w:left w:val="none" w:sz="0" w:space="0" w:color="auto"/>
            <w:bottom w:val="none" w:sz="0" w:space="0" w:color="auto"/>
            <w:right w:val="none" w:sz="0" w:space="0" w:color="auto"/>
          </w:divBdr>
          <w:divsChild>
            <w:div w:id="1717240997">
              <w:marLeft w:val="0"/>
              <w:marRight w:val="0"/>
              <w:marTop w:val="0"/>
              <w:marBottom w:val="0"/>
              <w:divBdr>
                <w:top w:val="none" w:sz="0" w:space="0" w:color="auto"/>
                <w:left w:val="none" w:sz="0" w:space="0" w:color="auto"/>
                <w:bottom w:val="none" w:sz="0" w:space="0" w:color="auto"/>
                <w:right w:val="none" w:sz="0" w:space="0" w:color="auto"/>
              </w:divBdr>
            </w:div>
          </w:divsChild>
        </w:div>
        <w:div w:id="1544053394">
          <w:marLeft w:val="0"/>
          <w:marRight w:val="0"/>
          <w:marTop w:val="0"/>
          <w:marBottom w:val="0"/>
          <w:divBdr>
            <w:top w:val="none" w:sz="0" w:space="0" w:color="auto"/>
            <w:left w:val="none" w:sz="0" w:space="0" w:color="auto"/>
            <w:bottom w:val="none" w:sz="0" w:space="0" w:color="auto"/>
            <w:right w:val="none" w:sz="0" w:space="0" w:color="auto"/>
          </w:divBdr>
          <w:divsChild>
            <w:div w:id="256250897">
              <w:marLeft w:val="0"/>
              <w:marRight w:val="0"/>
              <w:marTop w:val="0"/>
              <w:marBottom w:val="0"/>
              <w:divBdr>
                <w:top w:val="none" w:sz="0" w:space="0" w:color="auto"/>
                <w:left w:val="none" w:sz="0" w:space="0" w:color="auto"/>
                <w:bottom w:val="none" w:sz="0" w:space="0" w:color="auto"/>
                <w:right w:val="none" w:sz="0" w:space="0" w:color="auto"/>
              </w:divBdr>
            </w:div>
          </w:divsChild>
        </w:div>
        <w:div w:id="1604723273">
          <w:marLeft w:val="0"/>
          <w:marRight w:val="0"/>
          <w:marTop w:val="0"/>
          <w:marBottom w:val="0"/>
          <w:divBdr>
            <w:top w:val="none" w:sz="0" w:space="0" w:color="auto"/>
            <w:left w:val="none" w:sz="0" w:space="0" w:color="auto"/>
            <w:bottom w:val="none" w:sz="0" w:space="0" w:color="auto"/>
            <w:right w:val="none" w:sz="0" w:space="0" w:color="auto"/>
          </w:divBdr>
          <w:divsChild>
            <w:div w:id="2049259072">
              <w:marLeft w:val="0"/>
              <w:marRight w:val="0"/>
              <w:marTop w:val="0"/>
              <w:marBottom w:val="0"/>
              <w:divBdr>
                <w:top w:val="none" w:sz="0" w:space="0" w:color="auto"/>
                <w:left w:val="none" w:sz="0" w:space="0" w:color="auto"/>
                <w:bottom w:val="none" w:sz="0" w:space="0" w:color="auto"/>
                <w:right w:val="none" w:sz="0" w:space="0" w:color="auto"/>
              </w:divBdr>
            </w:div>
          </w:divsChild>
        </w:div>
        <w:div w:id="1682393034">
          <w:marLeft w:val="0"/>
          <w:marRight w:val="0"/>
          <w:marTop w:val="0"/>
          <w:marBottom w:val="0"/>
          <w:divBdr>
            <w:top w:val="none" w:sz="0" w:space="0" w:color="auto"/>
            <w:left w:val="none" w:sz="0" w:space="0" w:color="auto"/>
            <w:bottom w:val="none" w:sz="0" w:space="0" w:color="auto"/>
            <w:right w:val="none" w:sz="0" w:space="0" w:color="auto"/>
          </w:divBdr>
          <w:divsChild>
            <w:div w:id="153767941">
              <w:marLeft w:val="0"/>
              <w:marRight w:val="0"/>
              <w:marTop w:val="0"/>
              <w:marBottom w:val="0"/>
              <w:divBdr>
                <w:top w:val="none" w:sz="0" w:space="0" w:color="auto"/>
                <w:left w:val="none" w:sz="0" w:space="0" w:color="auto"/>
                <w:bottom w:val="none" w:sz="0" w:space="0" w:color="auto"/>
                <w:right w:val="none" w:sz="0" w:space="0" w:color="auto"/>
              </w:divBdr>
            </w:div>
          </w:divsChild>
        </w:div>
        <w:div w:id="1776827279">
          <w:marLeft w:val="0"/>
          <w:marRight w:val="0"/>
          <w:marTop w:val="0"/>
          <w:marBottom w:val="0"/>
          <w:divBdr>
            <w:top w:val="none" w:sz="0" w:space="0" w:color="auto"/>
            <w:left w:val="none" w:sz="0" w:space="0" w:color="auto"/>
            <w:bottom w:val="none" w:sz="0" w:space="0" w:color="auto"/>
            <w:right w:val="none" w:sz="0" w:space="0" w:color="auto"/>
          </w:divBdr>
          <w:divsChild>
            <w:div w:id="434643433">
              <w:marLeft w:val="0"/>
              <w:marRight w:val="0"/>
              <w:marTop w:val="0"/>
              <w:marBottom w:val="0"/>
              <w:divBdr>
                <w:top w:val="none" w:sz="0" w:space="0" w:color="auto"/>
                <w:left w:val="none" w:sz="0" w:space="0" w:color="auto"/>
                <w:bottom w:val="none" w:sz="0" w:space="0" w:color="auto"/>
                <w:right w:val="none" w:sz="0" w:space="0" w:color="auto"/>
              </w:divBdr>
            </w:div>
          </w:divsChild>
        </w:div>
        <w:div w:id="1804886454">
          <w:marLeft w:val="0"/>
          <w:marRight w:val="0"/>
          <w:marTop w:val="0"/>
          <w:marBottom w:val="0"/>
          <w:divBdr>
            <w:top w:val="none" w:sz="0" w:space="0" w:color="auto"/>
            <w:left w:val="none" w:sz="0" w:space="0" w:color="auto"/>
            <w:bottom w:val="none" w:sz="0" w:space="0" w:color="auto"/>
            <w:right w:val="none" w:sz="0" w:space="0" w:color="auto"/>
          </w:divBdr>
          <w:divsChild>
            <w:div w:id="203562836">
              <w:marLeft w:val="0"/>
              <w:marRight w:val="0"/>
              <w:marTop w:val="0"/>
              <w:marBottom w:val="0"/>
              <w:divBdr>
                <w:top w:val="none" w:sz="0" w:space="0" w:color="auto"/>
                <w:left w:val="none" w:sz="0" w:space="0" w:color="auto"/>
                <w:bottom w:val="none" w:sz="0" w:space="0" w:color="auto"/>
                <w:right w:val="none" w:sz="0" w:space="0" w:color="auto"/>
              </w:divBdr>
            </w:div>
          </w:divsChild>
        </w:div>
        <w:div w:id="1813447992">
          <w:marLeft w:val="0"/>
          <w:marRight w:val="0"/>
          <w:marTop w:val="0"/>
          <w:marBottom w:val="0"/>
          <w:divBdr>
            <w:top w:val="none" w:sz="0" w:space="0" w:color="auto"/>
            <w:left w:val="none" w:sz="0" w:space="0" w:color="auto"/>
            <w:bottom w:val="none" w:sz="0" w:space="0" w:color="auto"/>
            <w:right w:val="none" w:sz="0" w:space="0" w:color="auto"/>
          </w:divBdr>
          <w:divsChild>
            <w:div w:id="391465788">
              <w:marLeft w:val="0"/>
              <w:marRight w:val="0"/>
              <w:marTop w:val="0"/>
              <w:marBottom w:val="0"/>
              <w:divBdr>
                <w:top w:val="none" w:sz="0" w:space="0" w:color="auto"/>
                <w:left w:val="none" w:sz="0" w:space="0" w:color="auto"/>
                <w:bottom w:val="none" w:sz="0" w:space="0" w:color="auto"/>
                <w:right w:val="none" w:sz="0" w:space="0" w:color="auto"/>
              </w:divBdr>
            </w:div>
          </w:divsChild>
        </w:div>
        <w:div w:id="1995452173">
          <w:marLeft w:val="0"/>
          <w:marRight w:val="0"/>
          <w:marTop w:val="0"/>
          <w:marBottom w:val="0"/>
          <w:divBdr>
            <w:top w:val="none" w:sz="0" w:space="0" w:color="auto"/>
            <w:left w:val="none" w:sz="0" w:space="0" w:color="auto"/>
            <w:bottom w:val="none" w:sz="0" w:space="0" w:color="auto"/>
            <w:right w:val="none" w:sz="0" w:space="0" w:color="auto"/>
          </w:divBdr>
          <w:divsChild>
            <w:div w:id="5211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471">
      <w:bodyDiv w:val="1"/>
      <w:marLeft w:val="0"/>
      <w:marRight w:val="0"/>
      <w:marTop w:val="0"/>
      <w:marBottom w:val="0"/>
      <w:divBdr>
        <w:top w:val="none" w:sz="0" w:space="0" w:color="auto"/>
        <w:left w:val="none" w:sz="0" w:space="0" w:color="auto"/>
        <w:bottom w:val="none" w:sz="0" w:space="0" w:color="auto"/>
        <w:right w:val="none" w:sz="0" w:space="0" w:color="auto"/>
      </w:divBdr>
      <w:divsChild>
        <w:div w:id="32850190">
          <w:marLeft w:val="0"/>
          <w:marRight w:val="0"/>
          <w:marTop w:val="0"/>
          <w:marBottom w:val="0"/>
          <w:divBdr>
            <w:top w:val="none" w:sz="0" w:space="0" w:color="auto"/>
            <w:left w:val="none" w:sz="0" w:space="0" w:color="auto"/>
            <w:bottom w:val="none" w:sz="0" w:space="0" w:color="auto"/>
            <w:right w:val="none" w:sz="0" w:space="0" w:color="auto"/>
          </w:divBdr>
          <w:divsChild>
            <w:div w:id="999623247">
              <w:marLeft w:val="0"/>
              <w:marRight w:val="0"/>
              <w:marTop w:val="0"/>
              <w:marBottom w:val="0"/>
              <w:divBdr>
                <w:top w:val="none" w:sz="0" w:space="0" w:color="auto"/>
                <w:left w:val="none" w:sz="0" w:space="0" w:color="auto"/>
                <w:bottom w:val="none" w:sz="0" w:space="0" w:color="auto"/>
                <w:right w:val="none" w:sz="0" w:space="0" w:color="auto"/>
              </w:divBdr>
            </w:div>
          </w:divsChild>
        </w:div>
        <w:div w:id="50423051">
          <w:marLeft w:val="0"/>
          <w:marRight w:val="0"/>
          <w:marTop w:val="0"/>
          <w:marBottom w:val="0"/>
          <w:divBdr>
            <w:top w:val="none" w:sz="0" w:space="0" w:color="auto"/>
            <w:left w:val="none" w:sz="0" w:space="0" w:color="auto"/>
            <w:bottom w:val="none" w:sz="0" w:space="0" w:color="auto"/>
            <w:right w:val="none" w:sz="0" w:space="0" w:color="auto"/>
          </w:divBdr>
          <w:divsChild>
            <w:div w:id="1461922669">
              <w:marLeft w:val="0"/>
              <w:marRight w:val="0"/>
              <w:marTop w:val="0"/>
              <w:marBottom w:val="0"/>
              <w:divBdr>
                <w:top w:val="none" w:sz="0" w:space="0" w:color="auto"/>
                <w:left w:val="none" w:sz="0" w:space="0" w:color="auto"/>
                <w:bottom w:val="none" w:sz="0" w:space="0" w:color="auto"/>
                <w:right w:val="none" w:sz="0" w:space="0" w:color="auto"/>
              </w:divBdr>
            </w:div>
          </w:divsChild>
        </w:div>
        <w:div w:id="51202844">
          <w:marLeft w:val="0"/>
          <w:marRight w:val="0"/>
          <w:marTop w:val="0"/>
          <w:marBottom w:val="0"/>
          <w:divBdr>
            <w:top w:val="none" w:sz="0" w:space="0" w:color="auto"/>
            <w:left w:val="none" w:sz="0" w:space="0" w:color="auto"/>
            <w:bottom w:val="none" w:sz="0" w:space="0" w:color="auto"/>
            <w:right w:val="none" w:sz="0" w:space="0" w:color="auto"/>
          </w:divBdr>
          <w:divsChild>
            <w:div w:id="1085495702">
              <w:marLeft w:val="0"/>
              <w:marRight w:val="0"/>
              <w:marTop w:val="0"/>
              <w:marBottom w:val="0"/>
              <w:divBdr>
                <w:top w:val="none" w:sz="0" w:space="0" w:color="auto"/>
                <w:left w:val="none" w:sz="0" w:space="0" w:color="auto"/>
                <w:bottom w:val="none" w:sz="0" w:space="0" w:color="auto"/>
                <w:right w:val="none" w:sz="0" w:space="0" w:color="auto"/>
              </w:divBdr>
            </w:div>
          </w:divsChild>
        </w:div>
        <w:div w:id="73287763">
          <w:marLeft w:val="0"/>
          <w:marRight w:val="0"/>
          <w:marTop w:val="0"/>
          <w:marBottom w:val="0"/>
          <w:divBdr>
            <w:top w:val="none" w:sz="0" w:space="0" w:color="auto"/>
            <w:left w:val="none" w:sz="0" w:space="0" w:color="auto"/>
            <w:bottom w:val="none" w:sz="0" w:space="0" w:color="auto"/>
            <w:right w:val="none" w:sz="0" w:space="0" w:color="auto"/>
          </w:divBdr>
          <w:divsChild>
            <w:div w:id="784732752">
              <w:marLeft w:val="0"/>
              <w:marRight w:val="0"/>
              <w:marTop w:val="0"/>
              <w:marBottom w:val="0"/>
              <w:divBdr>
                <w:top w:val="none" w:sz="0" w:space="0" w:color="auto"/>
                <w:left w:val="none" w:sz="0" w:space="0" w:color="auto"/>
                <w:bottom w:val="none" w:sz="0" w:space="0" w:color="auto"/>
                <w:right w:val="none" w:sz="0" w:space="0" w:color="auto"/>
              </w:divBdr>
            </w:div>
          </w:divsChild>
        </w:div>
        <w:div w:id="153960203">
          <w:marLeft w:val="0"/>
          <w:marRight w:val="0"/>
          <w:marTop w:val="0"/>
          <w:marBottom w:val="0"/>
          <w:divBdr>
            <w:top w:val="none" w:sz="0" w:space="0" w:color="auto"/>
            <w:left w:val="none" w:sz="0" w:space="0" w:color="auto"/>
            <w:bottom w:val="none" w:sz="0" w:space="0" w:color="auto"/>
            <w:right w:val="none" w:sz="0" w:space="0" w:color="auto"/>
          </w:divBdr>
          <w:divsChild>
            <w:div w:id="2127387668">
              <w:marLeft w:val="0"/>
              <w:marRight w:val="0"/>
              <w:marTop w:val="0"/>
              <w:marBottom w:val="0"/>
              <w:divBdr>
                <w:top w:val="none" w:sz="0" w:space="0" w:color="auto"/>
                <w:left w:val="none" w:sz="0" w:space="0" w:color="auto"/>
                <w:bottom w:val="none" w:sz="0" w:space="0" w:color="auto"/>
                <w:right w:val="none" w:sz="0" w:space="0" w:color="auto"/>
              </w:divBdr>
            </w:div>
          </w:divsChild>
        </w:div>
        <w:div w:id="308479023">
          <w:marLeft w:val="0"/>
          <w:marRight w:val="0"/>
          <w:marTop w:val="0"/>
          <w:marBottom w:val="0"/>
          <w:divBdr>
            <w:top w:val="none" w:sz="0" w:space="0" w:color="auto"/>
            <w:left w:val="none" w:sz="0" w:space="0" w:color="auto"/>
            <w:bottom w:val="none" w:sz="0" w:space="0" w:color="auto"/>
            <w:right w:val="none" w:sz="0" w:space="0" w:color="auto"/>
          </w:divBdr>
          <w:divsChild>
            <w:div w:id="421725502">
              <w:marLeft w:val="0"/>
              <w:marRight w:val="0"/>
              <w:marTop w:val="0"/>
              <w:marBottom w:val="0"/>
              <w:divBdr>
                <w:top w:val="none" w:sz="0" w:space="0" w:color="auto"/>
                <w:left w:val="none" w:sz="0" w:space="0" w:color="auto"/>
                <w:bottom w:val="none" w:sz="0" w:space="0" w:color="auto"/>
                <w:right w:val="none" w:sz="0" w:space="0" w:color="auto"/>
              </w:divBdr>
            </w:div>
          </w:divsChild>
        </w:div>
        <w:div w:id="500387811">
          <w:marLeft w:val="0"/>
          <w:marRight w:val="0"/>
          <w:marTop w:val="0"/>
          <w:marBottom w:val="0"/>
          <w:divBdr>
            <w:top w:val="none" w:sz="0" w:space="0" w:color="auto"/>
            <w:left w:val="none" w:sz="0" w:space="0" w:color="auto"/>
            <w:bottom w:val="none" w:sz="0" w:space="0" w:color="auto"/>
            <w:right w:val="none" w:sz="0" w:space="0" w:color="auto"/>
          </w:divBdr>
          <w:divsChild>
            <w:div w:id="226964691">
              <w:marLeft w:val="0"/>
              <w:marRight w:val="0"/>
              <w:marTop w:val="0"/>
              <w:marBottom w:val="0"/>
              <w:divBdr>
                <w:top w:val="none" w:sz="0" w:space="0" w:color="auto"/>
                <w:left w:val="none" w:sz="0" w:space="0" w:color="auto"/>
                <w:bottom w:val="none" w:sz="0" w:space="0" w:color="auto"/>
                <w:right w:val="none" w:sz="0" w:space="0" w:color="auto"/>
              </w:divBdr>
            </w:div>
          </w:divsChild>
        </w:div>
        <w:div w:id="629288654">
          <w:marLeft w:val="0"/>
          <w:marRight w:val="0"/>
          <w:marTop w:val="0"/>
          <w:marBottom w:val="0"/>
          <w:divBdr>
            <w:top w:val="none" w:sz="0" w:space="0" w:color="auto"/>
            <w:left w:val="none" w:sz="0" w:space="0" w:color="auto"/>
            <w:bottom w:val="none" w:sz="0" w:space="0" w:color="auto"/>
            <w:right w:val="none" w:sz="0" w:space="0" w:color="auto"/>
          </w:divBdr>
          <w:divsChild>
            <w:div w:id="1582905015">
              <w:marLeft w:val="0"/>
              <w:marRight w:val="0"/>
              <w:marTop w:val="0"/>
              <w:marBottom w:val="0"/>
              <w:divBdr>
                <w:top w:val="none" w:sz="0" w:space="0" w:color="auto"/>
                <w:left w:val="none" w:sz="0" w:space="0" w:color="auto"/>
                <w:bottom w:val="none" w:sz="0" w:space="0" w:color="auto"/>
                <w:right w:val="none" w:sz="0" w:space="0" w:color="auto"/>
              </w:divBdr>
            </w:div>
          </w:divsChild>
        </w:div>
        <w:div w:id="663701457">
          <w:marLeft w:val="0"/>
          <w:marRight w:val="0"/>
          <w:marTop w:val="0"/>
          <w:marBottom w:val="0"/>
          <w:divBdr>
            <w:top w:val="none" w:sz="0" w:space="0" w:color="auto"/>
            <w:left w:val="none" w:sz="0" w:space="0" w:color="auto"/>
            <w:bottom w:val="none" w:sz="0" w:space="0" w:color="auto"/>
            <w:right w:val="none" w:sz="0" w:space="0" w:color="auto"/>
          </w:divBdr>
          <w:divsChild>
            <w:div w:id="360202809">
              <w:marLeft w:val="0"/>
              <w:marRight w:val="0"/>
              <w:marTop w:val="0"/>
              <w:marBottom w:val="0"/>
              <w:divBdr>
                <w:top w:val="none" w:sz="0" w:space="0" w:color="auto"/>
                <w:left w:val="none" w:sz="0" w:space="0" w:color="auto"/>
                <w:bottom w:val="none" w:sz="0" w:space="0" w:color="auto"/>
                <w:right w:val="none" w:sz="0" w:space="0" w:color="auto"/>
              </w:divBdr>
            </w:div>
          </w:divsChild>
        </w:div>
        <w:div w:id="684139284">
          <w:marLeft w:val="0"/>
          <w:marRight w:val="0"/>
          <w:marTop w:val="0"/>
          <w:marBottom w:val="0"/>
          <w:divBdr>
            <w:top w:val="none" w:sz="0" w:space="0" w:color="auto"/>
            <w:left w:val="none" w:sz="0" w:space="0" w:color="auto"/>
            <w:bottom w:val="none" w:sz="0" w:space="0" w:color="auto"/>
            <w:right w:val="none" w:sz="0" w:space="0" w:color="auto"/>
          </w:divBdr>
          <w:divsChild>
            <w:div w:id="188295532">
              <w:marLeft w:val="0"/>
              <w:marRight w:val="0"/>
              <w:marTop w:val="0"/>
              <w:marBottom w:val="0"/>
              <w:divBdr>
                <w:top w:val="none" w:sz="0" w:space="0" w:color="auto"/>
                <w:left w:val="none" w:sz="0" w:space="0" w:color="auto"/>
                <w:bottom w:val="none" w:sz="0" w:space="0" w:color="auto"/>
                <w:right w:val="none" w:sz="0" w:space="0" w:color="auto"/>
              </w:divBdr>
            </w:div>
          </w:divsChild>
        </w:div>
        <w:div w:id="839779126">
          <w:marLeft w:val="0"/>
          <w:marRight w:val="0"/>
          <w:marTop w:val="0"/>
          <w:marBottom w:val="0"/>
          <w:divBdr>
            <w:top w:val="none" w:sz="0" w:space="0" w:color="auto"/>
            <w:left w:val="none" w:sz="0" w:space="0" w:color="auto"/>
            <w:bottom w:val="none" w:sz="0" w:space="0" w:color="auto"/>
            <w:right w:val="none" w:sz="0" w:space="0" w:color="auto"/>
          </w:divBdr>
          <w:divsChild>
            <w:div w:id="1740786614">
              <w:marLeft w:val="0"/>
              <w:marRight w:val="0"/>
              <w:marTop w:val="0"/>
              <w:marBottom w:val="0"/>
              <w:divBdr>
                <w:top w:val="none" w:sz="0" w:space="0" w:color="auto"/>
                <w:left w:val="none" w:sz="0" w:space="0" w:color="auto"/>
                <w:bottom w:val="none" w:sz="0" w:space="0" w:color="auto"/>
                <w:right w:val="none" w:sz="0" w:space="0" w:color="auto"/>
              </w:divBdr>
            </w:div>
          </w:divsChild>
        </w:div>
        <w:div w:id="871846320">
          <w:marLeft w:val="0"/>
          <w:marRight w:val="0"/>
          <w:marTop w:val="0"/>
          <w:marBottom w:val="0"/>
          <w:divBdr>
            <w:top w:val="none" w:sz="0" w:space="0" w:color="auto"/>
            <w:left w:val="none" w:sz="0" w:space="0" w:color="auto"/>
            <w:bottom w:val="none" w:sz="0" w:space="0" w:color="auto"/>
            <w:right w:val="none" w:sz="0" w:space="0" w:color="auto"/>
          </w:divBdr>
          <w:divsChild>
            <w:div w:id="600799111">
              <w:marLeft w:val="0"/>
              <w:marRight w:val="0"/>
              <w:marTop w:val="0"/>
              <w:marBottom w:val="0"/>
              <w:divBdr>
                <w:top w:val="none" w:sz="0" w:space="0" w:color="auto"/>
                <w:left w:val="none" w:sz="0" w:space="0" w:color="auto"/>
                <w:bottom w:val="none" w:sz="0" w:space="0" w:color="auto"/>
                <w:right w:val="none" w:sz="0" w:space="0" w:color="auto"/>
              </w:divBdr>
            </w:div>
          </w:divsChild>
        </w:div>
        <w:div w:id="970549218">
          <w:marLeft w:val="0"/>
          <w:marRight w:val="0"/>
          <w:marTop w:val="0"/>
          <w:marBottom w:val="0"/>
          <w:divBdr>
            <w:top w:val="none" w:sz="0" w:space="0" w:color="auto"/>
            <w:left w:val="none" w:sz="0" w:space="0" w:color="auto"/>
            <w:bottom w:val="none" w:sz="0" w:space="0" w:color="auto"/>
            <w:right w:val="none" w:sz="0" w:space="0" w:color="auto"/>
          </w:divBdr>
          <w:divsChild>
            <w:div w:id="2065441772">
              <w:marLeft w:val="0"/>
              <w:marRight w:val="0"/>
              <w:marTop w:val="0"/>
              <w:marBottom w:val="0"/>
              <w:divBdr>
                <w:top w:val="none" w:sz="0" w:space="0" w:color="auto"/>
                <w:left w:val="none" w:sz="0" w:space="0" w:color="auto"/>
                <w:bottom w:val="none" w:sz="0" w:space="0" w:color="auto"/>
                <w:right w:val="none" w:sz="0" w:space="0" w:color="auto"/>
              </w:divBdr>
            </w:div>
          </w:divsChild>
        </w:div>
        <w:div w:id="989795734">
          <w:marLeft w:val="0"/>
          <w:marRight w:val="0"/>
          <w:marTop w:val="0"/>
          <w:marBottom w:val="0"/>
          <w:divBdr>
            <w:top w:val="none" w:sz="0" w:space="0" w:color="auto"/>
            <w:left w:val="none" w:sz="0" w:space="0" w:color="auto"/>
            <w:bottom w:val="none" w:sz="0" w:space="0" w:color="auto"/>
            <w:right w:val="none" w:sz="0" w:space="0" w:color="auto"/>
          </w:divBdr>
          <w:divsChild>
            <w:div w:id="922448342">
              <w:marLeft w:val="0"/>
              <w:marRight w:val="0"/>
              <w:marTop w:val="0"/>
              <w:marBottom w:val="0"/>
              <w:divBdr>
                <w:top w:val="none" w:sz="0" w:space="0" w:color="auto"/>
                <w:left w:val="none" w:sz="0" w:space="0" w:color="auto"/>
                <w:bottom w:val="none" w:sz="0" w:space="0" w:color="auto"/>
                <w:right w:val="none" w:sz="0" w:space="0" w:color="auto"/>
              </w:divBdr>
            </w:div>
          </w:divsChild>
        </w:div>
        <w:div w:id="1017733661">
          <w:marLeft w:val="0"/>
          <w:marRight w:val="0"/>
          <w:marTop w:val="0"/>
          <w:marBottom w:val="0"/>
          <w:divBdr>
            <w:top w:val="none" w:sz="0" w:space="0" w:color="auto"/>
            <w:left w:val="none" w:sz="0" w:space="0" w:color="auto"/>
            <w:bottom w:val="none" w:sz="0" w:space="0" w:color="auto"/>
            <w:right w:val="none" w:sz="0" w:space="0" w:color="auto"/>
          </w:divBdr>
          <w:divsChild>
            <w:div w:id="1658335844">
              <w:marLeft w:val="0"/>
              <w:marRight w:val="0"/>
              <w:marTop w:val="0"/>
              <w:marBottom w:val="0"/>
              <w:divBdr>
                <w:top w:val="none" w:sz="0" w:space="0" w:color="auto"/>
                <w:left w:val="none" w:sz="0" w:space="0" w:color="auto"/>
                <w:bottom w:val="none" w:sz="0" w:space="0" w:color="auto"/>
                <w:right w:val="none" w:sz="0" w:space="0" w:color="auto"/>
              </w:divBdr>
            </w:div>
          </w:divsChild>
        </w:div>
        <w:div w:id="1264722984">
          <w:marLeft w:val="0"/>
          <w:marRight w:val="0"/>
          <w:marTop w:val="0"/>
          <w:marBottom w:val="0"/>
          <w:divBdr>
            <w:top w:val="none" w:sz="0" w:space="0" w:color="auto"/>
            <w:left w:val="none" w:sz="0" w:space="0" w:color="auto"/>
            <w:bottom w:val="none" w:sz="0" w:space="0" w:color="auto"/>
            <w:right w:val="none" w:sz="0" w:space="0" w:color="auto"/>
          </w:divBdr>
          <w:divsChild>
            <w:div w:id="765076618">
              <w:marLeft w:val="0"/>
              <w:marRight w:val="0"/>
              <w:marTop w:val="0"/>
              <w:marBottom w:val="0"/>
              <w:divBdr>
                <w:top w:val="none" w:sz="0" w:space="0" w:color="auto"/>
                <w:left w:val="none" w:sz="0" w:space="0" w:color="auto"/>
                <w:bottom w:val="none" w:sz="0" w:space="0" w:color="auto"/>
                <w:right w:val="none" w:sz="0" w:space="0" w:color="auto"/>
              </w:divBdr>
            </w:div>
          </w:divsChild>
        </w:div>
        <w:div w:id="1405372535">
          <w:marLeft w:val="0"/>
          <w:marRight w:val="0"/>
          <w:marTop w:val="0"/>
          <w:marBottom w:val="0"/>
          <w:divBdr>
            <w:top w:val="none" w:sz="0" w:space="0" w:color="auto"/>
            <w:left w:val="none" w:sz="0" w:space="0" w:color="auto"/>
            <w:bottom w:val="none" w:sz="0" w:space="0" w:color="auto"/>
            <w:right w:val="none" w:sz="0" w:space="0" w:color="auto"/>
          </w:divBdr>
          <w:divsChild>
            <w:div w:id="799883704">
              <w:marLeft w:val="0"/>
              <w:marRight w:val="0"/>
              <w:marTop w:val="0"/>
              <w:marBottom w:val="0"/>
              <w:divBdr>
                <w:top w:val="none" w:sz="0" w:space="0" w:color="auto"/>
                <w:left w:val="none" w:sz="0" w:space="0" w:color="auto"/>
                <w:bottom w:val="none" w:sz="0" w:space="0" w:color="auto"/>
                <w:right w:val="none" w:sz="0" w:space="0" w:color="auto"/>
              </w:divBdr>
            </w:div>
          </w:divsChild>
        </w:div>
        <w:div w:id="1408651154">
          <w:marLeft w:val="0"/>
          <w:marRight w:val="0"/>
          <w:marTop w:val="0"/>
          <w:marBottom w:val="0"/>
          <w:divBdr>
            <w:top w:val="none" w:sz="0" w:space="0" w:color="auto"/>
            <w:left w:val="none" w:sz="0" w:space="0" w:color="auto"/>
            <w:bottom w:val="none" w:sz="0" w:space="0" w:color="auto"/>
            <w:right w:val="none" w:sz="0" w:space="0" w:color="auto"/>
          </w:divBdr>
          <w:divsChild>
            <w:div w:id="39983184">
              <w:marLeft w:val="0"/>
              <w:marRight w:val="0"/>
              <w:marTop w:val="0"/>
              <w:marBottom w:val="0"/>
              <w:divBdr>
                <w:top w:val="none" w:sz="0" w:space="0" w:color="auto"/>
                <w:left w:val="none" w:sz="0" w:space="0" w:color="auto"/>
                <w:bottom w:val="none" w:sz="0" w:space="0" w:color="auto"/>
                <w:right w:val="none" w:sz="0" w:space="0" w:color="auto"/>
              </w:divBdr>
            </w:div>
          </w:divsChild>
        </w:div>
        <w:div w:id="1477918652">
          <w:marLeft w:val="0"/>
          <w:marRight w:val="0"/>
          <w:marTop w:val="0"/>
          <w:marBottom w:val="0"/>
          <w:divBdr>
            <w:top w:val="none" w:sz="0" w:space="0" w:color="auto"/>
            <w:left w:val="none" w:sz="0" w:space="0" w:color="auto"/>
            <w:bottom w:val="none" w:sz="0" w:space="0" w:color="auto"/>
            <w:right w:val="none" w:sz="0" w:space="0" w:color="auto"/>
          </w:divBdr>
          <w:divsChild>
            <w:div w:id="1327264">
              <w:marLeft w:val="0"/>
              <w:marRight w:val="0"/>
              <w:marTop w:val="0"/>
              <w:marBottom w:val="0"/>
              <w:divBdr>
                <w:top w:val="none" w:sz="0" w:space="0" w:color="auto"/>
                <w:left w:val="none" w:sz="0" w:space="0" w:color="auto"/>
                <w:bottom w:val="none" w:sz="0" w:space="0" w:color="auto"/>
                <w:right w:val="none" w:sz="0" w:space="0" w:color="auto"/>
              </w:divBdr>
            </w:div>
          </w:divsChild>
        </w:div>
        <w:div w:id="1506242763">
          <w:marLeft w:val="0"/>
          <w:marRight w:val="0"/>
          <w:marTop w:val="0"/>
          <w:marBottom w:val="0"/>
          <w:divBdr>
            <w:top w:val="none" w:sz="0" w:space="0" w:color="auto"/>
            <w:left w:val="none" w:sz="0" w:space="0" w:color="auto"/>
            <w:bottom w:val="none" w:sz="0" w:space="0" w:color="auto"/>
            <w:right w:val="none" w:sz="0" w:space="0" w:color="auto"/>
          </w:divBdr>
          <w:divsChild>
            <w:div w:id="1658998869">
              <w:marLeft w:val="0"/>
              <w:marRight w:val="0"/>
              <w:marTop w:val="0"/>
              <w:marBottom w:val="0"/>
              <w:divBdr>
                <w:top w:val="none" w:sz="0" w:space="0" w:color="auto"/>
                <w:left w:val="none" w:sz="0" w:space="0" w:color="auto"/>
                <w:bottom w:val="none" w:sz="0" w:space="0" w:color="auto"/>
                <w:right w:val="none" w:sz="0" w:space="0" w:color="auto"/>
              </w:divBdr>
            </w:div>
          </w:divsChild>
        </w:div>
        <w:div w:id="1593081427">
          <w:marLeft w:val="0"/>
          <w:marRight w:val="0"/>
          <w:marTop w:val="0"/>
          <w:marBottom w:val="0"/>
          <w:divBdr>
            <w:top w:val="none" w:sz="0" w:space="0" w:color="auto"/>
            <w:left w:val="none" w:sz="0" w:space="0" w:color="auto"/>
            <w:bottom w:val="none" w:sz="0" w:space="0" w:color="auto"/>
            <w:right w:val="none" w:sz="0" w:space="0" w:color="auto"/>
          </w:divBdr>
          <w:divsChild>
            <w:div w:id="721635612">
              <w:marLeft w:val="0"/>
              <w:marRight w:val="0"/>
              <w:marTop w:val="0"/>
              <w:marBottom w:val="0"/>
              <w:divBdr>
                <w:top w:val="none" w:sz="0" w:space="0" w:color="auto"/>
                <w:left w:val="none" w:sz="0" w:space="0" w:color="auto"/>
                <w:bottom w:val="none" w:sz="0" w:space="0" w:color="auto"/>
                <w:right w:val="none" w:sz="0" w:space="0" w:color="auto"/>
              </w:divBdr>
            </w:div>
          </w:divsChild>
        </w:div>
        <w:div w:id="1661344863">
          <w:marLeft w:val="0"/>
          <w:marRight w:val="0"/>
          <w:marTop w:val="0"/>
          <w:marBottom w:val="0"/>
          <w:divBdr>
            <w:top w:val="none" w:sz="0" w:space="0" w:color="auto"/>
            <w:left w:val="none" w:sz="0" w:space="0" w:color="auto"/>
            <w:bottom w:val="none" w:sz="0" w:space="0" w:color="auto"/>
            <w:right w:val="none" w:sz="0" w:space="0" w:color="auto"/>
          </w:divBdr>
          <w:divsChild>
            <w:div w:id="1939483600">
              <w:marLeft w:val="0"/>
              <w:marRight w:val="0"/>
              <w:marTop w:val="0"/>
              <w:marBottom w:val="0"/>
              <w:divBdr>
                <w:top w:val="none" w:sz="0" w:space="0" w:color="auto"/>
                <w:left w:val="none" w:sz="0" w:space="0" w:color="auto"/>
                <w:bottom w:val="none" w:sz="0" w:space="0" w:color="auto"/>
                <w:right w:val="none" w:sz="0" w:space="0" w:color="auto"/>
              </w:divBdr>
            </w:div>
          </w:divsChild>
        </w:div>
        <w:div w:id="1674793029">
          <w:marLeft w:val="0"/>
          <w:marRight w:val="0"/>
          <w:marTop w:val="0"/>
          <w:marBottom w:val="0"/>
          <w:divBdr>
            <w:top w:val="none" w:sz="0" w:space="0" w:color="auto"/>
            <w:left w:val="none" w:sz="0" w:space="0" w:color="auto"/>
            <w:bottom w:val="none" w:sz="0" w:space="0" w:color="auto"/>
            <w:right w:val="none" w:sz="0" w:space="0" w:color="auto"/>
          </w:divBdr>
          <w:divsChild>
            <w:div w:id="105933507">
              <w:marLeft w:val="0"/>
              <w:marRight w:val="0"/>
              <w:marTop w:val="0"/>
              <w:marBottom w:val="0"/>
              <w:divBdr>
                <w:top w:val="none" w:sz="0" w:space="0" w:color="auto"/>
                <w:left w:val="none" w:sz="0" w:space="0" w:color="auto"/>
                <w:bottom w:val="none" w:sz="0" w:space="0" w:color="auto"/>
                <w:right w:val="none" w:sz="0" w:space="0" w:color="auto"/>
              </w:divBdr>
            </w:div>
          </w:divsChild>
        </w:div>
        <w:div w:id="1687709266">
          <w:marLeft w:val="0"/>
          <w:marRight w:val="0"/>
          <w:marTop w:val="0"/>
          <w:marBottom w:val="0"/>
          <w:divBdr>
            <w:top w:val="none" w:sz="0" w:space="0" w:color="auto"/>
            <w:left w:val="none" w:sz="0" w:space="0" w:color="auto"/>
            <w:bottom w:val="none" w:sz="0" w:space="0" w:color="auto"/>
            <w:right w:val="none" w:sz="0" w:space="0" w:color="auto"/>
          </w:divBdr>
          <w:divsChild>
            <w:div w:id="873661703">
              <w:marLeft w:val="0"/>
              <w:marRight w:val="0"/>
              <w:marTop w:val="0"/>
              <w:marBottom w:val="0"/>
              <w:divBdr>
                <w:top w:val="none" w:sz="0" w:space="0" w:color="auto"/>
                <w:left w:val="none" w:sz="0" w:space="0" w:color="auto"/>
                <w:bottom w:val="none" w:sz="0" w:space="0" w:color="auto"/>
                <w:right w:val="none" w:sz="0" w:space="0" w:color="auto"/>
              </w:divBdr>
            </w:div>
          </w:divsChild>
        </w:div>
        <w:div w:id="1766266413">
          <w:marLeft w:val="0"/>
          <w:marRight w:val="0"/>
          <w:marTop w:val="0"/>
          <w:marBottom w:val="0"/>
          <w:divBdr>
            <w:top w:val="none" w:sz="0" w:space="0" w:color="auto"/>
            <w:left w:val="none" w:sz="0" w:space="0" w:color="auto"/>
            <w:bottom w:val="none" w:sz="0" w:space="0" w:color="auto"/>
            <w:right w:val="none" w:sz="0" w:space="0" w:color="auto"/>
          </w:divBdr>
          <w:divsChild>
            <w:div w:id="986468807">
              <w:marLeft w:val="0"/>
              <w:marRight w:val="0"/>
              <w:marTop w:val="0"/>
              <w:marBottom w:val="0"/>
              <w:divBdr>
                <w:top w:val="none" w:sz="0" w:space="0" w:color="auto"/>
                <w:left w:val="none" w:sz="0" w:space="0" w:color="auto"/>
                <w:bottom w:val="none" w:sz="0" w:space="0" w:color="auto"/>
                <w:right w:val="none" w:sz="0" w:space="0" w:color="auto"/>
              </w:divBdr>
            </w:div>
          </w:divsChild>
        </w:div>
        <w:div w:id="1860000856">
          <w:marLeft w:val="0"/>
          <w:marRight w:val="0"/>
          <w:marTop w:val="0"/>
          <w:marBottom w:val="0"/>
          <w:divBdr>
            <w:top w:val="none" w:sz="0" w:space="0" w:color="auto"/>
            <w:left w:val="none" w:sz="0" w:space="0" w:color="auto"/>
            <w:bottom w:val="none" w:sz="0" w:space="0" w:color="auto"/>
            <w:right w:val="none" w:sz="0" w:space="0" w:color="auto"/>
          </w:divBdr>
          <w:divsChild>
            <w:div w:id="1011420774">
              <w:marLeft w:val="0"/>
              <w:marRight w:val="0"/>
              <w:marTop w:val="0"/>
              <w:marBottom w:val="0"/>
              <w:divBdr>
                <w:top w:val="none" w:sz="0" w:space="0" w:color="auto"/>
                <w:left w:val="none" w:sz="0" w:space="0" w:color="auto"/>
                <w:bottom w:val="none" w:sz="0" w:space="0" w:color="auto"/>
                <w:right w:val="none" w:sz="0" w:space="0" w:color="auto"/>
              </w:divBdr>
            </w:div>
          </w:divsChild>
        </w:div>
        <w:div w:id="1877619913">
          <w:marLeft w:val="0"/>
          <w:marRight w:val="0"/>
          <w:marTop w:val="0"/>
          <w:marBottom w:val="0"/>
          <w:divBdr>
            <w:top w:val="none" w:sz="0" w:space="0" w:color="auto"/>
            <w:left w:val="none" w:sz="0" w:space="0" w:color="auto"/>
            <w:bottom w:val="none" w:sz="0" w:space="0" w:color="auto"/>
            <w:right w:val="none" w:sz="0" w:space="0" w:color="auto"/>
          </w:divBdr>
          <w:divsChild>
            <w:div w:id="16085347">
              <w:marLeft w:val="0"/>
              <w:marRight w:val="0"/>
              <w:marTop w:val="0"/>
              <w:marBottom w:val="0"/>
              <w:divBdr>
                <w:top w:val="none" w:sz="0" w:space="0" w:color="auto"/>
                <w:left w:val="none" w:sz="0" w:space="0" w:color="auto"/>
                <w:bottom w:val="none" w:sz="0" w:space="0" w:color="auto"/>
                <w:right w:val="none" w:sz="0" w:space="0" w:color="auto"/>
              </w:divBdr>
            </w:div>
            <w:div w:id="541669650">
              <w:marLeft w:val="0"/>
              <w:marRight w:val="0"/>
              <w:marTop w:val="0"/>
              <w:marBottom w:val="0"/>
              <w:divBdr>
                <w:top w:val="none" w:sz="0" w:space="0" w:color="auto"/>
                <w:left w:val="none" w:sz="0" w:space="0" w:color="auto"/>
                <w:bottom w:val="none" w:sz="0" w:space="0" w:color="auto"/>
                <w:right w:val="none" w:sz="0" w:space="0" w:color="auto"/>
              </w:divBdr>
            </w:div>
            <w:div w:id="665132017">
              <w:marLeft w:val="0"/>
              <w:marRight w:val="0"/>
              <w:marTop w:val="0"/>
              <w:marBottom w:val="0"/>
              <w:divBdr>
                <w:top w:val="none" w:sz="0" w:space="0" w:color="auto"/>
                <w:left w:val="none" w:sz="0" w:space="0" w:color="auto"/>
                <w:bottom w:val="none" w:sz="0" w:space="0" w:color="auto"/>
                <w:right w:val="none" w:sz="0" w:space="0" w:color="auto"/>
              </w:divBdr>
            </w:div>
            <w:div w:id="804932428">
              <w:marLeft w:val="0"/>
              <w:marRight w:val="0"/>
              <w:marTop w:val="0"/>
              <w:marBottom w:val="0"/>
              <w:divBdr>
                <w:top w:val="none" w:sz="0" w:space="0" w:color="auto"/>
                <w:left w:val="none" w:sz="0" w:space="0" w:color="auto"/>
                <w:bottom w:val="none" w:sz="0" w:space="0" w:color="auto"/>
                <w:right w:val="none" w:sz="0" w:space="0" w:color="auto"/>
              </w:divBdr>
            </w:div>
            <w:div w:id="982975241">
              <w:marLeft w:val="0"/>
              <w:marRight w:val="0"/>
              <w:marTop w:val="0"/>
              <w:marBottom w:val="0"/>
              <w:divBdr>
                <w:top w:val="none" w:sz="0" w:space="0" w:color="auto"/>
                <w:left w:val="none" w:sz="0" w:space="0" w:color="auto"/>
                <w:bottom w:val="none" w:sz="0" w:space="0" w:color="auto"/>
                <w:right w:val="none" w:sz="0" w:space="0" w:color="auto"/>
              </w:divBdr>
            </w:div>
            <w:div w:id="1110275509">
              <w:marLeft w:val="0"/>
              <w:marRight w:val="0"/>
              <w:marTop w:val="0"/>
              <w:marBottom w:val="0"/>
              <w:divBdr>
                <w:top w:val="none" w:sz="0" w:space="0" w:color="auto"/>
                <w:left w:val="none" w:sz="0" w:space="0" w:color="auto"/>
                <w:bottom w:val="none" w:sz="0" w:space="0" w:color="auto"/>
                <w:right w:val="none" w:sz="0" w:space="0" w:color="auto"/>
              </w:divBdr>
            </w:div>
            <w:div w:id="1408108731">
              <w:marLeft w:val="0"/>
              <w:marRight w:val="0"/>
              <w:marTop w:val="0"/>
              <w:marBottom w:val="0"/>
              <w:divBdr>
                <w:top w:val="none" w:sz="0" w:space="0" w:color="auto"/>
                <w:left w:val="none" w:sz="0" w:space="0" w:color="auto"/>
                <w:bottom w:val="none" w:sz="0" w:space="0" w:color="auto"/>
                <w:right w:val="none" w:sz="0" w:space="0" w:color="auto"/>
              </w:divBdr>
            </w:div>
            <w:div w:id="1509372285">
              <w:marLeft w:val="0"/>
              <w:marRight w:val="0"/>
              <w:marTop w:val="0"/>
              <w:marBottom w:val="0"/>
              <w:divBdr>
                <w:top w:val="none" w:sz="0" w:space="0" w:color="auto"/>
                <w:left w:val="none" w:sz="0" w:space="0" w:color="auto"/>
                <w:bottom w:val="none" w:sz="0" w:space="0" w:color="auto"/>
                <w:right w:val="none" w:sz="0" w:space="0" w:color="auto"/>
              </w:divBdr>
            </w:div>
            <w:div w:id="1577086209">
              <w:marLeft w:val="0"/>
              <w:marRight w:val="0"/>
              <w:marTop w:val="0"/>
              <w:marBottom w:val="0"/>
              <w:divBdr>
                <w:top w:val="none" w:sz="0" w:space="0" w:color="auto"/>
                <w:left w:val="none" w:sz="0" w:space="0" w:color="auto"/>
                <w:bottom w:val="none" w:sz="0" w:space="0" w:color="auto"/>
                <w:right w:val="none" w:sz="0" w:space="0" w:color="auto"/>
              </w:divBdr>
            </w:div>
            <w:div w:id="1858303085">
              <w:marLeft w:val="0"/>
              <w:marRight w:val="0"/>
              <w:marTop w:val="0"/>
              <w:marBottom w:val="0"/>
              <w:divBdr>
                <w:top w:val="none" w:sz="0" w:space="0" w:color="auto"/>
                <w:left w:val="none" w:sz="0" w:space="0" w:color="auto"/>
                <w:bottom w:val="none" w:sz="0" w:space="0" w:color="auto"/>
                <w:right w:val="none" w:sz="0" w:space="0" w:color="auto"/>
              </w:divBdr>
            </w:div>
            <w:div w:id="2040154493">
              <w:marLeft w:val="0"/>
              <w:marRight w:val="0"/>
              <w:marTop w:val="0"/>
              <w:marBottom w:val="0"/>
              <w:divBdr>
                <w:top w:val="none" w:sz="0" w:space="0" w:color="auto"/>
                <w:left w:val="none" w:sz="0" w:space="0" w:color="auto"/>
                <w:bottom w:val="none" w:sz="0" w:space="0" w:color="auto"/>
                <w:right w:val="none" w:sz="0" w:space="0" w:color="auto"/>
              </w:divBdr>
            </w:div>
            <w:div w:id="2045787649">
              <w:marLeft w:val="0"/>
              <w:marRight w:val="0"/>
              <w:marTop w:val="0"/>
              <w:marBottom w:val="0"/>
              <w:divBdr>
                <w:top w:val="none" w:sz="0" w:space="0" w:color="auto"/>
                <w:left w:val="none" w:sz="0" w:space="0" w:color="auto"/>
                <w:bottom w:val="none" w:sz="0" w:space="0" w:color="auto"/>
                <w:right w:val="none" w:sz="0" w:space="0" w:color="auto"/>
              </w:divBdr>
            </w:div>
          </w:divsChild>
        </w:div>
        <w:div w:id="1904635109">
          <w:marLeft w:val="0"/>
          <w:marRight w:val="0"/>
          <w:marTop w:val="0"/>
          <w:marBottom w:val="0"/>
          <w:divBdr>
            <w:top w:val="none" w:sz="0" w:space="0" w:color="auto"/>
            <w:left w:val="none" w:sz="0" w:space="0" w:color="auto"/>
            <w:bottom w:val="none" w:sz="0" w:space="0" w:color="auto"/>
            <w:right w:val="none" w:sz="0" w:space="0" w:color="auto"/>
          </w:divBdr>
          <w:divsChild>
            <w:div w:id="1232421355">
              <w:marLeft w:val="0"/>
              <w:marRight w:val="0"/>
              <w:marTop w:val="0"/>
              <w:marBottom w:val="0"/>
              <w:divBdr>
                <w:top w:val="none" w:sz="0" w:space="0" w:color="auto"/>
                <w:left w:val="none" w:sz="0" w:space="0" w:color="auto"/>
                <w:bottom w:val="none" w:sz="0" w:space="0" w:color="auto"/>
                <w:right w:val="none" w:sz="0" w:space="0" w:color="auto"/>
              </w:divBdr>
            </w:div>
          </w:divsChild>
        </w:div>
        <w:div w:id="1933397473">
          <w:marLeft w:val="0"/>
          <w:marRight w:val="0"/>
          <w:marTop w:val="0"/>
          <w:marBottom w:val="0"/>
          <w:divBdr>
            <w:top w:val="none" w:sz="0" w:space="0" w:color="auto"/>
            <w:left w:val="none" w:sz="0" w:space="0" w:color="auto"/>
            <w:bottom w:val="none" w:sz="0" w:space="0" w:color="auto"/>
            <w:right w:val="none" w:sz="0" w:space="0" w:color="auto"/>
          </w:divBdr>
          <w:divsChild>
            <w:div w:id="894777644">
              <w:marLeft w:val="0"/>
              <w:marRight w:val="0"/>
              <w:marTop w:val="0"/>
              <w:marBottom w:val="0"/>
              <w:divBdr>
                <w:top w:val="none" w:sz="0" w:space="0" w:color="auto"/>
                <w:left w:val="none" w:sz="0" w:space="0" w:color="auto"/>
                <w:bottom w:val="none" w:sz="0" w:space="0" w:color="auto"/>
                <w:right w:val="none" w:sz="0" w:space="0" w:color="auto"/>
              </w:divBdr>
            </w:div>
          </w:divsChild>
        </w:div>
        <w:div w:id="1980107643">
          <w:marLeft w:val="0"/>
          <w:marRight w:val="0"/>
          <w:marTop w:val="0"/>
          <w:marBottom w:val="0"/>
          <w:divBdr>
            <w:top w:val="none" w:sz="0" w:space="0" w:color="auto"/>
            <w:left w:val="none" w:sz="0" w:space="0" w:color="auto"/>
            <w:bottom w:val="none" w:sz="0" w:space="0" w:color="auto"/>
            <w:right w:val="none" w:sz="0" w:space="0" w:color="auto"/>
          </w:divBdr>
          <w:divsChild>
            <w:div w:id="10679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195">
      <w:bodyDiv w:val="1"/>
      <w:marLeft w:val="0"/>
      <w:marRight w:val="0"/>
      <w:marTop w:val="0"/>
      <w:marBottom w:val="0"/>
      <w:divBdr>
        <w:top w:val="none" w:sz="0" w:space="0" w:color="auto"/>
        <w:left w:val="none" w:sz="0" w:space="0" w:color="auto"/>
        <w:bottom w:val="none" w:sz="0" w:space="0" w:color="auto"/>
        <w:right w:val="none" w:sz="0" w:space="0" w:color="auto"/>
      </w:divBdr>
    </w:div>
    <w:div w:id="320892811">
      <w:bodyDiv w:val="1"/>
      <w:marLeft w:val="0"/>
      <w:marRight w:val="0"/>
      <w:marTop w:val="0"/>
      <w:marBottom w:val="0"/>
      <w:divBdr>
        <w:top w:val="none" w:sz="0" w:space="0" w:color="auto"/>
        <w:left w:val="none" w:sz="0" w:space="0" w:color="auto"/>
        <w:bottom w:val="none" w:sz="0" w:space="0" w:color="auto"/>
        <w:right w:val="none" w:sz="0" w:space="0" w:color="auto"/>
      </w:divBdr>
    </w:div>
    <w:div w:id="681787110">
      <w:bodyDiv w:val="1"/>
      <w:marLeft w:val="0"/>
      <w:marRight w:val="0"/>
      <w:marTop w:val="0"/>
      <w:marBottom w:val="0"/>
      <w:divBdr>
        <w:top w:val="none" w:sz="0" w:space="0" w:color="auto"/>
        <w:left w:val="none" w:sz="0" w:space="0" w:color="auto"/>
        <w:bottom w:val="none" w:sz="0" w:space="0" w:color="auto"/>
        <w:right w:val="none" w:sz="0" w:space="0" w:color="auto"/>
      </w:divBdr>
    </w:div>
    <w:div w:id="762992528">
      <w:bodyDiv w:val="1"/>
      <w:marLeft w:val="0"/>
      <w:marRight w:val="0"/>
      <w:marTop w:val="0"/>
      <w:marBottom w:val="0"/>
      <w:divBdr>
        <w:top w:val="none" w:sz="0" w:space="0" w:color="auto"/>
        <w:left w:val="none" w:sz="0" w:space="0" w:color="auto"/>
        <w:bottom w:val="none" w:sz="0" w:space="0" w:color="auto"/>
        <w:right w:val="none" w:sz="0" w:space="0" w:color="auto"/>
      </w:divBdr>
      <w:divsChild>
        <w:div w:id="86733217">
          <w:marLeft w:val="0"/>
          <w:marRight w:val="0"/>
          <w:marTop w:val="0"/>
          <w:marBottom w:val="0"/>
          <w:divBdr>
            <w:top w:val="none" w:sz="0" w:space="0" w:color="auto"/>
            <w:left w:val="none" w:sz="0" w:space="0" w:color="auto"/>
            <w:bottom w:val="none" w:sz="0" w:space="0" w:color="auto"/>
            <w:right w:val="none" w:sz="0" w:space="0" w:color="auto"/>
          </w:divBdr>
          <w:divsChild>
            <w:div w:id="2059237021">
              <w:marLeft w:val="0"/>
              <w:marRight w:val="0"/>
              <w:marTop w:val="0"/>
              <w:marBottom w:val="0"/>
              <w:divBdr>
                <w:top w:val="none" w:sz="0" w:space="0" w:color="auto"/>
                <w:left w:val="none" w:sz="0" w:space="0" w:color="auto"/>
                <w:bottom w:val="none" w:sz="0" w:space="0" w:color="auto"/>
                <w:right w:val="none" w:sz="0" w:space="0" w:color="auto"/>
              </w:divBdr>
            </w:div>
          </w:divsChild>
        </w:div>
        <w:div w:id="97143837">
          <w:marLeft w:val="0"/>
          <w:marRight w:val="0"/>
          <w:marTop w:val="0"/>
          <w:marBottom w:val="0"/>
          <w:divBdr>
            <w:top w:val="none" w:sz="0" w:space="0" w:color="auto"/>
            <w:left w:val="none" w:sz="0" w:space="0" w:color="auto"/>
            <w:bottom w:val="none" w:sz="0" w:space="0" w:color="auto"/>
            <w:right w:val="none" w:sz="0" w:space="0" w:color="auto"/>
          </w:divBdr>
          <w:divsChild>
            <w:div w:id="1519545445">
              <w:marLeft w:val="0"/>
              <w:marRight w:val="0"/>
              <w:marTop w:val="0"/>
              <w:marBottom w:val="0"/>
              <w:divBdr>
                <w:top w:val="none" w:sz="0" w:space="0" w:color="auto"/>
                <w:left w:val="none" w:sz="0" w:space="0" w:color="auto"/>
                <w:bottom w:val="none" w:sz="0" w:space="0" w:color="auto"/>
                <w:right w:val="none" w:sz="0" w:space="0" w:color="auto"/>
              </w:divBdr>
            </w:div>
          </w:divsChild>
        </w:div>
        <w:div w:id="131604475">
          <w:marLeft w:val="0"/>
          <w:marRight w:val="0"/>
          <w:marTop w:val="0"/>
          <w:marBottom w:val="0"/>
          <w:divBdr>
            <w:top w:val="none" w:sz="0" w:space="0" w:color="auto"/>
            <w:left w:val="none" w:sz="0" w:space="0" w:color="auto"/>
            <w:bottom w:val="none" w:sz="0" w:space="0" w:color="auto"/>
            <w:right w:val="none" w:sz="0" w:space="0" w:color="auto"/>
          </w:divBdr>
          <w:divsChild>
            <w:div w:id="1467116455">
              <w:marLeft w:val="0"/>
              <w:marRight w:val="0"/>
              <w:marTop w:val="0"/>
              <w:marBottom w:val="0"/>
              <w:divBdr>
                <w:top w:val="none" w:sz="0" w:space="0" w:color="auto"/>
                <w:left w:val="none" w:sz="0" w:space="0" w:color="auto"/>
                <w:bottom w:val="none" w:sz="0" w:space="0" w:color="auto"/>
                <w:right w:val="none" w:sz="0" w:space="0" w:color="auto"/>
              </w:divBdr>
            </w:div>
          </w:divsChild>
        </w:div>
        <w:div w:id="147790498">
          <w:marLeft w:val="0"/>
          <w:marRight w:val="0"/>
          <w:marTop w:val="0"/>
          <w:marBottom w:val="0"/>
          <w:divBdr>
            <w:top w:val="none" w:sz="0" w:space="0" w:color="auto"/>
            <w:left w:val="none" w:sz="0" w:space="0" w:color="auto"/>
            <w:bottom w:val="none" w:sz="0" w:space="0" w:color="auto"/>
            <w:right w:val="none" w:sz="0" w:space="0" w:color="auto"/>
          </w:divBdr>
          <w:divsChild>
            <w:div w:id="547765002">
              <w:marLeft w:val="0"/>
              <w:marRight w:val="0"/>
              <w:marTop w:val="0"/>
              <w:marBottom w:val="0"/>
              <w:divBdr>
                <w:top w:val="none" w:sz="0" w:space="0" w:color="auto"/>
                <w:left w:val="none" w:sz="0" w:space="0" w:color="auto"/>
                <w:bottom w:val="none" w:sz="0" w:space="0" w:color="auto"/>
                <w:right w:val="none" w:sz="0" w:space="0" w:color="auto"/>
              </w:divBdr>
            </w:div>
          </w:divsChild>
        </w:div>
        <w:div w:id="168956646">
          <w:marLeft w:val="0"/>
          <w:marRight w:val="0"/>
          <w:marTop w:val="0"/>
          <w:marBottom w:val="0"/>
          <w:divBdr>
            <w:top w:val="none" w:sz="0" w:space="0" w:color="auto"/>
            <w:left w:val="none" w:sz="0" w:space="0" w:color="auto"/>
            <w:bottom w:val="none" w:sz="0" w:space="0" w:color="auto"/>
            <w:right w:val="none" w:sz="0" w:space="0" w:color="auto"/>
          </w:divBdr>
          <w:divsChild>
            <w:div w:id="876622311">
              <w:marLeft w:val="0"/>
              <w:marRight w:val="0"/>
              <w:marTop w:val="0"/>
              <w:marBottom w:val="0"/>
              <w:divBdr>
                <w:top w:val="none" w:sz="0" w:space="0" w:color="auto"/>
                <w:left w:val="none" w:sz="0" w:space="0" w:color="auto"/>
                <w:bottom w:val="none" w:sz="0" w:space="0" w:color="auto"/>
                <w:right w:val="none" w:sz="0" w:space="0" w:color="auto"/>
              </w:divBdr>
            </w:div>
          </w:divsChild>
        </w:div>
        <w:div w:id="305286782">
          <w:marLeft w:val="0"/>
          <w:marRight w:val="0"/>
          <w:marTop w:val="0"/>
          <w:marBottom w:val="0"/>
          <w:divBdr>
            <w:top w:val="none" w:sz="0" w:space="0" w:color="auto"/>
            <w:left w:val="none" w:sz="0" w:space="0" w:color="auto"/>
            <w:bottom w:val="none" w:sz="0" w:space="0" w:color="auto"/>
            <w:right w:val="none" w:sz="0" w:space="0" w:color="auto"/>
          </w:divBdr>
          <w:divsChild>
            <w:div w:id="21782662">
              <w:marLeft w:val="0"/>
              <w:marRight w:val="0"/>
              <w:marTop w:val="0"/>
              <w:marBottom w:val="0"/>
              <w:divBdr>
                <w:top w:val="none" w:sz="0" w:space="0" w:color="auto"/>
                <w:left w:val="none" w:sz="0" w:space="0" w:color="auto"/>
                <w:bottom w:val="none" w:sz="0" w:space="0" w:color="auto"/>
                <w:right w:val="none" w:sz="0" w:space="0" w:color="auto"/>
              </w:divBdr>
            </w:div>
            <w:div w:id="505023482">
              <w:marLeft w:val="0"/>
              <w:marRight w:val="0"/>
              <w:marTop w:val="0"/>
              <w:marBottom w:val="0"/>
              <w:divBdr>
                <w:top w:val="none" w:sz="0" w:space="0" w:color="auto"/>
                <w:left w:val="none" w:sz="0" w:space="0" w:color="auto"/>
                <w:bottom w:val="none" w:sz="0" w:space="0" w:color="auto"/>
                <w:right w:val="none" w:sz="0" w:space="0" w:color="auto"/>
              </w:divBdr>
            </w:div>
            <w:div w:id="611325699">
              <w:marLeft w:val="0"/>
              <w:marRight w:val="0"/>
              <w:marTop w:val="0"/>
              <w:marBottom w:val="0"/>
              <w:divBdr>
                <w:top w:val="none" w:sz="0" w:space="0" w:color="auto"/>
                <w:left w:val="none" w:sz="0" w:space="0" w:color="auto"/>
                <w:bottom w:val="none" w:sz="0" w:space="0" w:color="auto"/>
                <w:right w:val="none" w:sz="0" w:space="0" w:color="auto"/>
              </w:divBdr>
            </w:div>
            <w:div w:id="829172508">
              <w:marLeft w:val="0"/>
              <w:marRight w:val="0"/>
              <w:marTop w:val="0"/>
              <w:marBottom w:val="0"/>
              <w:divBdr>
                <w:top w:val="none" w:sz="0" w:space="0" w:color="auto"/>
                <w:left w:val="none" w:sz="0" w:space="0" w:color="auto"/>
                <w:bottom w:val="none" w:sz="0" w:space="0" w:color="auto"/>
                <w:right w:val="none" w:sz="0" w:space="0" w:color="auto"/>
              </w:divBdr>
            </w:div>
            <w:div w:id="962004531">
              <w:marLeft w:val="0"/>
              <w:marRight w:val="0"/>
              <w:marTop w:val="0"/>
              <w:marBottom w:val="0"/>
              <w:divBdr>
                <w:top w:val="none" w:sz="0" w:space="0" w:color="auto"/>
                <w:left w:val="none" w:sz="0" w:space="0" w:color="auto"/>
                <w:bottom w:val="none" w:sz="0" w:space="0" w:color="auto"/>
                <w:right w:val="none" w:sz="0" w:space="0" w:color="auto"/>
              </w:divBdr>
            </w:div>
            <w:div w:id="1425104270">
              <w:marLeft w:val="0"/>
              <w:marRight w:val="0"/>
              <w:marTop w:val="0"/>
              <w:marBottom w:val="0"/>
              <w:divBdr>
                <w:top w:val="none" w:sz="0" w:space="0" w:color="auto"/>
                <w:left w:val="none" w:sz="0" w:space="0" w:color="auto"/>
                <w:bottom w:val="none" w:sz="0" w:space="0" w:color="auto"/>
                <w:right w:val="none" w:sz="0" w:space="0" w:color="auto"/>
              </w:divBdr>
            </w:div>
            <w:div w:id="1504660959">
              <w:marLeft w:val="0"/>
              <w:marRight w:val="0"/>
              <w:marTop w:val="0"/>
              <w:marBottom w:val="0"/>
              <w:divBdr>
                <w:top w:val="none" w:sz="0" w:space="0" w:color="auto"/>
                <w:left w:val="none" w:sz="0" w:space="0" w:color="auto"/>
                <w:bottom w:val="none" w:sz="0" w:space="0" w:color="auto"/>
                <w:right w:val="none" w:sz="0" w:space="0" w:color="auto"/>
              </w:divBdr>
            </w:div>
            <w:div w:id="1566331300">
              <w:marLeft w:val="0"/>
              <w:marRight w:val="0"/>
              <w:marTop w:val="0"/>
              <w:marBottom w:val="0"/>
              <w:divBdr>
                <w:top w:val="none" w:sz="0" w:space="0" w:color="auto"/>
                <w:left w:val="none" w:sz="0" w:space="0" w:color="auto"/>
                <w:bottom w:val="none" w:sz="0" w:space="0" w:color="auto"/>
                <w:right w:val="none" w:sz="0" w:space="0" w:color="auto"/>
              </w:divBdr>
            </w:div>
            <w:div w:id="1580671481">
              <w:marLeft w:val="0"/>
              <w:marRight w:val="0"/>
              <w:marTop w:val="0"/>
              <w:marBottom w:val="0"/>
              <w:divBdr>
                <w:top w:val="none" w:sz="0" w:space="0" w:color="auto"/>
                <w:left w:val="none" w:sz="0" w:space="0" w:color="auto"/>
                <w:bottom w:val="none" w:sz="0" w:space="0" w:color="auto"/>
                <w:right w:val="none" w:sz="0" w:space="0" w:color="auto"/>
              </w:divBdr>
            </w:div>
            <w:div w:id="1688754872">
              <w:marLeft w:val="0"/>
              <w:marRight w:val="0"/>
              <w:marTop w:val="0"/>
              <w:marBottom w:val="0"/>
              <w:divBdr>
                <w:top w:val="none" w:sz="0" w:space="0" w:color="auto"/>
                <w:left w:val="none" w:sz="0" w:space="0" w:color="auto"/>
                <w:bottom w:val="none" w:sz="0" w:space="0" w:color="auto"/>
                <w:right w:val="none" w:sz="0" w:space="0" w:color="auto"/>
              </w:divBdr>
            </w:div>
            <w:div w:id="2010981620">
              <w:marLeft w:val="0"/>
              <w:marRight w:val="0"/>
              <w:marTop w:val="0"/>
              <w:marBottom w:val="0"/>
              <w:divBdr>
                <w:top w:val="none" w:sz="0" w:space="0" w:color="auto"/>
                <w:left w:val="none" w:sz="0" w:space="0" w:color="auto"/>
                <w:bottom w:val="none" w:sz="0" w:space="0" w:color="auto"/>
                <w:right w:val="none" w:sz="0" w:space="0" w:color="auto"/>
              </w:divBdr>
            </w:div>
            <w:div w:id="2011717694">
              <w:marLeft w:val="0"/>
              <w:marRight w:val="0"/>
              <w:marTop w:val="0"/>
              <w:marBottom w:val="0"/>
              <w:divBdr>
                <w:top w:val="none" w:sz="0" w:space="0" w:color="auto"/>
                <w:left w:val="none" w:sz="0" w:space="0" w:color="auto"/>
                <w:bottom w:val="none" w:sz="0" w:space="0" w:color="auto"/>
                <w:right w:val="none" w:sz="0" w:space="0" w:color="auto"/>
              </w:divBdr>
            </w:div>
          </w:divsChild>
        </w:div>
        <w:div w:id="329992866">
          <w:marLeft w:val="0"/>
          <w:marRight w:val="0"/>
          <w:marTop w:val="0"/>
          <w:marBottom w:val="0"/>
          <w:divBdr>
            <w:top w:val="none" w:sz="0" w:space="0" w:color="auto"/>
            <w:left w:val="none" w:sz="0" w:space="0" w:color="auto"/>
            <w:bottom w:val="none" w:sz="0" w:space="0" w:color="auto"/>
            <w:right w:val="none" w:sz="0" w:space="0" w:color="auto"/>
          </w:divBdr>
          <w:divsChild>
            <w:div w:id="490602723">
              <w:marLeft w:val="0"/>
              <w:marRight w:val="0"/>
              <w:marTop w:val="0"/>
              <w:marBottom w:val="0"/>
              <w:divBdr>
                <w:top w:val="none" w:sz="0" w:space="0" w:color="auto"/>
                <w:left w:val="none" w:sz="0" w:space="0" w:color="auto"/>
                <w:bottom w:val="none" w:sz="0" w:space="0" w:color="auto"/>
                <w:right w:val="none" w:sz="0" w:space="0" w:color="auto"/>
              </w:divBdr>
            </w:div>
          </w:divsChild>
        </w:div>
        <w:div w:id="352851068">
          <w:marLeft w:val="0"/>
          <w:marRight w:val="0"/>
          <w:marTop w:val="0"/>
          <w:marBottom w:val="0"/>
          <w:divBdr>
            <w:top w:val="none" w:sz="0" w:space="0" w:color="auto"/>
            <w:left w:val="none" w:sz="0" w:space="0" w:color="auto"/>
            <w:bottom w:val="none" w:sz="0" w:space="0" w:color="auto"/>
            <w:right w:val="none" w:sz="0" w:space="0" w:color="auto"/>
          </w:divBdr>
          <w:divsChild>
            <w:div w:id="1494176157">
              <w:marLeft w:val="0"/>
              <w:marRight w:val="0"/>
              <w:marTop w:val="0"/>
              <w:marBottom w:val="0"/>
              <w:divBdr>
                <w:top w:val="none" w:sz="0" w:space="0" w:color="auto"/>
                <w:left w:val="none" w:sz="0" w:space="0" w:color="auto"/>
                <w:bottom w:val="none" w:sz="0" w:space="0" w:color="auto"/>
                <w:right w:val="none" w:sz="0" w:space="0" w:color="auto"/>
              </w:divBdr>
            </w:div>
          </w:divsChild>
        </w:div>
        <w:div w:id="427241985">
          <w:marLeft w:val="0"/>
          <w:marRight w:val="0"/>
          <w:marTop w:val="0"/>
          <w:marBottom w:val="0"/>
          <w:divBdr>
            <w:top w:val="none" w:sz="0" w:space="0" w:color="auto"/>
            <w:left w:val="none" w:sz="0" w:space="0" w:color="auto"/>
            <w:bottom w:val="none" w:sz="0" w:space="0" w:color="auto"/>
            <w:right w:val="none" w:sz="0" w:space="0" w:color="auto"/>
          </w:divBdr>
          <w:divsChild>
            <w:div w:id="783579065">
              <w:marLeft w:val="0"/>
              <w:marRight w:val="0"/>
              <w:marTop w:val="0"/>
              <w:marBottom w:val="0"/>
              <w:divBdr>
                <w:top w:val="none" w:sz="0" w:space="0" w:color="auto"/>
                <w:left w:val="none" w:sz="0" w:space="0" w:color="auto"/>
                <w:bottom w:val="none" w:sz="0" w:space="0" w:color="auto"/>
                <w:right w:val="none" w:sz="0" w:space="0" w:color="auto"/>
              </w:divBdr>
            </w:div>
          </w:divsChild>
        </w:div>
        <w:div w:id="436214364">
          <w:marLeft w:val="0"/>
          <w:marRight w:val="0"/>
          <w:marTop w:val="0"/>
          <w:marBottom w:val="0"/>
          <w:divBdr>
            <w:top w:val="none" w:sz="0" w:space="0" w:color="auto"/>
            <w:left w:val="none" w:sz="0" w:space="0" w:color="auto"/>
            <w:bottom w:val="none" w:sz="0" w:space="0" w:color="auto"/>
            <w:right w:val="none" w:sz="0" w:space="0" w:color="auto"/>
          </w:divBdr>
          <w:divsChild>
            <w:div w:id="928538274">
              <w:marLeft w:val="0"/>
              <w:marRight w:val="0"/>
              <w:marTop w:val="0"/>
              <w:marBottom w:val="0"/>
              <w:divBdr>
                <w:top w:val="none" w:sz="0" w:space="0" w:color="auto"/>
                <w:left w:val="none" w:sz="0" w:space="0" w:color="auto"/>
                <w:bottom w:val="none" w:sz="0" w:space="0" w:color="auto"/>
                <w:right w:val="none" w:sz="0" w:space="0" w:color="auto"/>
              </w:divBdr>
            </w:div>
          </w:divsChild>
        </w:div>
        <w:div w:id="614286764">
          <w:marLeft w:val="0"/>
          <w:marRight w:val="0"/>
          <w:marTop w:val="0"/>
          <w:marBottom w:val="0"/>
          <w:divBdr>
            <w:top w:val="none" w:sz="0" w:space="0" w:color="auto"/>
            <w:left w:val="none" w:sz="0" w:space="0" w:color="auto"/>
            <w:bottom w:val="none" w:sz="0" w:space="0" w:color="auto"/>
            <w:right w:val="none" w:sz="0" w:space="0" w:color="auto"/>
          </w:divBdr>
          <w:divsChild>
            <w:div w:id="1059085873">
              <w:marLeft w:val="0"/>
              <w:marRight w:val="0"/>
              <w:marTop w:val="0"/>
              <w:marBottom w:val="0"/>
              <w:divBdr>
                <w:top w:val="none" w:sz="0" w:space="0" w:color="auto"/>
                <w:left w:val="none" w:sz="0" w:space="0" w:color="auto"/>
                <w:bottom w:val="none" w:sz="0" w:space="0" w:color="auto"/>
                <w:right w:val="none" w:sz="0" w:space="0" w:color="auto"/>
              </w:divBdr>
            </w:div>
          </w:divsChild>
        </w:div>
        <w:div w:id="830752170">
          <w:marLeft w:val="0"/>
          <w:marRight w:val="0"/>
          <w:marTop w:val="0"/>
          <w:marBottom w:val="0"/>
          <w:divBdr>
            <w:top w:val="none" w:sz="0" w:space="0" w:color="auto"/>
            <w:left w:val="none" w:sz="0" w:space="0" w:color="auto"/>
            <w:bottom w:val="none" w:sz="0" w:space="0" w:color="auto"/>
            <w:right w:val="none" w:sz="0" w:space="0" w:color="auto"/>
          </w:divBdr>
          <w:divsChild>
            <w:div w:id="138886083">
              <w:marLeft w:val="0"/>
              <w:marRight w:val="0"/>
              <w:marTop w:val="0"/>
              <w:marBottom w:val="0"/>
              <w:divBdr>
                <w:top w:val="none" w:sz="0" w:space="0" w:color="auto"/>
                <w:left w:val="none" w:sz="0" w:space="0" w:color="auto"/>
                <w:bottom w:val="none" w:sz="0" w:space="0" w:color="auto"/>
                <w:right w:val="none" w:sz="0" w:space="0" w:color="auto"/>
              </w:divBdr>
            </w:div>
          </w:divsChild>
        </w:div>
        <w:div w:id="946691718">
          <w:marLeft w:val="0"/>
          <w:marRight w:val="0"/>
          <w:marTop w:val="0"/>
          <w:marBottom w:val="0"/>
          <w:divBdr>
            <w:top w:val="none" w:sz="0" w:space="0" w:color="auto"/>
            <w:left w:val="none" w:sz="0" w:space="0" w:color="auto"/>
            <w:bottom w:val="none" w:sz="0" w:space="0" w:color="auto"/>
            <w:right w:val="none" w:sz="0" w:space="0" w:color="auto"/>
          </w:divBdr>
          <w:divsChild>
            <w:div w:id="1769886434">
              <w:marLeft w:val="0"/>
              <w:marRight w:val="0"/>
              <w:marTop w:val="0"/>
              <w:marBottom w:val="0"/>
              <w:divBdr>
                <w:top w:val="none" w:sz="0" w:space="0" w:color="auto"/>
                <w:left w:val="none" w:sz="0" w:space="0" w:color="auto"/>
                <w:bottom w:val="none" w:sz="0" w:space="0" w:color="auto"/>
                <w:right w:val="none" w:sz="0" w:space="0" w:color="auto"/>
              </w:divBdr>
            </w:div>
          </w:divsChild>
        </w:div>
        <w:div w:id="963510624">
          <w:marLeft w:val="0"/>
          <w:marRight w:val="0"/>
          <w:marTop w:val="0"/>
          <w:marBottom w:val="0"/>
          <w:divBdr>
            <w:top w:val="none" w:sz="0" w:space="0" w:color="auto"/>
            <w:left w:val="none" w:sz="0" w:space="0" w:color="auto"/>
            <w:bottom w:val="none" w:sz="0" w:space="0" w:color="auto"/>
            <w:right w:val="none" w:sz="0" w:space="0" w:color="auto"/>
          </w:divBdr>
          <w:divsChild>
            <w:div w:id="611861790">
              <w:marLeft w:val="0"/>
              <w:marRight w:val="0"/>
              <w:marTop w:val="0"/>
              <w:marBottom w:val="0"/>
              <w:divBdr>
                <w:top w:val="none" w:sz="0" w:space="0" w:color="auto"/>
                <w:left w:val="none" w:sz="0" w:space="0" w:color="auto"/>
                <w:bottom w:val="none" w:sz="0" w:space="0" w:color="auto"/>
                <w:right w:val="none" w:sz="0" w:space="0" w:color="auto"/>
              </w:divBdr>
            </w:div>
          </w:divsChild>
        </w:div>
        <w:div w:id="1039933665">
          <w:marLeft w:val="0"/>
          <w:marRight w:val="0"/>
          <w:marTop w:val="0"/>
          <w:marBottom w:val="0"/>
          <w:divBdr>
            <w:top w:val="none" w:sz="0" w:space="0" w:color="auto"/>
            <w:left w:val="none" w:sz="0" w:space="0" w:color="auto"/>
            <w:bottom w:val="none" w:sz="0" w:space="0" w:color="auto"/>
            <w:right w:val="none" w:sz="0" w:space="0" w:color="auto"/>
          </w:divBdr>
          <w:divsChild>
            <w:div w:id="1664431433">
              <w:marLeft w:val="0"/>
              <w:marRight w:val="0"/>
              <w:marTop w:val="0"/>
              <w:marBottom w:val="0"/>
              <w:divBdr>
                <w:top w:val="none" w:sz="0" w:space="0" w:color="auto"/>
                <w:left w:val="none" w:sz="0" w:space="0" w:color="auto"/>
                <w:bottom w:val="none" w:sz="0" w:space="0" w:color="auto"/>
                <w:right w:val="none" w:sz="0" w:space="0" w:color="auto"/>
              </w:divBdr>
            </w:div>
          </w:divsChild>
        </w:div>
        <w:div w:id="1261372929">
          <w:marLeft w:val="0"/>
          <w:marRight w:val="0"/>
          <w:marTop w:val="0"/>
          <w:marBottom w:val="0"/>
          <w:divBdr>
            <w:top w:val="none" w:sz="0" w:space="0" w:color="auto"/>
            <w:left w:val="none" w:sz="0" w:space="0" w:color="auto"/>
            <w:bottom w:val="none" w:sz="0" w:space="0" w:color="auto"/>
            <w:right w:val="none" w:sz="0" w:space="0" w:color="auto"/>
          </w:divBdr>
          <w:divsChild>
            <w:div w:id="1802337821">
              <w:marLeft w:val="0"/>
              <w:marRight w:val="0"/>
              <w:marTop w:val="0"/>
              <w:marBottom w:val="0"/>
              <w:divBdr>
                <w:top w:val="none" w:sz="0" w:space="0" w:color="auto"/>
                <w:left w:val="none" w:sz="0" w:space="0" w:color="auto"/>
                <w:bottom w:val="none" w:sz="0" w:space="0" w:color="auto"/>
                <w:right w:val="none" w:sz="0" w:space="0" w:color="auto"/>
              </w:divBdr>
            </w:div>
          </w:divsChild>
        </w:div>
        <w:div w:id="1406874469">
          <w:marLeft w:val="0"/>
          <w:marRight w:val="0"/>
          <w:marTop w:val="0"/>
          <w:marBottom w:val="0"/>
          <w:divBdr>
            <w:top w:val="none" w:sz="0" w:space="0" w:color="auto"/>
            <w:left w:val="none" w:sz="0" w:space="0" w:color="auto"/>
            <w:bottom w:val="none" w:sz="0" w:space="0" w:color="auto"/>
            <w:right w:val="none" w:sz="0" w:space="0" w:color="auto"/>
          </w:divBdr>
          <w:divsChild>
            <w:div w:id="491222563">
              <w:marLeft w:val="0"/>
              <w:marRight w:val="0"/>
              <w:marTop w:val="0"/>
              <w:marBottom w:val="0"/>
              <w:divBdr>
                <w:top w:val="none" w:sz="0" w:space="0" w:color="auto"/>
                <w:left w:val="none" w:sz="0" w:space="0" w:color="auto"/>
                <w:bottom w:val="none" w:sz="0" w:space="0" w:color="auto"/>
                <w:right w:val="none" w:sz="0" w:space="0" w:color="auto"/>
              </w:divBdr>
            </w:div>
          </w:divsChild>
        </w:div>
        <w:div w:id="1436249054">
          <w:marLeft w:val="0"/>
          <w:marRight w:val="0"/>
          <w:marTop w:val="0"/>
          <w:marBottom w:val="0"/>
          <w:divBdr>
            <w:top w:val="none" w:sz="0" w:space="0" w:color="auto"/>
            <w:left w:val="none" w:sz="0" w:space="0" w:color="auto"/>
            <w:bottom w:val="none" w:sz="0" w:space="0" w:color="auto"/>
            <w:right w:val="none" w:sz="0" w:space="0" w:color="auto"/>
          </w:divBdr>
          <w:divsChild>
            <w:div w:id="1348872277">
              <w:marLeft w:val="0"/>
              <w:marRight w:val="0"/>
              <w:marTop w:val="0"/>
              <w:marBottom w:val="0"/>
              <w:divBdr>
                <w:top w:val="none" w:sz="0" w:space="0" w:color="auto"/>
                <w:left w:val="none" w:sz="0" w:space="0" w:color="auto"/>
                <w:bottom w:val="none" w:sz="0" w:space="0" w:color="auto"/>
                <w:right w:val="none" w:sz="0" w:space="0" w:color="auto"/>
              </w:divBdr>
            </w:div>
          </w:divsChild>
        </w:div>
        <w:div w:id="1578709643">
          <w:marLeft w:val="0"/>
          <w:marRight w:val="0"/>
          <w:marTop w:val="0"/>
          <w:marBottom w:val="0"/>
          <w:divBdr>
            <w:top w:val="none" w:sz="0" w:space="0" w:color="auto"/>
            <w:left w:val="none" w:sz="0" w:space="0" w:color="auto"/>
            <w:bottom w:val="none" w:sz="0" w:space="0" w:color="auto"/>
            <w:right w:val="none" w:sz="0" w:space="0" w:color="auto"/>
          </w:divBdr>
          <w:divsChild>
            <w:div w:id="1291210383">
              <w:marLeft w:val="0"/>
              <w:marRight w:val="0"/>
              <w:marTop w:val="0"/>
              <w:marBottom w:val="0"/>
              <w:divBdr>
                <w:top w:val="none" w:sz="0" w:space="0" w:color="auto"/>
                <w:left w:val="none" w:sz="0" w:space="0" w:color="auto"/>
                <w:bottom w:val="none" w:sz="0" w:space="0" w:color="auto"/>
                <w:right w:val="none" w:sz="0" w:space="0" w:color="auto"/>
              </w:divBdr>
            </w:div>
          </w:divsChild>
        </w:div>
        <w:div w:id="1614748041">
          <w:marLeft w:val="0"/>
          <w:marRight w:val="0"/>
          <w:marTop w:val="0"/>
          <w:marBottom w:val="0"/>
          <w:divBdr>
            <w:top w:val="none" w:sz="0" w:space="0" w:color="auto"/>
            <w:left w:val="none" w:sz="0" w:space="0" w:color="auto"/>
            <w:bottom w:val="none" w:sz="0" w:space="0" w:color="auto"/>
            <w:right w:val="none" w:sz="0" w:space="0" w:color="auto"/>
          </w:divBdr>
          <w:divsChild>
            <w:div w:id="1182550247">
              <w:marLeft w:val="0"/>
              <w:marRight w:val="0"/>
              <w:marTop w:val="0"/>
              <w:marBottom w:val="0"/>
              <w:divBdr>
                <w:top w:val="none" w:sz="0" w:space="0" w:color="auto"/>
                <w:left w:val="none" w:sz="0" w:space="0" w:color="auto"/>
                <w:bottom w:val="none" w:sz="0" w:space="0" w:color="auto"/>
                <w:right w:val="none" w:sz="0" w:space="0" w:color="auto"/>
              </w:divBdr>
            </w:div>
          </w:divsChild>
        </w:div>
        <w:div w:id="1620910336">
          <w:marLeft w:val="0"/>
          <w:marRight w:val="0"/>
          <w:marTop w:val="0"/>
          <w:marBottom w:val="0"/>
          <w:divBdr>
            <w:top w:val="none" w:sz="0" w:space="0" w:color="auto"/>
            <w:left w:val="none" w:sz="0" w:space="0" w:color="auto"/>
            <w:bottom w:val="none" w:sz="0" w:space="0" w:color="auto"/>
            <w:right w:val="none" w:sz="0" w:space="0" w:color="auto"/>
          </w:divBdr>
          <w:divsChild>
            <w:div w:id="1436441525">
              <w:marLeft w:val="0"/>
              <w:marRight w:val="0"/>
              <w:marTop w:val="0"/>
              <w:marBottom w:val="0"/>
              <w:divBdr>
                <w:top w:val="none" w:sz="0" w:space="0" w:color="auto"/>
                <w:left w:val="none" w:sz="0" w:space="0" w:color="auto"/>
                <w:bottom w:val="none" w:sz="0" w:space="0" w:color="auto"/>
                <w:right w:val="none" w:sz="0" w:space="0" w:color="auto"/>
              </w:divBdr>
            </w:div>
          </w:divsChild>
        </w:div>
        <w:div w:id="1654066624">
          <w:marLeft w:val="0"/>
          <w:marRight w:val="0"/>
          <w:marTop w:val="0"/>
          <w:marBottom w:val="0"/>
          <w:divBdr>
            <w:top w:val="none" w:sz="0" w:space="0" w:color="auto"/>
            <w:left w:val="none" w:sz="0" w:space="0" w:color="auto"/>
            <w:bottom w:val="none" w:sz="0" w:space="0" w:color="auto"/>
            <w:right w:val="none" w:sz="0" w:space="0" w:color="auto"/>
          </w:divBdr>
          <w:divsChild>
            <w:div w:id="1724402159">
              <w:marLeft w:val="0"/>
              <w:marRight w:val="0"/>
              <w:marTop w:val="0"/>
              <w:marBottom w:val="0"/>
              <w:divBdr>
                <w:top w:val="none" w:sz="0" w:space="0" w:color="auto"/>
                <w:left w:val="none" w:sz="0" w:space="0" w:color="auto"/>
                <w:bottom w:val="none" w:sz="0" w:space="0" w:color="auto"/>
                <w:right w:val="none" w:sz="0" w:space="0" w:color="auto"/>
              </w:divBdr>
            </w:div>
          </w:divsChild>
        </w:div>
        <w:div w:id="1804470114">
          <w:marLeft w:val="0"/>
          <w:marRight w:val="0"/>
          <w:marTop w:val="0"/>
          <w:marBottom w:val="0"/>
          <w:divBdr>
            <w:top w:val="none" w:sz="0" w:space="0" w:color="auto"/>
            <w:left w:val="none" w:sz="0" w:space="0" w:color="auto"/>
            <w:bottom w:val="none" w:sz="0" w:space="0" w:color="auto"/>
            <w:right w:val="none" w:sz="0" w:space="0" w:color="auto"/>
          </w:divBdr>
          <w:divsChild>
            <w:div w:id="496925724">
              <w:marLeft w:val="0"/>
              <w:marRight w:val="0"/>
              <w:marTop w:val="0"/>
              <w:marBottom w:val="0"/>
              <w:divBdr>
                <w:top w:val="none" w:sz="0" w:space="0" w:color="auto"/>
                <w:left w:val="none" w:sz="0" w:space="0" w:color="auto"/>
                <w:bottom w:val="none" w:sz="0" w:space="0" w:color="auto"/>
                <w:right w:val="none" w:sz="0" w:space="0" w:color="auto"/>
              </w:divBdr>
            </w:div>
          </w:divsChild>
        </w:div>
        <w:div w:id="1815372149">
          <w:marLeft w:val="0"/>
          <w:marRight w:val="0"/>
          <w:marTop w:val="0"/>
          <w:marBottom w:val="0"/>
          <w:divBdr>
            <w:top w:val="none" w:sz="0" w:space="0" w:color="auto"/>
            <w:left w:val="none" w:sz="0" w:space="0" w:color="auto"/>
            <w:bottom w:val="none" w:sz="0" w:space="0" w:color="auto"/>
            <w:right w:val="none" w:sz="0" w:space="0" w:color="auto"/>
          </w:divBdr>
          <w:divsChild>
            <w:div w:id="466122369">
              <w:marLeft w:val="0"/>
              <w:marRight w:val="0"/>
              <w:marTop w:val="0"/>
              <w:marBottom w:val="0"/>
              <w:divBdr>
                <w:top w:val="none" w:sz="0" w:space="0" w:color="auto"/>
                <w:left w:val="none" w:sz="0" w:space="0" w:color="auto"/>
                <w:bottom w:val="none" w:sz="0" w:space="0" w:color="auto"/>
                <w:right w:val="none" w:sz="0" w:space="0" w:color="auto"/>
              </w:divBdr>
            </w:div>
          </w:divsChild>
        </w:div>
        <w:div w:id="1839731794">
          <w:marLeft w:val="0"/>
          <w:marRight w:val="0"/>
          <w:marTop w:val="0"/>
          <w:marBottom w:val="0"/>
          <w:divBdr>
            <w:top w:val="none" w:sz="0" w:space="0" w:color="auto"/>
            <w:left w:val="none" w:sz="0" w:space="0" w:color="auto"/>
            <w:bottom w:val="none" w:sz="0" w:space="0" w:color="auto"/>
            <w:right w:val="none" w:sz="0" w:space="0" w:color="auto"/>
          </w:divBdr>
          <w:divsChild>
            <w:div w:id="73283274">
              <w:marLeft w:val="0"/>
              <w:marRight w:val="0"/>
              <w:marTop w:val="0"/>
              <w:marBottom w:val="0"/>
              <w:divBdr>
                <w:top w:val="none" w:sz="0" w:space="0" w:color="auto"/>
                <w:left w:val="none" w:sz="0" w:space="0" w:color="auto"/>
                <w:bottom w:val="none" w:sz="0" w:space="0" w:color="auto"/>
                <w:right w:val="none" w:sz="0" w:space="0" w:color="auto"/>
              </w:divBdr>
            </w:div>
          </w:divsChild>
        </w:div>
        <w:div w:id="1843004613">
          <w:marLeft w:val="0"/>
          <w:marRight w:val="0"/>
          <w:marTop w:val="0"/>
          <w:marBottom w:val="0"/>
          <w:divBdr>
            <w:top w:val="none" w:sz="0" w:space="0" w:color="auto"/>
            <w:left w:val="none" w:sz="0" w:space="0" w:color="auto"/>
            <w:bottom w:val="none" w:sz="0" w:space="0" w:color="auto"/>
            <w:right w:val="none" w:sz="0" w:space="0" w:color="auto"/>
          </w:divBdr>
          <w:divsChild>
            <w:div w:id="2103719008">
              <w:marLeft w:val="0"/>
              <w:marRight w:val="0"/>
              <w:marTop w:val="0"/>
              <w:marBottom w:val="0"/>
              <w:divBdr>
                <w:top w:val="none" w:sz="0" w:space="0" w:color="auto"/>
                <w:left w:val="none" w:sz="0" w:space="0" w:color="auto"/>
                <w:bottom w:val="none" w:sz="0" w:space="0" w:color="auto"/>
                <w:right w:val="none" w:sz="0" w:space="0" w:color="auto"/>
              </w:divBdr>
            </w:div>
          </w:divsChild>
        </w:div>
        <w:div w:id="1908107535">
          <w:marLeft w:val="0"/>
          <w:marRight w:val="0"/>
          <w:marTop w:val="0"/>
          <w:marBottom w:val="0"/>
          <w:divBdr>
            <w:top w:val="none" w:sz="0" w:space="0" w:color="auto"/>
            <w:left w:val="none" w:sz="0" w:space="0" w:color="auto"/>
            <w:bottom w:val="none" w:sz="0" w:space="0" w:color="auto"/>
            <w:right w:val="none" w:sz="0" w:space="0" w:color="auto"/>
          </w:divBdr>
          <w:divsChild>
            <w:div w:id="1365247109">
              <w:marLeft w:val="0"/>
              <w:marRight w:val="0"/>
              <w:marTop w:val="0"/>
              <w:marBottom w:val="0"/>
              <w:divBdr>
                <w:top w:val="none" w:sz="0" w:space="0" w:color="auto"/>
                <w:left w:val="none" w:sz="0" w:space="0" w:color="auto"/>
                <w:bottom w:val="none" w:sz="0" w:space="0" w:color="auto"/>
                <w:right w:val="none" w:sz="0" w:space="0" w:color="auto"/>
              </w:divBdr>
            </w:div>
          </w:divsChild>
        </w:div>
        <w:div w:id="1937205154">
          <w:marLeft w:val="0"/>
          <w:marRight w:val="0"/>
          <w:marTop w:val="0"/>
          <w:marBottom w:val="0"/>
          <w:divBdr>
            <w:top w:val="none" w:sz="0" w:space="0" w:color="auto"/>
            <w:left w:val="none" w:sz="0" w:space="0" w:color="auto"/>
            <w:bottom w:val="none" w:sz="0" w:space="0" w:color="auto"/>
            <w:right w:val="none" w:sz="0" w:space="0" w:color="auto"/>
          </w:divBdr>
          <w:divsChild>
            <w:div w:id="2131319867">
              <w:marLeft w:val="0"/>
              <w:marRight w:val="0"/>
              <w:marTop w:val="0"/>
              <w:marBottom w:val="0"/>
              <w:divBdr>
                <w:top w:val="none" w:sz="0" w:space="0" w:color="auto"/>
                <w:left w:val="none" w:sz="0" w:space="0" w:color="auto"/>
                <w:bottom w:val="none" w:sz="0" w:space="0" w:color="auto"/>
                <w:right w:val="none" w:sz="0" w:space="0" w:color="auto"/>
              </w:divBdr>
            </w:div>
          </w:divsChild>
        </w:div>
        <w:div w:id="2029915486">
          <w:marLeft w:val="0"/>
          <w:marRight w:val="0"/>
          <w:marTop w:val="0"/>
          <w:marBottom w:val="0"/>
          <w:divBdr>
            <w:top w:val="none" w:sz="0" w:space="0" w:color="auto"/>
            <w:left w:val="none" w:sz="0" w:space="0" w:color="auto"/>
            <w:bottom w:val="none" w:sz="0" w:space="0" w:color="auto"/>
            <w:right w:val="none" w:sz="0" w:space="0" w:color="auto"/>
          </w:divBdr>
          <w:divsChild>
            <w:div w:id="1582790254">
              <w:marLeft w:val="0"/>
              <w:marRight w:val="0"/>
              <w:marTop w:val="0"/>
              <w:marBottom w:val="0"/>
              <w:divBdr>
                <w:top w:val="none" w:sz="0" w:space="0" w:color="auto"/>
                <w:left w:val="none" w:sz="0" w:space="0" w:color="auto"/>
                <w:bottom w:val="none" w:sz="0" w:space="0" w:color="auto"/>
                <w:right w:val="none" w:sz="0" w:space="0" w:color="auto"/>
              </w:divBdr>
            </w:div>
          </w:divsChild>
        </w:div>
        <w:div w:id="2113351390">
          <w:marLeft w:val="0"/>
          <w:marRight w:val="0"/>
          <w:marTop w:val="0"/>
          <w:marBottom w:val="0"/>
          <w:divBdr>
            <w:top w:val="none" w:sz="0" w:space="0" w:color="auto"/>
            <w:left w:val="none" w:sz="0" w:space="0" w:color="auto"/>
            <w:bottom w:val="none" w:sz="0" w:space="0" w:color="auto"/>
            <w:right w:val="none" w:sz="0" w:space="0" w:color="auto"/>
          </w:divBdr>
          <w:divsChild>
            <w:div w:id="12140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99">
      <w:bodyDiv w:val="1"/>
      <w:marLeft w:val="0"/>
      <w:marRight w:val="0"/>
      <w:marTop w:val="0"/>
      <w:marBottom w:val="0"/>
      <w:divBdr>
        <w:top w:val="none" w:sz="0" w:space="0" w:color="auto"/>
        <w:left w:val="none" w:sz="0" w:space="0" w:color="auto"/>
        <w:bottom w:val="none" w:sz="0" w:space="0" w:color="auto"/>
        <w:right w:val="none" w:sz="0" w:space="0" w:color="auto"/>
      </w:divBdr>
      <w:divsChild>
        <w:div w:id="61804186">
          <w:marLeft w:val="0"/>
          <w:marRight w:val="0"/>
          <w:marTop w:val="0"/>
          <w:marBottom w:val="0"/>
          <w:divBdr>
            <w:top w:val="none" w:sz="0" w:space="0" w:color="auto"/>
            <w:left w:val="none" w:sz="0" w:space="0" w:color="auto"/>
            <w:bottom w:val="none" w:sz="0" w:space="0" w:color="auto"/>
            <w:right w:val="none" w:sz="0" w:space="0" w:color="auto"/>
          </w:divBdr>
          <w:divsChild>
            <w:div w:id="142935310">
              <w:marLeft w:val="0"/>
              <w:marRight w:val="0"/>
              <w:marTop w:val="0"/>
              <w:marBottom w:val="0"/>
              <w:divBdr>
                <w:top w:val="none" w:sz="0" w:space="0" w:color="auto"/>
                <w:left w:val="none" w:sz="0" w:space="0" w:color="auto"/>
                <w:bottom w:val="none" w:sz="0" w:space="0" w:color="auto"/>
                <w:right w:val="none" w:sz="0" w:space="0" w:color="auto"/>
              </w:divBdr>
            </w:div>
          </w:divsChild>
        </w:div>
        <w:div w:id="86122527">
          <w:marLeft w:val="0"/>
          <w:marRight w:val="0"/>
          <w:marTop w:val="0"/>
          <w:marBottom w:val="0"/>
          <w:divBdr>
            <w:top w:val="none" w:sz="0" w:space="0" w:color="auto"/>
            <w:left w:val="none" w:sz="0" w:space="0" w:color="auto"/>
            <w:bottom w:val="none" w:sz="0" w:space="0" w:color="auto"/>
            <w:right w:val="none" w:sz="0" w:space="0" w:color="auto"/>
          </w:divBdr>
          <w:divsChild>
            <w:div w:id="544756859">
              <w:marLeft w:val="0"/>
              <w:marRight w:val="0"/>
              <w:marTop w:val="0"/>
              <w:marBottom w:val="0"/>
              <w:divBdr>
                <w:top w:val="none" w:sz="0" w:space="0" w:color="auto"/>
                <w:left w:val="none" w:sz="0" w:space="0" w:color="auto"/>
                <w:bottom w:val="none" w:sz="0" w:space="0" w:color="auto"/>
                <w:right w:val="none" w:sz="0" w:space="0" w:color="auto"/>
              </w:divBdr>
            </w:div>
          </w:divsChild>
        </w:div>
        <w:div w:id="244530545">
          <w:marLeft w:val="0"/>
          <w:marRight w:val="0"/>
          <w:marTop w:val="0"/>
          <w:marBottom w:val="0"/>
          <w:divBdr>
            <w:top w:val="none" w:sz="0" w:space="0" w:color="auto"/>
            <w:left w:val="none" w:sz="0" w:space="0" w:color="auto"/>
            <w:bottom w:val="none" w:sz="0" w:space="0" w:color="auto"/>
            <w:right w:val="none" w:sz="0" w:space="0" w:color="auto"/>
          </w:divBdr>
          <w:divsChild>
            <w:div w:id="1448349440">
              <w:marLeft w:val="0"/>
              <w:marRight w:val="0"/>
              <w:marTop w:val="0"/>
              <w:marBottom w:val="0"/>
              <w:divBdr>
                <w:top w:val="none" w:sz="0" w:space="0" w:color="auto"/>
                <w:left w:val="none" w:sz="0" w:space="0" w:color="auto"/>
                <w:bottom w:val="none" w:sz="0" w:space="0" w:color="auto"/>
                <w:right w:val="none" w:sz="0" w:space="0" w:color="auto"/>
              </w:divBdr>
            </w:div>
          </w:divsChild>
        </w:div>
        <w:div w:id="293608295">
          <w:marLeft w:val="0"/>
          <w:marRight w:val="0"/>
          <w:marTop w:val="0"/>
          <w:marBottom w:val="0"/>
          <w:divBdr>
            <w:top w:val="none" w:sz="0" w:space="0" w:color="auto"/>
            <w:left w:val="none" w:sz="0" w:space="0" w:color="auto"/>
            <w:bottom w:val="none" w:sz="0" w:space="0" w:color="auto"/>
            <w:right w:val="none" w:sz="0" w:space="0" w:color="auto"/>
          </w:divBdr>
          <w:divsChild>
            <w:div w:id="2097480715">
              <w:marLeft w:val="0"/>
              <w:marRight w:val="0"/>
              <w:marTop w:val="0"/>
              <w:marBottom w:val="0"/>
              <w:divBdr>
                <w:top w:val="none" w:sz="0" w:space="0" w:color="auto"/>
                <w:left w:val="none" w:sz="0" w:space="0" w:color="auto"/>
                <w:bottom w:val="none" w:sz="0" w:space="0" w:color="auto"/>
                <w:right w:val="none" w:sz="0" w:space="0" w:color="auto"/>
              </w:divBdr>
            </w:div>
          </w:divsChild>
        </w:div>
        <w:div w:id="338897903">
          <w:marLeft w:val="0"/>
          <w:marRight w:val="0"/>
          <w:marTop w:val="0"/>
          <w:marBottom w:val="0"/>
          <w:divBdr>
            <w:top w:val="none" w:sz="0" w:space="0" w:color="auto"/>
            <w:left w:val="none" w:sz="0" w:space="0" w:color="auto"/>
            <w:bottom w:val="none" w:sz="0" w:space="0" w:color="auto"/>
            <w:right w:val="none" w:sz="0" w:space="0" w:color="auto"/>
          </w:divBdr>
          <w:divsChild>
            <w:div w:id="1391617799">
              <w:marLeft w:val="0"/>
              <w:marRight w:val="0"/>
              <w:marTop w:val="0"/>
              <w:marBottom w:val="0"/>
              <w:divBdr>
                <w:top w:val="none" w:sz="0" w:space="0" w:color="auto"/>
                <w:left w:val="none" w:sz="0" w:space="0" w:color="auto"/>
                <w:bottom w:val="none" w:sz="0" w:space="0" w:color="auto"/>
                <w:right w:val="none" w:sz="0" w:space="0" w:color="auto"/>
              </w:divBdr>
            </w:div>
          </w:divsChild>
        </w:div>
        <w:div w:id="347685358">
          <w:marLeft w:val="0"/>
          <w:marRight w:val="0"/>
          <w:marTop w:val="0"/>
          <w:marBottom w:val="0"/>
          <w:divBdr>
            <w:top w:val="none" w:sz="0" w:space="0" w:color="auto"/>
            <w:left w:val="none" w:sz="0" w:space="0" w:color="auto"/>
            <w:bottom w:val="none" w:sz="0" w:space="0" w:color="auto"/>
            <w:right w:val="none" w:sz="0" w:space="0" w:color="auto"/>
          </w:divBdr>
          <w:divsChild>
            <w:div w:id="1620606515">
              <w:marLeft w:val="0"/>
              <w:marRight w:val="0"/>
              <w:marTop w:val="0"/>
              <w:marBottom w:val="0"/>
              <w:divBdr>
                <w:top w:val="none" w:sz="0" w:space="0" w:color="auto"/>
                <w:left w:val="none" w:sz="0" w:space="0" w:color="auto"/>
                <w:bottom w:val="none" w:sz="0" w:space="0" w:color="auto"/>
                <w:right w:val="none" w:sz="0" w:space="0" w:color="auto"/>
              </w:divBdr>
            </w:div>
          </w:divsChild>
        </w:div>
        <w:div w:id="536237408">
          <w:marLeft w:val="0"/>
          <w:marRight w:val="0"/>
          <w:marTop w:val="0"/>
          <w:marBottom w:val="0"/>
          <w:divBdr>
            <w:top w:val="none" w:sz="0" w:space="0" w:color="auto"/>
            <w:left w:val="none" w:sz="0" w:space="0" w:color="auto"/>
            <w:bottom w:val="none" w:sz="0" w:space="0" w:color="auto"/>
            <w:right w:val="none" w:sz="0" w:space="0" w:color="auto"/>
          </w:divBdr>
          <w:divsChild>
            <w:div w:id="422728030">
              <w:marLeft w:val="0"/>
              <w:marRight w:val="0"/>
              <w:marTop w:val="0"/>
              <w:marBottom w:val="0"/>
              <w:divBdr>
                <w:top w:val="none" w:sz="0" w:space="0" w:color="auto"/>
                <w:left w:val="none" w:sz="0" w:space="0" w:color="auto"/>
                <w:bottom w:val="none" w:sz="0" w:space="0" w:color="auto"/>
                <w:right w:val="none" w:sz="0" w:space="0" w:color="auto"/>
              </w:divBdr>
            </w:div>
          </w:divsChild>
        </w:div>
        <w:div w:id="558127743">
          <w:marLeft w:val="0"/>
          <w:marRight w:val="0"/>
          <w:marTop w:val="0"/>
          <w:marBottom w:val="0"/>
          <w:divBdr>
            <w:top w:val="none" w:sz="0" w:space="0" w:color="auto"/>
            <w:left w:val="none" w:sz="0" w:space="0" w:color="auto"/>
            <w:bottom w:val="none" w:sz="0" w:space="0" w:color="auto"/>
            <w:right w:val="none" w:sz="0" w:space="0" w:color="auto"/>
          </w:divBdr>
          <w:divsChild>
            <w:div w:id="1593928025">
              <w:marLeft w:val="0"/>
              <w:marRight w:val="0"/>
              <w:marTop w:val="0"/>
              <w:marBottom w:val="0"/>
              <w:divBdr>
                <w:top w:val="none" w:sz="0" w:space="0" w:color="auto"/>
                <w:left w:val="none" w:sz="0" w:space="0" w:color="auto"/>
                <w:bottom w:val="none" w:sz="0" w:space="0" w:color="auto"/>
                <w:right w:val="none" w:sz="0" w:space="0" w:color="auto"/>
              </w:divBdr>
            </w:div>
          </w:divsChild>
        </w:div>
        <w:div w:id="581960673">
          <w:marLeft w:val="0"/>
          <w:marRight w:val="0"/>
          <w:marTop w:val="0"/>
          <w:marBottom w:val="0"/>
          <w:divBdr>
            <w:top w:val="none" w:sz="0" w:space="0" w:color="auto"/>
            <w:left w:val="none" w:sz="0" w:space="0" w:color="auto"/>
            <w:bottom w:val="none" w:sz="0" w:space="0" w:color="auto"/>
            <w:right w:val="none" w:sz="0" w:space="0" w:color="auto"/>
          </w:divBdr>
          <w:divsChild>
            <w:div w:id="1039477957">
              <w:marLeft w:val="0"/>
              <w:marRight w:val="0"/>
              <w:marTop w:val="0"/>
              <w:marBottom w:val="0"/>
              <w:divBdr>
                <w:top w:val="none" w:sz="0" w:space="0" w:color="auto"/>
                <w:left w:val="none" w:sz="0" w:space="0" w:color="auto"/>
                <w:bottom w:val="none" w:sz="0" w:space="0" w:color="auto"/>
                <w:right w:val="none" w:sz="0" w:space="0" w:color="auto"/>
              </w:divBdr>
            </w:div>
          </w:divsChild>
        </w:div>
        <w:div w:id="583148825">
          <w:marLeft w:val="0"/>
          <w:marRight w:val="0"/>
          <w:marTop w:val="0"/>
          <w:marBottom w:val="0"/>
          <w:divBdr>
            <w:top w:val="none" w:sz="0" w:space="0" w:color="auto"/>
            <w:left w:val="none" w:sz="0" w:space="0" w:color="auto"/>
            <w:bottom w:val="none" w:sz="0" w:space="0" w:color="auto"/>
            <w:right w:val="none" w:sz="0" w:space="0" w:color="auto"/>
          </w:divBdr>
          <w:divsChild>
            <w:div w:id="764038654">
              <w:marLeft w:val="0"/>
              <w:marRight w:val="0"/>
              <w:marTop w:val="0"/>
              <w:marBottom w:val="0"/>
              <w:divBdr>
                <w:top w:val="none" w:sz="0" w:space="0" w:color="auto"/>
                <w:left w:val="none" w:sz="0" w:space="0" w:color="auto"/>
                <w:bottom w:val="none" w:sz="0" w:space="0" w:color="auto"/>
                <w:right w:val="none" w:sz="0" w:space="0" w:color="auto"/>
              </w:divBdr>
            </w:div>
          </w:divsChild>
        </w:div>
        <w:div w:id="601691221">
          <w:marLeft w:val="0"/>
          <w:marRight w:val="0"/>
          <w:marTop w:val="0"/>
          <w:marBottom w:val="0"/>
          <w:divBdr>
            <w:top w:val="none" w:sz="0" w:space="0" w:color="auto"/>
            <w:left w:val="none" w:sz="0" w:space="0" w:color="auto"/>
            <w:bottom w:val="none" w:sz="0" w:space="0" w:color="auto"/>
            <w:right w:val="none" w:sz="0" w:space="0" w:color="auto"/>
          </w:divBdr>
          <w:divsChild>
            <w:div w:id="953365422">
              <w:marLeft w:val="0"/>
              <w:marRight w:val="0"/>
              <w:marTop w:val="0"/>
              <w:marBottom w:val="0"/>
              <w:divBdr>
                <w:top w:val="none" w:sz="0" w:space="0" w:color="auto"/>
                <w:left w:val="none" w:sz="0" w:space="0" w:color="auto"/>
                <w:bottom w:val="none" w:sz="0" w:space="0" w:color="auto"/>
                <w:right w:val="none" w:sz="0" w:space="0" w:color="auto"/>
              </w:divBdr>
            </w:div>
          </w:divsChild>
        </w:div>
        <w:div w:id="653918556">
          <w:marLeft w:val="0"/>
          <w:marRight w:val="0"/>
          <w:marTop w:val="0"/>
          <w:marBottom w:val="0"/>
          <w:divBdr>
            <w:top w:val="none" w:sz="0" w:space="0" w:color="auto"/>
            <w:left w:val="none" w:sz="0" w:space="0" w:color="auto"/>
            <w:bottom w:val="none" w:sz="0" w:space="0" w:color="auto"/>
            <w:right w:val="none" w:sz="0" w:space="0" w:color="auto"/>
          </w:divBdr>
          <w:divsChild>
            <w:div w:id="1167669019">
              <w:marLeft w:val="0"/>
              <w:marRight w:val="0"/>
              <w:marTop w:val="0"/>
              <w:marBottom w:val="0"/>
              <w:divBdr>
                <w:top w:val="none" w:sz="0" w:space="0" w:color="auto"/>
                <w:left w:val="none" w:sz="0" w:space="0" w:color="auto"/>
                <w:bottom w:val="none" w:sz="0" w:space="0" w:color="auto"/>
                <w:right w:val="none" w:sz="0" w:space="0" w:color="auto"/>
              </w:divBdr>
            </w:div>
          </w:divsChild>
        </w:div>
        <w:div w:id="852645568">
          <w:marLeft w:val="0"/>
          <w:marRight w:val="0"/>
          <w:marTop w:val="0"/>
          <w:marBottom w:val="0"/>
          <w:divBdr>
            <w:top w:val="none" w:sz="0" w:space="0" w:color="auto"/>
            <w:left w:val="none" w:sz="0" w:space="0" w:color="auto"/>
            <w:bottom w:val="none" w:sz="0" w:space="0" w:color="auto"/>
            <w:right w:val="none" w:sz="0" w:space="0" w:color="auto"/>
          </w:divBdr>
          <w:divsChild>
            <w:div w:id="340552513">
              <w:marLeft w:val="0"/>
              <w:marRight w:val="0"/>
              <w:marTop w:val="0"/>
              <w:marBottom w:val="0"/>
              <w:divBdr>
                <w:top w:val="none" w:sz="0" w:space="0" w:color="auto"/>
                <w:left w:val="none" w:sz="0" w:space="0" w:color="auto"/>
                <w:bottom w:val="none" w:sz="0" w:space="0" w:color="auto"/>
                <w:right w:val="none" w:sz="0" w:space="0" w:color="auto"/>
              </w:divBdr>
            </w:div>
          </w:divsChild>
        </w:div>
        <w:div w:id="861557656">
          <w:marLeft w:val="0"/>
          <w:marRight w:val="0"/>
          <w:marTop w:val="0"/>
          <w:marBottom w:val="0"/>
          <w:divBdr>
            <w:top w:val="none" w:sz="0" w:space="0" w:color="auto"/>
            <w:left w:val="none" w:sz="0" w:space="0" w:color="auto"/>
            <w:bottom w:val="none" w:sz="0" w:space="0" w:color="auto"/>
            <w:right w:val="none" w:sz="0" w:space="0" w:color="auto"/>
          </w:divBdr>
          <w:divsChild>
            <w:div w:id="691077542">
              <w:marLeft w:val="0"/>
              <w:marRight w:val="0"/>
              <w:marTop w:val="0"/>
              <w:marBottom w:val="0"/>
              <w:divBdr>
                <w:top w:val="none" w:sz="0" w:space="0" w:color="auto"/>
                <w:left w:val="none" w:sz="0" w:space="0" w:color="auto"/>
                <w:bottom w:val="none" w:sz="0" w:space="0" w:color="auto"/>
                <w:right w:val="none" w:sz="0" w:space="0" w:color="auto"/>
              </w:divBdr>
            </w:div>
          </w:divsChild>
        </w:div>
        <w:div w:id="949049271">
          <w:marLeft w:val="0"/>
          <w:marRight w:val="0"/>
          <w:marTop w:val="0"/>
          <w:marBottom w:val="0"/>
          <w:divBdr>
            <w:top w:val="none" w:sz="0" w:space="0" w:color="auto"/>
            <w:left w:val="none" w:sz="0" w:space="0" w:color="auto"/>
            <w:bottom w:val="none" w:sz="0" w:space="0" w:color="auto"/>
            <w:right w:val="none" w:sz="0" w:space="0" w:color="auto"/>
          </w:divBdr>
          <w:divsChild>
            <w:div w:id="1147552113">
              <w:marLeft w:val="0"/>
              <w:marRight w:val="0"/>
              <w:marTop w:val="0"/>
              <w:marBottom w:val="0"/>
              <w:divBdr>
                <w:top w:val="none" w:sz="0" w:space="0" w:color="auto"/>
                <w:left w:val="none" w:sz="0" w:space="0" w:color="auto"/>
                <w:bottom w:val="none" w:sz="0" w:space="0" w:color="auto"/>
                <w:right w:val="none" w:sz="0" w:space="0" w:color="auto"/>
              </w:divBdr>
            </w:div>
          </w:divsChild>
        </w:div>
        <w:div w:id="1027680570">
          <w:marLeft w:val="0"/>
          <w:marRight w:val="0"/>
          <w:marTop w:val="0"/>
          <w:marBottom w:val="0"/>
          <w:divBdr>
            <w:top w:val="none" w:sz="0" w:space="0" w:color="auto"/>
            <w:left w:val="none" w:sz="0" w:space="0" w:color="auto"/>
            <w:bottom w:val="none" w:sz="0" w:space="0" w:color="auto"/>
            <w:right w:val="none" w:sz="0" w:space="0" w:color="auto"/>
          </w:divBdr>
          <w:divsChild>
            <w:div w:id="420224328">
              <w:marLeft w:val="0"/>
              <w:marRight w:val="0"/>
              <w:marTop w:val="0"/>
              <w:marBottom w:val="0"/>
              <w:divBdr>
                <w:top w:val="none" w:sz="0" w:space="0" w:color="auto"/>
                <w:left w:val="none" w:sz="0" w:space="0" w:color="auto"/>
                <w:bottom w:val="none" w:sz="0" w:space="0" w:color="auto"/>
                <w:right w:val="none" w:sz="0" w:space="0" w:color="auto"/>
              </w:divBdr>
            </w:div>
            <w:div w:id="589579983">
              <w:marLeft w:val="0"/>
              <w:marRight w:val="0"/>
              <w:marTop w:val="0"/>
              <w:marBottom w:val="0"/>
              <w:divBdr>
                <w:top w:val="none" w:sz="0" w:space="0" w:color="auto"/>
                <w:left w:val="none" w:sz="0" w:space="0" w:color="auto"/>
                <w:bottom w:val="none" w:sz="0" w:space="0" w:color="auto"/>
                <w:right w:val="none" w:sz="0" w:space="0" w:color="auto"/>
              </w:divBdr>
            </w:div>
            <w:div w:id="736509719">
              <w:marLeft w:val="0"/>
              <w:marRight w:val="0"/>
              <w:marTop w:val="0"/>
              <w:marBottom w:val="0"/>
              <w:divBdr>
                <w:top w:val="none" w:sz="0" w:space="0" w:color="auto"/>
                <w:left w:val="none" w:sz="0" w:space="0" w:color="auto"/>
                <w:bottom w:val="none" w:sz="0" w:space="0" w:color="auto"/>
                <w:right w:val="none" w:sz="0" w:space="0" w:color="auto"/>
              </w:divBdr>
            </w:div>
            <w:div w:id="751046485">
              <w:marLeft w:val="0"/>
              <w:marRight w:val="0"/>
              <w:marTop w:val="0"/>
              <w:marBottom w:val="0"/>
              <w:divBdr>
                <w:top w:val="none" w:sz="0" w:space="0" w:color="auto"/>
                <w:left w:val="none" w:sz="0" w:space="0" w:color="auto"/>
                <w:bottom w:val="none" w:sz="0" w:space="0" w:color="auto"/>
                <w:right w:val="none" w:sz="0" w:space="0" w:color="auto"/>
              </w:divBdr>
            </w:div>
            <w:div w:id="843857652">
              <w:marLeft w:val="0"/>
              <w:marRight w:val="0"/>
              <w:marTop w:val="0"/>
              <w:marBottom w:val="0"/>
              <w:divBdr>
                <w:top w:val="none" w:sz="0" w:space="0" w:color="auto"/>
                <w:left w:val="none" w:sz="0" w:space="0" w:color="auto"/>
                <w:bottom w:val="none" w:sz="0" w:space="0" w:color="auto"/>
                <w:right w:val="none" w:sz="0" w:space="0" w:color="auto"/>
              </w:divBdr>
            </w:div>
            <w:div w:id="892498796">
              <w:marLeft w:val="0"/>
              <w:marRight w:val="0"/>
              <w:marTop w:val="0"/>
              <w:marBottom w:val="0"/>
              <w:divBdr>
                <w:top w:val="none" w:sz="0" w:space="0" w:color="auto"/>
                <w:left w:val="none" w:sz="0" w:space="0" w:color="auto"/>
                <w:bottom w:val="none" w:sz="0" w:space="0" w:color="auto"/>
                <w:right w:val="none" w:sz="0" w:space="0" w:color="auto"/>
              </w:divBdr>
            </w:div>
            <w:div w:id="905335538">
              <w:marLeft w:val="0"/>
              <w:marRight w:val="0"/>
              <w:marTop w:val="0"/>
              <w:marBottom w:val="0"/>
              <w:divBdr>
                <w:top w:val="none" w:sz="0" w:space="0" w:color="auto"/>
                <w:left w:val="none" w:sz="0" w:space="0" w:color="auto"/>
                <w:bottom w:val="none" w:sz="0" w:space="0" w:color="auto"/>
                <w:right w:val="none" w:sz="0" w:space="0" w:color="auto"/>
              </w:divBdr>
            </w:div>
            <w:div w:id="1415199399">
              <w:marLeft w:val="0"/>
              <w:marRight w:val="0"/>
              <w:marTop w:val="0"/>
              <w:marBottom w:val="0"/>
              <w:divBdr>
                <w:top w:val="none" w:sz="0" w:space="0" w:color="auto"/>
                <w:left w:val="none" w:sz="0" w:space="0" w:color="auto"/>
                <w:bottom w:val="none" w:sz="0" w:space="0" w:color="auto"/>
                <w:right w:val="none" w:sz="0" w:space="0" w:color="auto"/>
              </w:divBdr>
            </w:div>
            <w:div w:id="1516186447">
              <w:marLeft w:val="0"/>
              <w:marRight w:val="0"/>
              <w:marTop w:val="0"/>
              <w:marBottom w:val="0"/>
              <w:divBdr>
                <w:top w:val="none" w:sz="0" w:space="0" w:color="auto"/>
                <w:left w:val="none" w:sz="0" w:space="0" w:color="auto"/>
                <w:bottom w:val="none" w:sz="0" w:space="0" w:color="auto"/>
                <w:right w:val="none" w:sz="0" w:space="0" w:color="auto"/>
              </w:divBdr>
            </w:div>
            <w:div w:id="1666201602">
              <w:marLeft w:val="0"/>
              <w:marRight w:val="0"/>
              <w:marTop w:val="0"/>
              <w:marBottom w:val="0"/>
              <w:divBdr>
                <w:top w:val="none" w:sz="0" w:space="0" w:color="auto"/>
                <w:left w:val="none" w:sz="0" w:space="0" w:color="auto"/>
                <w:bottom w:val="none" w:sz="0" w:space="0" w:color="auto"/>
                <w:right w:val="none" w:sz="0" w:space="0" w:color="auto"/>
              </w:divBdr>
            </w:div>
            <w:div w:id="1965622530">
              <w:marLeft w:val="0"/>
              <w:marRight w:val="0"/>
              <w:marTop w:val="0"/>
              <w:marBottom w:val="0"/>
              <w:divBdr>
                <w:top w:val="none" w:sz="0" w:space="0" w:color="auto"/>
                <w:left w:val="none" w:sz="0" w:space="0" w:color="auto"/>
                <w:bottom w:val="none" w:sz="0" w:space="0" w:color="auto"/>
                <w:right w:val="none" w:sz="0" w:space="0" w:color="auto"/>
              </w:divBdr>
            </w:div>
            <w:div w:id="2073767228">
              <w:marLeft w:val="0"/>
              <w:marRight w:val="0"/>
              <w:marTop w:val="0"/>
              <w:marBottom w:val="0"/>
              <w:divBdr>
                <w:top w:val="none" w:sz="0" w:space="0" w:color="auto"/>
                <w:left w:val="none" w:sz="0" w:space="0" w:color="auto"/>
                <w:bottom w:val="none" w:sz="0" w:space="0" w:color="auto"/>
                <w:right w:val="none" w:sz="0" w:space="0" w:color="auto"/>
              </w:divBdr>
            </w:div>
          </w:divsChild>
        </w:div>
        <w:div w:id="1038117385">
          <w:marLeft w:val="0"/>
          <w:marRight w:val="0"/>
          <w:marTop w:val="0"/>
          <w:marBottom w:val="0"/>
          <w:divBdr>
            <w:top w:val="none" w:sz="0" w:space="0" w:color="auto"/>
            <w:left w:val="none" w:sz="0" w:space="0" w:color="auto"/>
            <w:bottom w:val="none" w:sz="0" w:space="0" w:color="auto"/>
            <w:right w:val="none" w:sz="0" w:space="0" w:color="auto"/>
          </w:divBdr>
          <w:divsChild>
            <w:div w:id="453987008">
              <w:marLeft w:val="0"/>
              <w:marRight w:val="0"/>
              <w:marTop w:val="0"/>
              <w:marBottom w:val="0"/>
              <w:divBdr>
                <w:top w:val="none" w:sz="0" w:space="0" w:color="auto"/>
                <w:left w:val="none" w:sz="0" w:space="0" w:color="auto"/>
                <w:bottom w:val="none" w:sz="0" w:space="0" w:color="auto"/>
                <w:right w:val="none" w:sz="0" w:space="0" w:color="auto"/>
              </w:divBdr>
            </w:div>
          </w:divsChild>
        </w:div>
        <w:div w:id="1255555233">
          <w:marLeft w:val="0"/>
          <w:marRight w:val="0"/>
          <w:marTop w:val="0"/>
          <w:marBottom w:val="0"/>
          <w:divBdr>
            <w:top w:val="none" w:sz="0" w:space="0" w:color="auto"/>
            <w:left w:val="none" w:sz="0" w:space="0" w:color="auto"/>
            <w:bottom w:val="none" w:sz="0" w:space="0" w:color="auto"/>
            <w:right w:val="none" w:sz="0" w:space="0" w:color="auto"/>
          </w:divBdr>
          <w:divsChild>
            <w:div w:id="436101312">
              <w:marLeft w:val="0"/>
              <w:marRight w:val="0"/>
              <w:marTop w:val="0"/>
              <w:marBottom w:val="0"/>
              <w:divBdr>
                <w:top w:val="none" w:sz="0" w:space="0" w:color="auto"/>
                <w:left w:val="none" w:sz="0" w:space="0" w:color="auto"/>
                <w:bottom w:val="none" w:sz="0" w:space="0" w:color="auto"/>
                <w:right w:val="none" w:sz="0" w:space="0" w:color="auto"/>
              </w:divBdr>
            </w:div>
          </w:divsChild>
        </w:div>
        <w:div w:id="1305544858">
          <w:marLeft w:val="0"/>
          <w:marRight w:val="0"/>
          <w:marTop w:val="0"/>
          <w:marBottom w:val="0"/>
          <w:divBdr>
            <w:top w:val="none" w:sz="0" w:space="0" w:color="auto"/>
            <w:left w:val="none" w:sz="0" w:space="0" w:color="auto"/>
            <w:bottom w:val="none" w:sz="0" w:space="0" w:color="auto"/>
            <w:right w:val="none" w:sz="0" w:space="0" w:color="auto"/>
          </w:divBdr>
          <w:divsChild>
            <w:div w:id="2046560729">
              <w:marLeft w:val="0"/>
              <w:marRight w:val="0"/>
              <w:marTop w:val="0"/>
              <w:marBottom w:val="0"/>
              <w:divBdr>
                <w:top w:val="none" w:sz="0" w:space="0" w:color="auto"/>
                <w:left w:val="none" w:sz="0" w:space="0" w:color="auto"/>
                <w:bottom w:val="none" w:sz="0" w:space="0" w:color="auto"/>
                <w:right w:val="none" w:sz="0" w:space="0" w:color="auto"/>
              </w:divBdr>
            </w:div>
          </w:divsChild>
        </w:div>
        <w:div w:id="1334990853">
          <w:marLeft w:val="0"/>
          <w:marRight w:val="0"/>
          <w:marTop w:val="0"/>
          <w:marBottom w:val="0"/>
          <w:divBdr>
            <w:top w:val="none" w:sz="0" w:space="0" w:color="auto"/>
            <w:left w:val="none" w:sz="0" w:space="0" w:color="auto"/>
            <w:bottom w:val="none" w:sz="0" w:space="0" w:color="auto"/>
            <w:right w:val="none" w:sz="0" w:space="0" w:color="auto"/>
          </w:divBdr>
          <w:divsChild>
            <w:div w:id="649481043">
              <w:marLeft w:val="0"/>
              <w:marRight w:val="0"/>
              <w:marTop w:val="0"/>
              <w:marBottom w:val="0"/>
              <w:divBdr>
                <w:top w:val="none" w:sz="0" w:space="0" w:color="auto"/>
                <w:left w:val="none" w:sz="0" w:space="0" w:color="auto"/>
                <w:bottom w:val="none" w:sz="0" w:space="0" w:color="auto"/>
                <w:right w:val="none" w:sz="0" w:space="0" w:color="auto"/>
              </w:divBdr>
            </w:div>
          </w:divsChild>
        </w:div>
        <w:div w:id="1449621680">
          <w:marLeft w:val="0"/>
          <w:marRight w:val="0"/>
          <w:marTop w:val="0"/>
          <w:marBottom w:val="0"/>
          <w:divBdr>
            <w:top w:val="none" w:sz="0" w:space="0" w:color="auto"/>
            <w:left w:val="none" w:sz="0" w:space="0" w:color="auto"/>
            <w:bottom w:val="none" w:sz="0" w:space="0" w:color="auto"/>
            <w:right w:val="none" w:sz="0" w:space="0" w:color="auto"/>
          </w:divBdr>
          <w:divsChild>
            <w:div w:id="1927884048">
              <w:marLeft w:val="0"/>
              <w:marRight w:val="0"/>
              <w:marTop w:val="0"/>
              <w:marBottom w:val="0"/>
              <w:divBdr>
                <w:top w:val="none" w:sz="0" w:space="0" w:color="auto"/>
                <w:left w:val="none" w:sz="0" w:space="0" w:color="auto"/>
                <w:bottom w:val="none" w:sz="0" w:space="0" w:color="auto"/>
                <w:right w:val="none" w:sz="0" w:space="0" w:color="auto"/>
              </w:divBdr>
            </w:div>
          </w:divsChild>
        </w:div>
        <w:div w:id="1473936423">
          <w:marLeft w:val="0"/>
          <w:marRight w:val="0"/>
          <w:marTop w:val="0"/>
          <w:marBottom w:val="0"/>
          <w:divBdr>
            <w:top w:val="none" w:sz="0" w:space="0" w:color="auto"/>
            <w:left w:val="none" w:sz="0" w:space="0" w:color="auto"/>
            <w:bottom w:val="none" w:sz="0" w:space="0" w:color="auto"/>
            <w:right w:val="none" w:sz="0" w:space="0" w:color="auto"/>
          </w:divBdr>
          <w:divsChild>
            <w:div w:id="1187136362">
              <w:marLeft w:val="0"/>
              <w:marRight w:val="0"/>
              <w:marTop w:val="0"/>
              <w:marBottom w:val="0"/>
              <w:divBdr>
                <w:top w:val="none" w:sz="0" w:space="0" w:color="auto"/>
                <w:left w:val="none" w:sz="0" w:space="0" w:color="auto"/>
                <w:bottom w:val="none" w:sz="0" w:space="0" w:color="auto"/>
                <w:right w:val="none" w:sz="0" w:space="0" w:color="auto"/>
              </w:divBdr>
            </w:div>
          </w:divsChild>
        </w:div>
        <w:div w:id="1517497598">
          <w:marLeft w:val="0"/>
          <w:marRight w:val="0"/>
          <w:marTop w:val="0"/>
          <w:marBottom w:val="0"/>
          <w:divBdr>
            <w:top w:val="none" w:sz="0" w:space="0" w:color="auto"/>
            <w:left w:val="none" w:sz="0" w:space="0" w:color="auto"/>
            <w:bottom w:val="none" w:sz="0" w:space="0" w:color="auto"/>
            <w:right w:val="none" w:sz="0" w:space="0" w:color="auto"/>
          </w:divBdr>
          <w:divsChild>
            <w:div w:id="266037434">
              <w:marLeft w:val="0"/>
              <w:marRight w:val="0"/>
              <w:marTop w:val="0"/>
              <w:marBottom w:val="0"/>
              <w:divBdr>
                <w:top w:val="none" w:sz="0" w:space="0" w:color="auto"/>
                <w:left w:val="none" w:sz="0" w:space="0" w:color="auto"/>
                <w:bottom w:val="none" w:sz="0" w:space="0" w:color="auto"/>
                <w:right w:val="none" w:sz="0" w:space="0" w:color="auto"/>
              </w:divBdr>
            </w:div>
          </w:divsChild>
        </w:div>
        <w:div w:id="1775323595">
          <w:marLeft w:val="0"/>
          <w:marRight w:val="0"/>
          <w:marTop w:val="0"/>
          <w:marBottom w:val="0"/>
          <w:divBdr>
            <w:top w:val="none" w:sz="0" w:space="0" w:color="auto"/>
            <w:left w:val="none" w:sz="0" w:space="0" w:color="auto"/>
            <w:bottom w:val="none" w:sz="0" w:space="0" w:color="auto"/>
            <w:right w:val="none" w:sz="0" w:space="0" w:color="auto"/>
          </w:divBdr>
          <w:divsChild>
            <w:div w:id="115607435">
              <w:marLeft w:val="0"/>
              <w:marRight w:val="0"/>
              <w:marTop w:val="0"/>
              <w:marBottom w:val="0"/>
              <w:divBdr>
                <w:top w:val="none" w:sz="0" w:space="0" w:color="auto"/>
                <w:left w:val="none" w:sz="0" w:space="0" w:color="auto"/>
                <w:bottom w:val="none" w:sz="0" w:space="0" w:color="auto"/>
                <w:right w:val="none" w:sz="0" w:space="0" w:color="auto"/>
              </w:divBdr>
            </w:div>
          </w:divsChild>
        </w:div>
        <w:div w:id="1777750532">
          <w:marLeft w:val="0"/>
          <w:marRight w:val="0"/>
          <w:marTop w:val="0"/>
          <w:marBottom w:val="0"/>
          <w:divBdr>
            <w:top w:val="none" w:sz="0" w:space="0" w:color="auto"/>
            <w:left w:val="none" w:sz="0" w:space="0" w:color="auto"/>
            <w:bottom w:val="none" w:sz="0" w:space="0" w:color="auto"/>
            <w:right w:val="none" w:sz="0" w:space="0" w:color="auto"/>
          </w:divBdr>
          <w:divsChild>
            <w:div w:id="2100715633">
              <w:marLeft w:val="0"/>
              <w:marRight w:val="0"/>
              <w:marTop w:val="0"/>
              <w:marBottom w:val="0"/>
              <w:divBdr>
                <w:top w:val="none" w:sz="0" w:space="0" w:color="auto"/>
                <w:left w:val="none" w:sz="0" w:space="0" w:color="auto"/>
                <w:bottom w:val="none" w:sz="0" w:space="0" w:color="auto"/>
                <w:right w:val="none" w:sz="0" w:space="0" w:color="auto"/>
              </w:divBdr>
            </w:div>
          </w:divsChild>
        </w:div>
        <w:div w:id="1783500011">
          <w:marLeft w:val="0"/>
          <w:marRight w:val="0"/>
          <w:marTop w:val="0"/>
          <w:marBottom w:val="0"/>
          <w:divBdr>
            <w:top w:val="none" w:sz="0" w:space="0" w:color="auto"/>
            <w:left w:val="none" w:sz="0" w:space="0" w:color="auto"/>
            <w:bottom w:val="none" w:sz="0" w:space="0" w:color="auto"/>
            <w:right w:val="none" w:sz="0" w:space="0" w:color="auto"/>
          </w:divBdr>
          <w:divsChild>
            <w:div w:id="282855607">
              <w:marLeft w:val="0"/>
              <w:marRight w:val="0"/>
              <w:marTop w:val="0"/>
              <w:marBottom w:val="0"/>
              <w:divBdr>
                <w:top w:val="none" w:sz="0" w:space="0" w:color="auto"/>
                <w:left w:val="none" w:sz="0" w:space="0" w:color="auto"/>
                <w:bottom w:val="none" w:sz="0" w:space="0" w:color="auto"/>
                <w:right w:val="none" w:sz="0" w:space="0" w:color="auto"/>
              </w:divBdr>
            </w:div>
          </w:divsChild>
        </w:div>
        <w:div w:id="1814911159">
          <w:marLeft w:val="0"/>
          <w:marRight w:val="0"/>
          <w:marTop w:val="0"/>
          <w:marBottom w:val="0"/>
          <w:divBdr>
            <w:top w:val="none" w:sz="0" w:space="0" w:color="auto"/>
            <w:left w:val="none" w:sz="0" w:space="0" w:color="auto"/>
            <w:bottom w:val="none" w:sz="0" w:space="0" w:color="auto"/>
            <w:right w:val="none" w:sz="0" w:space="0" w:color="auto"/>
          </w:divBdr>
          <w:divsChild>
            <w:div w:id="1365985555">
              <w:marLeft w:val="0"/>
              <w:marRight w:val="0"/>
              <w:marTop w:val="0"/>
              <w:marBottom w:val="0"/>
              <w:divBdr>
                <w:top w:val="none" w:sz="0" w:space="0" w:color="auto"/>
                <w:left w:val="none" w:sz="0" w:space="0" w:color="auto"/>
                <w:bottom w:val="none" w:sz="0" w:space="0" w:color="auto"/>
                <w:right w:val="none" w:sz="0" w:space="0" w:color="auto"/>
              </w:divBdr>
            </w:div>
          </w:divsChild>
        </w:div>
        <w:div w:id="1830830474">
          <w:marLeft w:val="0"/>
          <w:marRight w:val="0"/>
          <w:marTop w:val="0"/>
          <w:marBottom w:val="0"/>
          <w:divBdr>
            <w:top w:val="none" w:sz="0" w:space="0" w:color="auto"/>
            <w:left w:val="none" w:sz="0" w:space="0" w:color="auto"/>
            <w:bottom w:val="none" w:sz="0" w:space="0" w:color="auto"/>
            <w:right w:val="none" w:sz="0" w:space="0" w:color="auto"/>
          </w:divBdr>
          <w:divsChild>
            <w:div w:id="558515201">
              <w:marLeft w:val="0"/>
              <w:marRight w:val="0"/>
              <w:marTop w:val="0"/>
              <w:marBottom w:val="0"/>
              <w:divBdr>
                <w:top w:val="none" w:sz="0" w:space="0" w:color="auto"/>
                <w:left w:val="none" w:sz="0" w:space="0" w:color="auto"/>
                <w:bottom w:val="none" w:sz="0" w:space="0" w:color="auto"/>
                <w:right w:val="none" w:sz="0" w:space="0" w:color="auto"/>
              </w:divBdr>
            </w:div>
          </w:divsChild>
        </w:div>
        <w:div w:id="1871601523">
          <w:marLeft w:val="0"/>
          <w:marRight w:val="0"/>
          <w:marTop w:val="0"/>
          <w:marBottom w:val="0"/>
          <w:divBdr>
            <w:top w:val="none" w:sz="0" w:space="0" w:color="auto"/>
            <w:left w:val="none" w:sz="0" w:space="0" w:color="auto"/>
            <w:bottom w:val="none" w:sz="0" w:space="0" w:color="auto"/>
            <w:right w:val="none" w:sz="0" w:space="0" w:color="auto"/>
          </w:divBdr>
          <w:divsChild>
            <w:div w:id="753160370">
              <w:marLeft w:val="0"/>
              <w:marRight w:val="0"/>
              <w:marTop w:val="0"/>
              <w:marBottom w:val="0"/>
              <w:divBdr>
                <w:top w:val="none" w:sz="0" w:space="0" w:color="auto"/>
                <w:left w:val="none" w:sz="0" w:space="0" w:color="auto"/>
                <w:bottom w:val="none" w:sz="0" w:space="0" w:color="auto"/>
                <w:right w:val="none" w:sz="0" w:space="0" w:color="auto"/>
              </w:divBdr>
            </w:div>
          </w:divsChild>
        </w:div>
        <w:div w:id="1952206727">
          <w:marLeft w:val="0"/>
          <w:marRight w:val="0"/>
          <w:marTop w:val="0"/>
          <w:marBottom w:val="0"/>
          <w:divBdr>
            <w:top w:val="none" w:sz="0" w:space="0" w:color="auto"/>
            <w:left w:val="none" w:sz="0" w:space="0" w:color="auto"/>
            <w:bottom w:val="none" w:sz="0" w:space="0" w:color="auto"/>
            <w:right w:val="none" w:sz="0" w:space="0" w:color="auto"/>
          </w:divBdr>
          <w:divsChild>
            <w:div w:id="6480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3451">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1169364">
      <w:bodyDiv w:val="1"/>
      <w:marLeft w:val="0"/>
      <w:marRight w:val="0"/>
      <w:marTop w:val="0"/>
      <w:marBottom w:val="0"/>
      <w:divBdr>
        <w:top w:val="none" w:sz="0" w:space="0" w:color="auto"/>
        <w:left w:val="none" w:sz="0" w:space="0" w:color="auto"/>
        <w:bottom w:val="none" w:sz="0" w:space="0" w:color="auto"/>
        <w:right w:val="none" w:sz="0" w:space="0" w:color="auto"/>
      </w:divBdr>
    </w:div>
    <w:div w:id="1579972062">
      <w:bodyDiv w:val="1"/>
      <w:marLeft w:val="0"/>
      <w:marRight w:val="0"/>
      <w:marTop w:val="0"/>
      <w:marBottom w:val="0"/>
      <w:divBdr>
        <w:top w:val="none" w:sz="0" w:space="0" w:color="auto"/>
        <w:left w:val="none" w:sz="0" w:space="0" w:color="auto"/>
        <w:bottom w:val="none" w:sz="0" w:space="0" w:color="auto"/>
        <w:right w:val="none" w:sz="0" w:space="0" w:color="auto"/>
      </w:divBdr>
    </w:div>
    <w:div w:id="1616406189">
      <w:bodyDiv w:val="1"/>
      <w:marLeft w:val="0"/>
      <w:marRight w:val="0"/>
      <w:marTop w:val="0"/>
      <w:marBottom w:val="0"/>
      <w:divBdr>
        <w:top w:val="none" w:sz="0" w:space="0" w:color="auto"/>
        <w:left w:val="none" w:sz="0" w:space="0" w:color="auto"/>
        <w:bottom w:val="none" w:sz="0" w:space="0" w:color="auto"/>
        <w:right w:val="none" w:sz="0" w:space="0" w:color="auto"/>
      </w:divBdr>
    </w:div>
    <w:div w:id="17982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un.org/" TargetMode="External"/><Relationship Id="rId18" Type="http://schemas.openxmlformats.org/officeDocument/2006/relationships/hyperlink" Target="http://mics.unicef.org/" TargetMode="External"/><Relationship Id="rId26" Type="http://schemas.openxmlformats.org/officeDocument/2006/relationships/hyperlink" Target="https://popdiv.dfs.un.org/demodata/web/" TargetMode="External"/><Relationship Id="rId39" Type="http://schemas.openxmlformats.org/officeDocument/2006/relationships/fontTable" Target="fontTable.xml"/><Relationship Id="rId21" Type="http://schemas.openxmlformats.org/officeDocument/2006/relationships/hyperlink" Target="https://population.un.org/wpp/assets/Files/WPP2024_Methodology-Report_Final.pdf" TargetMode="External"/><Relationship Id="rId34" Type="http://schemas.openxmlformats.org/officeDocument/2006/relationships/hyperlink" Target="https://unstats.un.org/unsd/demographic/standmeth/handbooks/Handbook_Fertility_Mortality.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humanfertility.org" TargetMode="External"/><Relationship Id="rId20" Type="http://schemas.openxmlformats.org/officeDocument/2006/relationships/hyperlink" Target="https://www.un.org/development/desa/pd/sites/www.un.org.development.desa.pd/files/unpd-egm-fer-2020-10-backgroundpaper_newtitle_final_oct9.pdf" TargetMode="External"/><Relationship Id="rId29" Type="http://schemas.openxmlformats.org/officeDocument/2006/relationships/hyperlink" Target="https://www.un.org/development/desa/p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div.dfs.un.org/demodata/web/" TargetMode="External"/><Relationship Id="rId24" Type="http://schemas.openxmlformats.org/officeDocument/2006/relationships/hyperlink" Target="https://www.un.org/en/development/desa/population/publications/pdf/mortality/Manual_X.pdf" TargetMode="External"/><Relationship Id="rId32" Type="http://schemas.openxmlformats.org/officeDocument/2006/relationships/hyperlink" Target="https://population.un.org/wpp/assets/Files/WPP2024_Methodology-Report_Final.pdf"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ec.europa.eu/eurostat/data/database" TargetMode="External"/><Relationship Id="rId23" Type="http://schemas.openxmlformats.org/officeDocument/2006/relationships/hyperlink" Target="https://unstats.un.org/unsd/demographic/standmeth/handbooks/Handbook_Fertility_Mortality.pdf" TargetMode="External"/><Relationship Id="rId28" Type="http://schemas.openxmlformats.org/officeDocument/2006/relationships/hyperlink" Target="https://population.un.org/wpp/assets/Files/WPP2024_Methodology-Report_Final.pdf" TargetMode="External"/><Relationship Id="rId36" Type="http://schemas.openxmlformats.org/officeDocument/2006/relationships/hyperlink" Target="https://platform.who.int/docs/default-source/mca-documents/rmncah/global-strategy/gs-indicator-and-monitoring-framework.pdf" TargetMode="External"/><Relationship Id="rId10" Type="http://schemas.openxmlformats.org/officeDocument/2006/relationships/endnotes" Target="endnotes.xml"/><Relationship Id="rId19" Type="http://schemas.openxmlformats.org/officeDocument/2006/relationships/hyperlink" Target="https://unstats.un.org/unsd/demographic/standmeth/handbooks/Handbook_Fertility_Mortality.pdf" TargetMode="External"/><Relationship Id="rId31" Type="http://schemas.openxmlformats.org/officeDocument/2006/relationships/hyperlink" Target="https://www.un.org/development/desa/pd/events/EGM-on-the-evaluation-of-adolescent-fertility-data-estimates-for-SDG-repor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pulation.un.org/wpp/assets/Files/WPP2024_Data_Sources.pdf" TargetMode="External"/><Relationship Id="rId22" Type="http://schemas.openxmlformats.org/officeDocument/2006/relationships/hyperlink" Target="https://population.un.org/wpp/" TargetMode="External"/><Relationship Id="rId27" Type="http://schemas.openxmlformats.org/officeDocument/2006/relationships/hyperlink" Target="https://www.un.org/development/desa/pd/sites/www.un.org.development.desa.pd/files/unpd-egm-fer-2020-10-backgroundpaper_newtitle_final_oct9.pdf" TargetMode="External"/><Relationship Id="rId30" Type="http://schemas.openxmlformats.org/officeDocument/2006/relationships/hyperlink" Target="https://www.unfpa.org/data" TargetMode="External"/><Relationship Id="rId35" Type="http://schemas.openxmlformats.org/officeDocument/2006/relationships/hyperlink" Target="https://www.un.org/en/development/desa/population/publications/pdf/mortality/Manual_X.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api.dhsprogram.com/" TargetMode="External"/><Relationship Id="rId17" Type="http://schemas.openxmlformats.org/officeDocument/2006/relationships/hyperlink" Target="http://www.fertilitydata.org" TargetMode="External"/><Relationship Id="rId25" Type="http://schemas.openxmlformats.org/officeDocument/2006/relationships/hyperlink" Target="https://platform.who.int/docs/default-source/mca-documents/rmncah/global-strategy/gs-indicator-and-monitoring-framework.pdf" TargetMode="External"/><Relationship Id="rId33" Type="http://schemas.openxmlformats.org/officeDocument/2006/relationships/hyperlink" Target="https://population.un.org/wpp/"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C50102"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027DDF"/>
    <w:rsid w:val="001733B6"/>
    <w:rsid w:val="001744AD"/>
    <w:rsid w:val="00231A54"/>
    <w:rsid w:val="00420697"/>
    <w:rsid w:val="004375E3"/>
    <w:rsid w:val="00461B0C"/>
    <w:rsid w:val="004A2E76"/>
    <w:rsid w:val="004A6169"/>
    <w:rsid w:val="00672DD9"/>
    <w:rsid w:val="006E7C14"/>
    <w:rsid w:val="00A21090"/>
    <w:rsid w:val="00A41CE3"/>
    <w:rsid w:val="00A45382"/>
    <w:rsid w:val="00C175D4"/>
    <w:rsid w:val="00C50102"/>
    <w:rsid w:val="00C542BE"/>
    <w:rsid w:val="00FE7E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9955747CB22419F015F12E4846D54" ma:contentTypeVersion="18" ma:contentTypeDescription="Create a new document." ma:contentTypeScope="" ma:versionID="1097a4b7f4a6abe9032435a4607a0393">
  <xsd:schema xmlns:xsd="http://www.w3.org/2001/XMLSchema" xmlns:xs="http://www.w3.org/2001/XMLSchema" xmlns:p="http://schemas.microsoft.com/office/2006/metadata/properties" xmlns:ns2="8bde3967-4b29-49c8-add0-1b77de203898" xmlns:ns3="0af88afb-25d3-409a-9ed3-a458eb7e13cd" xmlns:ns4="985ec44e-1bab-4c0b-9df0-6ba128686fc9" targetNamespace="http://schemas.microsoft.com/office/2006/metadata/properties" ma:root="true" ma:fieldsID="417312a892f102a2295bf92fd1e3b753" ns2:_="" ns3:_="" ns4:_="">
    <xsd:import namespace="8bde3967-4b29-49c8-add0-1b77de203898"/>
    <xsd:import namespace="0af88afb-25d3-409a-9ed3-a458eb7e13cd"/>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f88afb-25d3-409a-9ed3-a458eb7e13c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acf1ba7-80ab-4c2a-a2b5-789b82de11d4}"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f88afb-25d3-409a-9ed3-a458eb7e13cd">
      <Terms xmlns="http://schemas.microsoft.com/office/infopath/2007/PartnerControls"/>
    </lcf76f155ced4ddcb4097134ff3c332f>
    <TaxCatchAll xmlns="985ec44e-1bab-4c0b-9df0-6ba128686f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DA431-B67F-4359-9BA7-F4B0F4AFB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af88afb-25d3-409a-9ed3-a458eb7e13cd"/>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www.w3.org/XML/1998/namespace"/>
    <ds:schemaRef ds:uri="http://purl.org/dc/elements/1.1/"/>
    <ds:schemaRef ds:uri="0af88afb-25d3-409a-9ed3-a458eb7e13cd"/>
    <ds:schemaRef ds:uri="http://purl.org/dc/terms/"/>
    <ds:schemaRef ds:uri="http://schemas.microsoft.com/office/infopath/2007/PartnerControls"/>
    <ds:schemaRef ds:uri="8bde3967-4b29-49c8-add0-1b77de203898"/>
    <ds:schemaRef ds:uri="http://purl.org/dc/dcmitype/"/>
    <ds:schemaRef ds:uri="http://schemas.openxmlformats.org/package/2006/metadata/core-properties"/>
    <ds:schemaRef ds:uri="985ec44e-1bab-4c0b-9df0-6ba128686fc9"/>
    <ds:schemaRef ds:uri="http://schemas.microsoft.com/office/2006/metadata/propertie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10</Pages>
  <Words>4265</Words>
  <Characters>24311</Characters>
  <Application>Microsoft Office Word</Application>
  <DocSecurity>0</DocSecurity>
  <Lines>202</Lines>
  <Paragraphs>57</Paragraphs>
  <ScaleCrop>false</ScaleCrop>
  <Company>United Nations</Company>
  <LinksUpToDate>false</LinksUpToDate>
  <CharactersWithSpaces>28519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4</cp:revision>
  <cp:lastPrinted>2025-04-01T04:11:00Z</cp:lastPrinted>
  <dcterms:created xsi:type="dcterms:W3CDTF">2025-03-19T16:48:00Z</dcterms:created>
  <dcterms:modified xsi:type="dcterms:W3CDTF">2025-04-01T04:11:00Z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0x0101007D99955747CB22419F015F12E4846D54</vt:lpwstr>
  </property>
  <property fmtid="{D5CDD505-2E9C-101B-9397-08002B2CF9AE}" pid="3" name="MediaServiceImageTags">
    <vt:lpwstr/>
  </property>
</Properties>
</file>