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645B6F" w:rsidRDefault="006C4BFD" w:rsidP="006C4BFD">
      <w:pPr>
        <w:spacing w:after="0"/>
        <w:jc w:val="center"/>
        <w:rPr>
          <w:rFonts w:cstheme="minorHAnsi"/>
        </w:rPr>
      </w:pPr>
      <w:r w:rsidRPr="00645B6F">
        <w:rPr>
          <w:rFonts w:eastAsia="Times New Roman" w:cstheme="minorHAnsi"/>
          <w:color w:val="1C75BC"/>
          <w:sz w:val="36"/>
          <w:szCs w:val="36"/>
          <w:lang w:eastAsia="en-GB"/>
        </w:rPr>
        <w:t>SDG indicator metadata</w:t>
      </w:r>
    </w:p>
    <w:p w14:paraId="129054E9" w14:textId="2E583254" w:rsidR="006C4BFD" w:rsidRPr="00645B6F" w:rsidRDefault="002C2510" w:rsidP="006C4BFD">
      <w:pPr>
        <w:spacing w:after="0"/>
        <w:jc w:val="center"/>
        <w:rPr>
          <w:rFonts w:eastAsia="Times New Roman" w:cstheme="minorHAnsi"/>
          <w:b/>
          <w:bCs/>
          <w:color w:val="4A4A4A"/>
          <w:sz w:val="21"/>
          <w:szCs w:val="21"/>
          <w:lang w:eastAsia="en-GB"/>
        </w:rPr>
      </w:pPr>
      <w:r w:rsidRPr="00645B6F">
        <w:rPr>
          <w:rFonts w:eastAsia="Times New Roman" w:cstheme="minorHAnsi"/>
          <w:b/>
          <w:bCs/>
          <w:color w:val="4A4A4A"/>
          <w:sz w:val="21"/>
          <w:szCs w:val="21"/>
          <w:lang w:eastAsia="en-GB"/>
        </w:rPr>
        <w:t>(Harmonized metadata template - format version 1.1)</w:t>
      </w:r>
    </w:p>
    <w:p w14:paraId="773F63CF" w14:textId="77777777" w:rsidR="006C4BFD" w:rsidRPr="00645B6F" w:rsidRDefault="006C4BFD" w:rsidP="006C4BFD">
      <w:pPr>
        <w:spacing w:after="0"/>
        <w:rPr>
          <w:rFonts w:eastAsia="Times New Roman" w:cstheme="minorHAnsi"/>
          <w:b/>
          <w:bCs/>
          <w:color w:val="4A4A4A"/>
          <w:sz w:val="21"/>
          <w:szCs w:val="21"/>
          <w:lang w:eastAsia="en-GB"/>
        </w:rPr>
      </w:pPr>
    </w:p>
    <w:p w14:paraId="6AEAC6DA" w14:textId="6C7C2D3A" w:rsidR="00B31E2C" w:rsidRPr="00645B6F" w:rsidRDefault="00B31E2C" w:rsidP="00EA05D3">
      <w:pPr>
        <w:pStyle w:val="MIndHeader2"/>
        <w:rPr>
          <w:rFonts w:cstheme="minorHAnsi"/>
        </w:rPr>
      </w:pPr>
      <w:r w:rsidRPr="00645B6F">
        <w:rPr>
          <w:rFonts w:cstheme="minorHAnsi"/>
        </w:rPr>
        <w:t xml:space="preserve">0. Indicator information </w:t>
      </w:r>
      <w:r>
        <w:rPr>
          <w:color w:val="B4B4B4"/>
          <w:sz w:val="20"/>
        </w:rPr>
      </w:r>
      <w:r>
        <w:rPr>
          <w:color w:val="B4B4B4"/>
          <w:sz w:val="20"/>
        </w:rPr>
        <w:t>(SDG_INDICATOR_INFO)</w:t>
      </w:r>
    </w:p>
    <w:p w14:paraId="043ED752" w14:textId="28D7692E" w:rsidR="00D24330" w:rsidRPr="00645B6F" w:rsidRDefault="00D24330" w:rsidP="00EA05D3">
      <w:pPr>
        <w:pStyle w:val="MIndHeader"/>
        <w:rPr>
          <w:rFonts w:cstheme="minorHAnsi"/>
        </w:rPr>
      </w:pPr>
      <w:r w:rsidRPr="00645B6F">
        <w:rPr>
          <w:rFonts w:cstheme="minorHAnsi"/>
        </w:rPr>
        <w:t xml:space="preserve">0.a. Goal </w:t>
      </w:r>
      <w:r>
        <w:rPr>
          <w:color w:val="B4B4B4"/>
          <w:sz w:val="20"/>
        </w:rPr>
      </w:r>
      <w:r>
        <w:rPr>
          <w:color w:val="B4B4B4"/>
          <w:sz w:val="20"/>
        </w:rPr>
        <w:t>(SDG_GOAL)</w:t>
      </w:r>
    </w:p>
    <w:p w14:paraId="0C615824" w14:textId="63B4AB6A" w:rsidR="00D24330" w:rsidRPr="00645B6F" w:rsidRDefault="00C84CA9" w:rsidP="002F5F0C">
      <w:pPr>
        <w:pStyle w:val="MGTHeader"/>
        <w:rPr>
          <w:rFonts w:cstheme="minorHAnsi"/>
        </w:rPr>
      </w:pPr>
      <w:r w:rsidRPr="00645B6F">
        <w:rPr>
          <w:rFonts w:cstheme="minorHAnsi"/>
        </w:rPr>
        <w:t>Goal 3: Ensure healthy lives and promote well-being for all at all ages</w:t>
      </w:r>
    </w:p>
    <w:p w14:paraId="084142D2" w14:textId="77777777" w:rsidR="00D24330" w:rsidRPr="00645B6F" w:rsidRDefault="00D24330" w:rsidP="00D24330">
      <w:pPr>
        <w:pStyle w:val="MIndHeader"/>
        <w:rPr>
          <w:rFonts w:cstheme="minorHAnsi"/>
        </w:rPr>
      </w:pPr>
      <w:r w:rsidRPr="3208B904">
        <w:rPr>
          <w:rFonts w:cstheme="minorBidi"/>
        </w:rPr>
        <w:t xml:space="preserve">0.b. Target </w:t>
      </w:r>
      <w:r>
        <w:rPr>
          <w:color w:val="B4B4B4"/>
          <w:sz w:val="20"/>
        </w:rPr>
      </w:r>
      <w:r>
        <w:rPr>
          <w:color w:val="B4B4B4"/>
          <w:sz w:val="20"/>
        </w:rPr>
        <w:t>(SDG_TARGET)</w:t>
      </w:r>
    </w:p>
    <w:p w14:paraId="4F5426BE" w14:textId="1F9FC209" w:rsidR="079274F7" w:rsidRDefault="079274F7" w:rsidP="3208B904">
      <w:pPr>
        <w:pStyle w:val="MGTHeader"/>
        <w:rPr>
          <w:rFonts w:ascii="Calibri" w:hAnsi="Calibri"/>
        </w:rPr>
      </w:pPr>
      <w:r w:rsidRPr="3208B904">
        <w:rPr>
          <w:rFonts w:ascii="Calibri" w:eastAsia="Calibri" w:hAnsi="Calibri" w:cs="Calibri"/>
          <w:color w:val="444444"/>
        </w:rPr>
        <w:t>Target 3.8: Achieve universal health coverage, including financial risk protection, access to quality essential health-care services and access to safe, effective, quality and affordable essential medicines and vaccines for all</w:t>
      </w:r>
    </w:p>
    <w:p w14:paraId="3E67E7E0" w14:textId="77777777" w:rsidR="00D24330" w:rsidRPr="00645B6F" w:rsidRDefault="00D24330" w:rsidP="00D24330">
      <w:pPr>
        <w:pStyle w:val="MIndHeader"/>
        <w:rPr>
          <w:rFonts w:cstheme="minorHAnsi"/>
        </w:rPr>
      </w:pPr>
      <w:r w:rsidRPr="00645B6F">
        <w:rPr>
          <w:rFonts w:cstheme="minorHAnsi"/>
        </w:rPr>
        <w:t xml:space="preserve">0.c. Indicator </w:t>
      </w:r>
      <w:r>
        <w:rPr>
          <w:color w:val="B4B4B4"/>
          <w:sz w:val="20"/>
        </w:rPr>
      </w:r>
      <w:r>
        <w:rPr>
          <w:color w:val="B4B4B4"/>
          <w:sz w:val="20"/>
        </w:rPr>
        <w:t>(SDG_INDICATOR)</w:t>
      </w:r>
    </w:p>
    <w:p w14:paraId="2E0541F8" w14:textId="66E83F66" w:rsidR="00645B6F" w:rsidRDefault="2B2D0E87" w:rsidP="3208B904">
      <w:pPr>
        <w:pStyle w:val="MGTHeader"/>
        <w:rPr>
          <w:rFonts w:ascii="Calibri" w:hAnsi="Calibri"/>
        </w:rPr>
      </w:pPr>
      <w:r w:rsidRPr="3208B904">
        <w:rPr>
          <w:rFonts w:ascii="Calibri" w:eastAsia="Calibri" w:hAnsi="Calibri" w:cs="Calibri"/>
          <w:color w:val="444444"/>
        </w:rPr>
        <w:t>Indicator 3.8.2: Proportion of population with large household expenditures on health as a share of total household expenditure or income</w:t>
      </w:r>
    </w:p>
    <w:p w14:paraId="771888BA" w14:textId="1ECF26BE" w:rsidR="00D24330" w:rsidRPr="00D35867" w:rsidRDefault="00D24330" w:rsidP="00786630">
      <w:pPr>
        <w:pStyle w:val="MIndHeader"/>
        <w:rPr>
          <w:rFonts w:cstheme="minorHAnsi"/>
          <w:lang w:val="en-US"/>
        </w:rPr>
      </w:pPr>
      <w:r w:rsidRPr="00D35867">
        <w:rPr>
          <w:rFonts w:cstheme="minorHAnsi"/>
          <w:lang w:val="en-US"/>
        </w:rPr>
        <w:t xml:space="preserve">0.d. Series </w:t>
      </w:r>
      <w:r>
        <w:rPr>
          <w:color w:val="B4B4B4"/>
          <w:sz w:val="20"/>
        </w:rPr>
      </w:r>
      <w:r>
        <w:rPr>
          <w:color w:val="B4B4B4"/>
          <w:sz w:val="20"/>
        </w:rPr>
        <w:t>(SDG_SERIES_DESCR)</w:t>
      </w:r>
    </w:p>
    <w:p w14:paraId="3A1CE4B5" w14:textId="77777777" w:rsidR="00FB2FA8" w:rsidRPr="003B7F16" w:rsidRDefault="00136F99" w:rsidP="00D24330">
      <w:pPr>
        <w:pStyle w:val="MIndHeader"/>
        <w:rPr>
          <w:rFonts w:ascii="Calibri" w:eastAsia="Calibri" w:hAnsi="Calibri" w:cs="Calibri"/>
          <w:color w:val="444444"/>
          <w:sz w:val="21"/>
          <w:szCs w:val="21"/>
        </w:rPr>
      </w:pPr>
      <w:r w:rsidRPr="003B7F16">
        <w:rPr>
          <w:rFonts w:ascii="Calibri" w:eastAsia="Calibri" w:hAnsi="Calibri" w:cs="Calibri"/>
          <w:color w:val="444444"/>
          <w:sz w:val="21"/>
          <w:szCs w:val="21"/>
        </w:rPr>
        <w:t>Applies to all series</w:t>
      </w:r>
      <w:r w:rsidR="002B369A" w:rsidRPr="003B7F16">
        <w:rPr>
          <w:rFonts w:ascii="Calibri" w:eastAsia="Calibri" w:hAnsi="Calibri" w:cs="Calibri"/>
          <w:color w:val="444444"/>
          <w:sz w:val="21"/>
          <w:szCs w:val="21"/>
        </w:rPr>
        <w:t xml:space="preserve"> (SH_XPD_EARN25 and SH_XPD_EARN</w:t>
      </w:r>
      <w:r w:rsidR="008A271A" w:rsidRPr="003B7F16">
        <w:rPr>
          <w:rFonts w:ascii="Calibri" w:eastAsia="Calibri" w:hAnsi="Calibri" w:cs="Calibri"/>
          <w:color w:val="444444"/>
          <w:sz w:val="21"/>
          <w:szCs w:val="21"/>
        </w:rPr>
        <w:t>10)</w:t>
      </w:r>
    </w:p>
    <w:p w14:paraId="157DACE7" w14:textId="2955EC5C" w:rsidR="00D24330" w:rsidRPr="00D35867" w:rsidRDefault="00D24330" w:rsidP="00D24330">
      <w:pPr>
        <w:pStyle w:val="MIndHeader"/>
        <w:rPr>
          <w:rFonts w:cstheme="minorHAnsi"/>
          <w:lang w:val="en-US"/>
        </w:rPr>
      </w:pPr>
      <w:r w:rsidRPr="00D35867">
        <w:rPr>
          <w:rFonts w:cstheme="minorHAnsi"/>
          <w:lang w:val="en-US"/>
        </w:rPr>
        <w:t xml:space="preserve">0.e. Metadata update </w:t>
      </w:r>
      <w:r>
        <w:rPr>
          <w:color w:val="B4B4B4"/>
          <w:sz w:val="20"/>
        </w:rPr>
      </w:r>
      <w:r>
        <w:rPr>
          <w:color w:val="B4B4B4"/>
          <w:sz w:val="20"/>
        </w:rPr>
        <w:t>(META_LAST_UPDATE)</w:t>
      </w:r>
    </w:p>
    <w:sdt>
      <w:sdtPr>
        <w:rPr>
          <w:rFonts w:cstheme="minorBidi"/>
          <w:lang w:val="en-US"/>
        </w:rPr>
        <w:id w:val="1802265896"/>
        <w:placeholder>
          <w:docPart w:val="DefaultPlaceholder_-1854013437"/>
        </w:placeholder>
        <w:date w:fullDate="2023-05-15T00:00:00Z">
          <w:dateFormat w:val="yyyy-MM-dd"/>
          <w:lid w:val="en-US"/>
          <w:storeMappedDataAs w:val="dateTime"/>
          <w:calendar w:val="gregorian"/>
        </w:date>
      </w:sdtPr>
      <w:sdtEndPr/>
      <w:sdtContent>
        <w:p w14:paraId="03424B60" w14:textId="3995BF54" w:rsidR="00D24330" w:rsidRPr="00D35867" w:rsidRDefault="00DC748C" w:rsidP="6ADEAB2A">
          <w:pPr>
            <w:pStyle w:val="MGTHeader"/>
            <w:rPr>
              <w:rFonts w:cstheme="minorBidi"/>
              <w:lang w:val="en-US"/>
            </w:rPr>
          </w:pPr>
          <w:r>
            <w:rPr>
              <w:rFonts w:cstheme="minorBidi"/>
              <w:lang w:val="en-US"/>
            </w:rPr>
            <w:t>2023-05-15</w:t>
          </w:r>
        </w:p>
      </w:sdtContent>
    </w:sdt>
    <w:p w14:paraId="415C9FF1" w14:textId="77777777" w:rsidR="00D24330" w:rsidRPr="00645B6F" w:rsidRDefault="00D24330" w:rsidP="00D24330">
      <w:pPr>
        <w:pStyle w:val="MIndHeader"/>
        <w:rPr>
          <w:rFonts w:cstheme="minorHAnsi"/>
        </w:rPr>
      </w:pPr>
      <w:r w:rsidRPr="00645B6F">
        <w:rPr>
          <w:rFonts w:cstheme="minorHAnsi"/>
        </w:rPr>
        <w:t xml:space="preserve">0.f. Related indicators </w:t>
      </w:r>
      <w:r>
        <w:rPr>
          <w:color w:val="B4B4B4"/>
          <w:sz w:val="20"/>
        </w:rPr>
      </w:r>
      <w:r>
        <w:rPr>
          <w:color w:val="B4B4B4"/>
          <w:sz w:val="20"/>
        </w:rPr>
        <w:t>(SDG_RELATED_INDICATORS)</w:t>
      </w:r>
    </w:p>
    <w:p w14:paraId="07F22798" w14:textId="77777777" w:rsidR="001E782E" w:rsidRPr="00645B6F" w:rsidRDefault="001E782E" w:rsidP="00C84CA9">
      <w:pPr>
        <w:pStyle w:val="MGTHeader"/>
        <w:rPr>
          <w:rFonts w:cstheme="minorHAnsi"/>
        </w:rPr>
      </w:pPr>
      <w:r w:rsidRPr="00645B6F">
        <w:rPr>
          <w:rFonts w:cstheme="minorHAnsi"/>
        </w:rPr>
        <w:t>SDG indicators: 3.8.1; 1.1.1 and 1.2.1</w:t>
      </w:r>
    </w:p>
    <w:p w14:paraId="077BC49E" w14:textId="77777777" w:rsidR="00D24330" w:rsidRPr="00645B6F" w:rsidRDefault="00D24330" w:rsidP="00D24330">
      <w:pPr>
        <w:pStyle w:val="MIndHeader"/>
        <w:rPr>
          <w:rFonts w:cstheme="minorHAnsi"/>
        </w:rPr>
      </w:pPr>
      <w:r w:rsidRPr="00645B6F">
        <w:rPr>
          <w:rFonts w:cstheme="minorHAnsi"/>
        </w:rPr>
        <w:t xml:space="preserve">0.g. International organisations(s) responsible for global monitoring </w:t>
      </w:r>
      <w:r>
        <w:rPr>
          <w:color w:val="B4B4B4"/>
          <w:sz w:val="20"/>
        </w:rPr>
      </w:r>
      <w:r>
        <w:rPr>
          <w:color w:val="B4B4B4"/>
          <w:sz w:val="20"/>
        </w:rPr>
        <w:t>(SDG_CUSTODIAN_AGENCIES)</w:t>
      </w:r>
    </w:p>
    <w:p w14:paraId="0393368E" w14:textId="74BC5662" w:rsidR="00621893" w:rsidRPr="00645B6F" w:rsidRDefault="00645B6F" w:rsidP="00D24330">
      <w:pPr>
        <w:pStyle w:val="MGTHeader"/>
        <w:rPr>
          <w:rFonts w:cstheme="minorHAnsi"/>
          <w:color w:val="4A4A4A"/>
        </w:rPr>
      </w:pPr>
      <w:r w:rsidRPr="00645B6F">
        <w:rPr>
          <w:rFonts w:cstheme="minorHAnsi"/>
        </w:rPr>
        <w:t>World Health Organization (WHO)</w:t>
      </w:r>
      <w:r w:rsidR="000E0A94">
        <w:rPr>
          <w:rFonts w:cstheme="minorHAnsi"/>
        </w:rPr>
        <w:t xml:space="preserve"> and the World Bank</w:t>
      </w:r>
    </w:p>
    <w:p w14:paraId="19F29921" w14:textId="77777777" w:rsidR="008D1D39" w:rsidRPr="00645B6F" w:rsidRDefault="008D1D39" w:rsidP="00573631">
      <w:pPr>
        <w:shd w:val="clear" w:color="auto" w:fill="FFFFFF"/>
        <w:spacing w:after="0"/>
        <w:rPr>
          <w:rFonts w:eastAsia="Times New Roman" w:cstheme="minorHAnsi"/>
          <w:color w:val="4A4A4A"/>
          <w:sz w:val="21"/>
          <w:szCs w:val="21"/>
          <w:lang w:eastAsia="en-GB"/>
        </w:rPr>
      </w:pPr>
    </w:p>
    <w:p w14:paraId="12E0D73A" w14:textId="48126E58" w:rsidR="00B31E2C" w:rsidRPr="00645B6F"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645B6F">
        <w:rPr>
          <w:rFonts w:cstheme="minorHAnsi"/>
        </w:rPr>
        <w:t xml:space="preserve">1. Data reporter </w:t>
      </w:r>
      <w:bookmarkEnd w:id="0"/>
      <w:bookmarkEnd w:id="1"/>
      <w:bookmarkEnd w:id="2"/>
      <w:bookmarkEnd w:id="3"/>
      <w:bookmarkEnd w:id="4"/>
      <w:r>
        <w:rPr>
          <w:color w:val="B4B4B4"/>
          <w:sz w:val="20"/>
        </w:rPr>
      </w:r>
      <w:r>
        <w:rPr>
          <w:color w:val="B4B4B4"/>
          <w:sz w:val="20"/>
        </w:rPr>
        <w:t>(CONTACT)</w:t>
      </w:r>
    </w:p>
    <w:p w14:paraId="0BD77982" w14:textId="78E1BFF9" w:rsidR="00576CFA" w:rsidRPr="00645B6F" w:rsidRDefault="00576CFA" w:rsidP="00F719A8">
      <w:pPr>
        <w:pStyle w:val="MHeader2"/>
        <w:rPr>
          <w:rFonts w:cstheme="minorHAnsi"/>
        </w:rPr>
      </w:pPr>
      <w:r w:rsidRPr="00645B6F">
        <w:rPr>
          <w:rFonts w:cstheme="minorHAnsi"/>
        </w:rPr>
        <w:t xml:space="preserve">1.a. Organisation </w:t>
      </w:r>
      <w:r>
        <w:rPr>
          <w:color w:val="B4B4B4"/>
          <w:sz w:val="20"/>
        </w:rPr>
      </w:r>
      <w:r>
        <w:rPr>
          <w:color w:val="B4B4B4"/>
          <w:sz w:val="20"/>
        </w:rPr>
        <w:t>(CONTACT_ORGANISATION)</w:t>
      </w:r>
    </w:p>
    <w:p w14:paraId="065F26D2" w14:textId="026CC582" w:rsidR="00576CFA" w:rsidRPr="00645B6F" w:rsidRDefault="00645B6F" w:rsidP="00576CFA">
      <w:pPr>
        <w:pStyle w:val="MText"/>
        <w:rPr>
          <w:rFonts w:cstheme="minorHAnsi"/>
        </w:rPr>
      </w:pPr>
      <w:r w:rsidRPr="00645B6F">
        <w:rPr>
          <w:rFonts w:cstheme="minorHAnsi"/>
        </w:rPr>
        <w:t>World Health Organization (WHO)</w:t>
      </w:r>
    </w:p>
    <w:p w14:paraId="6E829FD0" w14:textId="2439F30A" w:rsidR="00F719A8" w:rsidRPr="00645B6F" w:rsidRDefault="00F719A8" w:rsidP="00576CFA">
      <w:pPr>
        <w:pStyle w:val="MText"/>
        <w:rPr>
          <w:rFonts w:cstheme="minorHAnsi"/>
        </w:rPr>
      </w:pPr>
    </w:p>
    <w:p w14:paraId="14915AC8" w14:textId="7D506133" w:rsidR="00B31E2C" w:rsidRPr="00645B6F" w:rsidRDefault="00B31E2C" w:rsidP="008B0AC7">
      <w:pPr>
        <w:pStyle w:val="MHeader"/>
        <w:rPr>
          <w:rFonts w:cstheme="minorHAnsi"/>
        </w:rPr>
      </w:pPr>
      <w:r w:rsidRPr="00645B6F">
        <w:rPr>
          <w:rFonts w:cstheme="minorHAnsi"/>
        </w:rPr>
        <w:t xml:space="preserve">2. Definition, concepts, and classifications </w:t>
      </w:r>
      <w:r>
        <w:rPr>
          <w:color w:val="B4B4B4"/>
          <w:sz w:val="20"/>
        </w:rPr>
      </w:r>
      <w:r>
        <w:rPr>
          <w:color w:val="B4B4B4"/>
          <w:sz w:val="20"/>
        </w:rPr>
        <w:t>(IND_DEF_CON_CLASS)</w:t>
      </w:r>
    </w:p>
    <w:p w14:paraId="2AC373EA" w14:textId="44236363" w:rsidR="008B0AC7" w:rsidRPr="00645B6F" w:rsidRDefault="008B0AC7" w:rsidP="00F719A8">
      <w:pPr>
        <w:pStyle w:val="MHeader2"/>
        <w:rPr>
          <w:rFonts w:cstheme="minorHAnsi"/>
        </w:rPr>
      </w:pPr>
      <w:r w:rsidRPr="00645B6F">
        <w:rPr>
          <w:rFonts w:cstheme="minorHAnsi"/>
        </w:rPr>
        <w:t xml:space="preserve">2.a. Definition and concepts </w:t>
      </w:r>
      <w:r>
        <w:rPr>
          <w:color w:val="B4B4B4"/>
          <w:sz w:val="20"/>
        </w:rPr>
      </w:r>
      <w:r>
        <w:rPr>
          <w:color w:val="B4B4B4"/>
          <w:sz w:val="20"/>
        </w:rPr>
        <w:t>(STAT_CONC_DEF)</w:t>
      </w:r>
    </w:p>
    <w:p w14:paraId="095B98EC" w14:textId="77777777" w:rsidR="00B55A32" w:rsidRPr="00645B6F" w:rsidRDefault="00B55A32" w:rsidP="00B55A32">
      <w:pPr>
        <w:shd w:val="clear" w:color="auto" w:fill="FFFFFF"/>
        <w:spacing w:after="0"/>
        <w:rPr>
          <w:rFonts w:eastAsia="Times New Roman" w:cstheme="minorHAnsi"/>
          <w:b/>
          <w:bCs/>
          <w:color w:val="4A4A4A"/>
          <w:sz w:val="21"/>
          <w:szCs w:val="21"/>
          <w:lang w:eastAsia="en-GB"/>
        </w:rPr>
      </w:pPr>
      <w:r w:rsidRPr="00645B6F">
        <w:rPr>
          <w:rFonts w:eastAsia="Times New Roman" w:cstheme="minorHAnsi"/>
          <w:b/>
          <w:bCs/>
          <w:color w:val="4A4A4A"/>
          <w:sz w:val="21"/>
          <w:szCs w:val="21"/>
          <w:lang w:eastAsia="en-GB"/>
        </w:rPr>
        <w:t>Definition:</w:t>
      </w:r>
    </w:p>
    <w:p w14:paraId="5B5894DC" w14:textId="501720AD" w:rsidR="00B55A32" w:rsidRPr="00645B6F" w:rsidRDefault="00B55A32" w:rsidP="00B55A32">
      <w:pPr>
        <w:shd w:val="clear" w:color="auto" w:fill="FFFFFF"/>
        <w:spacing w:after="0"/>
        <w:rPr>
          <w:rFonts w:eastAsia="Times New Roman" w:cstheme="minorHAnsi"/>
          <w:color w:val="4A4A4A"/>
          <w:sz w:val="21"/>
          <w:szCs w:val="21"/>
          <w:shd w:val="clear" w:color="auto" w:fill="FFFFFF"/>
          <w:lang w:eastAsia="en-GB"/>
        </w:rPr>
      </w:pPr>
      <w:r w:rsidRPr="00645B6F">
        <w:rPr>
          <w:rFonts w:eastAsia="Times New Roman" w:cstheme="minorHAnsi"/>
          <w:color w:val="4A4A4A"/>
          <w:sz w:val="21"/>
          <w:szCs w:val="21"/>
          <w:shd w:val="clear" w:color="auto" w:fill="FFFFFF"/>
          <w:lang w:eastAsia="en-GB"/>
        </w:rPr>
        <w:t>Proportion of the population with large household expenditure on health as a share of total household expenditure or income. Two thresholds are used to define “large household expenditure on health”: greater than 10% and greater than 25% of total household expenditure or income.</w:t>
      </w:r>
    </w:p>
    <w:p w14:paraId="6688ABAD" w14:textId="4B2DDE08" w:rsidR="00B55A32" w:rsidRPr="00D35867" w:rsidRDefault="00B55A32" w:rsidP="00B55A32">
      <w:pPr>
        <w:shd w:val="clear" w:color="auto" w:fill="FFFFFF"/>
        <w:spacing w:after="0"/>
        <w:rPr>
          <w:b/>
          <w:color w:val="4A4A4A"/>
          <w:sz w:val="21"/>
        </w:rPr>
      </w:pPr>
      <w:r w:rsidRPr="00645B6F">
        <w:rPr>
          <w:rFonts w:eastAsia="Times New Roman" w:cstheme="minorHAnsi"/>
          <w:color w:val="4A4A4A"/>
          <w:sz w:val="21"/>
          <w:szCs w:val="21"/>
          <w:shd w:val="clear" w:color="auto" w:fill="FFFFFF"/>
          <w:lang w:eastAsia="en-GB"/>
        </w:rPr>
        <w:t xml:space="preserve"> </w:t>
      </w:r>
    </w:p>
    <w:p w14:paraId="242EF07A" w14:textId="77777777" w:rsidR="00B55A32" w:rsidRPr="00645B6F" w:rsidRDefault="00B55A32" w:rsidP="00B55A32">
      <w:pPr>
        <w:shd w:val="clear" w:color="auto" w:fill="FFFFFF"/>
        <w:spacing w:after="0"/>
        <w:rPr>
          <w:rFonts w:eastAsia="Times New Roman" w:cstheme="minorHAnsi"/>
          <w:b/>
          <w:bCs/>
          <w:color w:val="4A4A4A"/>
          <w:sz w:val="21"/>
          <w:szCs w:val="21"/>
          <w:lang w:eastAsia="en-GB"/>
        </w:rPr>
      </w:pPr>
      <w:r w:rsidRPr="00645B6F">
        <w:rPr>
          <w:rFonts w:eastAsia="Times New Roman" w:cstheme="minorHAnsi"/>
          <w:b/>
          <w:bCs/>
          <w:color w:val="4A4A4A"/>
          <w:sz w:val="21"/>
          <w:szCs w:val="21"/>
          <w:lang w:eastAsia="en-GB"/>
        </w:rPr>
        <w:t>Concepts:</w:t>
      </w:r>
    </w:p>
    <w:p w14:paraId="34256451" w14:textId="62C73A98" w:rsidR="00B55A32" w:rsidRPr="00645B6F" w:rsidRDefault="00B55A32" w:rsidP="00B55A32">
      <w:pPr>
        <w:shd w:val="clear" w:color="auto" w:fill="FFFFFF"/>
        <w:spacing w:after="0"/>
        <w:rPr>
          <w:rFonts w:eastAsia="Times New Roman" w:cstheme="minorHAnsi"/>
          <w:color w:val="4A4A4A"/>
          <w:sz w:val="21"/>
          <w:szCs w:val="21"/>
          <w:shd w:val="clear" w:color="auto" w:fill="FFFFFF"/>
          <w:lang w:eastAsia="en-GB"/>
        </w:rPr>
      </w:pPr>
      <w:r w:rsidRPr="00645B6F">
        <w:rPr>
          <w:rFonts w:eastAsia="Times New Roman" w:cstheme="minorHAnsi"/>
          <w:color w:val="4A4A4A"/>
          <w:sz w:val="21"/>
          <w:szCs w:val="21"/>
          <w:shd w:val="clear" w:color="auto" w:fill="FFFFFF"/>
          <w:lang w:eastAsia="en-GB"/>
        </w:rPr>
        <w:t>Indicator 3.8.2 is defined as the “Proportion of the population with large household expenditure on health as a share of total household expenditure or income”. In effect</w:t>
      </w:r>
      <w:r w:rsidR="006E76CF">
        <w:rPr>
          <w:rFonts w:eastAsia="Times New Roman" w:cstheme="minorHAnsi"/>
          <w:color w:val="4A4A4A"/>
          <w:sz w:val="21"/>
          <w:szCs w:val="21"/>
          <w:shd w:val="clear" w:color="auto" w:fill="FFFFFF"/>
          <w:lang w:eastAsia="en-GB"/>
        </w:rPr>
        <w:t>,</w:t>
      </w:r>
      <w:r w:rsidRPr="00645B6F">
        <w:rPr>
          <w:rFonts w:eastAsia="Times New Roman" w:cstheme="minorHAnsi"/>
          <w:color w:val="4A4A4A"/>
          <w:sz w:val="21"/>
          <w:szCs w:val="21"/>
          <w:shd w:val="clear" w:color="auto" w:fill="FFFFFF"/>
          <w:lang w:eastAsia="en-GB"/>
        </w:rPr>
        <w:t xml:space="preserve"> it is based on a ratio exceeding a threshold. The two main concepts of interest behind this ratio are household expenditure on health (numerator) and total household consumption expenditure or, when unavailable, income (denominator). </w:t>
      </w:r>
    </w:p>
    <w:p w14:paraId="1986553D" w14:textId="02B1F6B2" w:rsidR="00B55A32" w:rsidRDefault="00B55A32" w:rsidP="00B55A32">
      <w:pPr>
        <w:shd w:val="clear" w:color="auto" w:fill="FFFFFF"/>
        <w:spacing w:after="0"/>
        <w:rPr>
          <w:rFonts w:eastAsia="Times New Roman" w:cstheme="minorHAnsi"/>
          <w:color w:val="4A4A4A"/>
          <w:sz w:val="21"/>
          <w:szCs w:val="21"/>
          <w:lang w:eastAsia="en-GB"/>
        </w:rPr>
      </w:pPr>
    </w:p>
    <w:p w14:paraId="0051B18E" w14:textId="5915527A" w:rsidR="00786630" w:rsidRDefault="00786630" w:rsidP="00B55A32">
      <w:pPr>
        <w:shd w:val="clear" w:color="auto" w:fill="FFFFFF"/>
        <w:spacing w:after="0"/>
        <w:rPr>
          <w:rFonts w:eastAsia="Times New Roman" w:cstheme="minorHAnsi"/>
          <w:color w:val="4A4A4A"/>
          <w:sz w:val="21"/>
          <w:szCs w:val="21"/>
          <w:lang w:eastAsia="en-GB"/>
        </w:rPr>
      </w:pPr>
    </w:p>
    <w:p w14:paraId="5180C885" w14:textId="77777777" w:rsidR="00B55A32" w:rsidRPr="00645B6F" w:rsidRDefault="00B55A32" w:rsidP="00B55A32">
      <w:pPr>
        <w:shd w:val="clear" w:color="auto" w:fill="FFFFFF"/>
        <w:spacing w:after="0"/>
        <w:rPr>
          <w:rFonts w:eastAsia="Times New Roman" w:cstheme="minorHAnsi"/>
          <w:b/>
          <w:bCs/>
          <w:i/>
          <w:iCs/>
          <w:color w:val="4A4A4A"/>
          <w:sz w:val="21"/>
          <w:szCs w:val="21"/>
          <w:lang w:eastAsia="en-GB"/>
        </w:rPr>
      </w:pPr>
      <w:r w:rsidRPr="00645B6F">
        <w:rPr>
          <w:rFonts w:eastAsia="Times New Roman" w:cstheme="minorHAnsi"/>
          <w:b/>
          <w:bCs/>
          <w:i/>
          <w:iCs/>
          <w:color w:val="4A4A4A"/>
          <w:sz w:val="21"/>
          <w:szCs w:val="21"/>
          <w:lang w:eastAsia="en-GB"/>
        </w:rPr>
        <w:t>Numerator</w:t>
      </w:r>
    </w:p>
    <w:p w14:paraId="1F228CAD" w14:textId="2A144981" w:rsidR="00B55A32"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Household expenditure on health is defined as any expenditure incurred at the </w:t>
      </w:r>
      <w:r w:rsidR="00B92263" w:rsidRPr="00645B6F">
        <w:rPr>
          <w:rFonts w:eastAsia="Times New Roman" w:cstheme="minorHAnsi"/>
          <w:color w:val="4A4A4A"/>
          <w:sz w:val="21"/>
          <w:szCs w:val="21"/>
          <w:lang w:eastAsia="en-GB"/>
        </w:rPr>
        <w:t>time</w:t>
      </w:r>
      <w:r w:rsidR="004C4B75">
        <w:rPr>
          <w:rFonts w:eastAsia="Times New Roman" w:cstheme="minorHAnsi"/>
          <w:color w:val="4A4A4A"/>
          <w:sz w:val="21"/>
          <w:szCs w:val="21"/>
          <w:lang w:eastAsia="en-GB"/>
        </w:rPr>
        <w:t xml:space="preserve"> of </w:t>
      </w:r>
      <w:r w:rsidR="00B92263" w:rsidRPr="00645B6F">
        <w:rPr>
          <w:rFonts w:eastAsia="Times New Roman" w:cstheme="minorHAnsi"/>
          <w:color w:val="4A4A4A"/>
          <w:sz w:val="21"/>
          <w:szCs w:val="21"/>
          <w:lang w:eastAsia="en-GB"/>
        </w:rPr>
        <w:t>service</w:t>
      </w:r>
      <w:r w:rsidRPr="00645B6F">
        <w:rPr>
          <w:rFonts w:eastAsia="Times New Roman" w:cstheme="minorHAnsi"/>
          <w:color w:val="4A4A4A"/>
          <w:sz w:val="21"/>
          <w:szCs w:val="21"/>
          <w:lang w:eastAsia="en-GB"/>
        </w:rPr>
        <w:t xml:space="preserve"> use to get any type of care (promotive, preventive, curative, rehabilitative, palliative or long-term care)</w:t>
      </w:r>
      <w:r w:rsidR="006E76CF">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including all medicines, vaccines and other pharmaceutical preparations</w:t>
      </w:r>
      <w:r w:rsidR="004C4B75">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as well as all health products, </w:t>
      </w:r>
      <w:r w:rsidRPr="00645B6F">
        <w:rPr>
          <w:rFonts w:eastAsia="Times New Roman" w:cstheme="minorHAnsi"/>
          <w:i/>
          <w:iCs/>
          <w:color w:val="4A4A4A"/>
          <w:sz w:val="21"/>
          <w:szCs w:val="21"/>
          <w:lang w:eastAsia="en-GB"/>
        </w:rPr>
        <w:t>from any type of provider and for all members of the household</w:t>
      </w:r>
      <w:r w:rsidRPr="00645B6F">
        <w:rPr>
          <w:rFonts w:eastAsia="Times New Roman" w:cstheme="minorHAnsi"/>
          <w:color w:val="4A4A4A"/>
          <w:sz w:val="21"/>
          <w:szCs w:val="21"/>
          <w:lang w:eastAsia="en-GB"/>
        </w:rPr>
        <w:t xml:space="preserve">. These health expenditures are characterized by direct payments that are financed by a household’s income (including remittances), savings or loans </w:t>
      </w:r>
      <w:r w:rsidRPr="00645B6F">
        <w:rPr>
          <w:rFonts w:eastAsia="Times New Roman" w:cstheme="minorHAnsi"/>
          <w:b/>
          <w:bCs/>
          <w:color w:val="4A4A4A"/>
          <w:sz w:val="21"/>
          <w:szCs w:val="21"/>
          <w:lang w:eastAsia="en-GB"/>
        </w:rPr>
        <w:t xml:space="preserve">but do not include any third-party payer reimbursement. </w:t>
      </w:r>
      <w:r w:rsidR="00FD3A2C" w:rsidRPr="00FD3A2C">
        <w:rPr>
          <w:rFonts w:eastAsia="Times New Roman" w:cstheme="minorHAnsi"/>
          <w:color w:val="4A4A4A"/>
          <w:sz w:val="21"/>
          <w:szCs w:val="21"/>
          <w:lang w:eastAsia="en-GB"/>
        </w:rPr>
        <w:t xml:space="preserve">They </w:t>
      </w:r>
      <w:r w:rsidR="00FD3A2C" w:rsidRPr="00645B6F">
        <w:rPr>
          <w:rFonts w:eastAsia="Times New Roman" w:cstheme="minorHAnsi"/>
          <w:color w:val="4A4A4A"/>
          <w:sz w:val="21"/>
          <w:szCs w:val="21"/>
          <w:lang w:eastAsia="en-GB"/>
        </w:rPr>
        <w:t xml:space="preserve">are labelled Out-Of-Pocket (OOP) payments in the classification of health care financing schemes (HF) of the </w:t>
      </w:r>
      <w:r w:rsidR="006E76CF">
        <w:rPr>
          <w:rFonts w:eastAsia="Times New Roman" w:cstheme="minorHAnsi"/>
          <w:color w:val="4A4A4A"/>
          <w:sz w:val="21"/>
          <w:szCs w:val="21"/>
          <w:lang w:eastAsia="en-GB"/>
        </w:rPr>
        <w:t>International</w:t>
      </w:r>
      <w:r w:rsidR="006E76CF" w:rsidRPr="00645B6F">
        <w:rPr>
          <w:rFonts w:eastAsia="Times New Roman" w:cstheme="minorHAnsi"/>
          <w:color w:val="4A4A4A"/>
          <w:sz w:val="21"/>
          <w:szCs w:val="21"/>
          <w:lang w:eastAsia="en-GB"/>
        </w:rPr>
        <w:t xml:space="preserve"> </w:t>
      </w:r>
      <w:r w:rsidR="00FD3A2C" w:rsidRPr="00645B6F">
        <w:rPr>
          <w:rFonts w:eastAsia="Times New Roman" w:cstheme="minorHAnsi"/>
          <w:color w:val="4A4A4A"/>
          <w:sz w:val="21"/>
          <w:szCs w:val="21"/>
          <w:lang w:eastAsia="en-GB"/>
        </w:rPr>
        <w:t>Classification for Health Accounts (ICHA).</w:t>
      </w:r>
      <w:r w:rsidR="00A21187">
        <w:rPr>
          <w:rFonts w:eastAsia="Times New Roman" w:cstheme="minorHAnsi"/>
          <w:color w:val="4A4A4A"/>
          <w:sz w:val="21"/>
          <w:szCs w:val="21"/>
          <w:lang w:eastAsia="en-GB"/>
        </w:rPr>
        <w:t xml:space="preserve"> They </w:t>
      </w:r>
      <w:r w:rsidR="00A21187" w:rsidRPr="00645B6F">
        <w:rPr>
          <w:rFonts w:eastAsia="Times New Roman" w:cstheme="minorHAnsi"/>
          <w:color w:val="4A4A4A"/>
          <w:sz w:val="21"/>
          <w:szCs w:val="21"/>
          <w:lang w:eastAsia="en-GB"/>
        </w:rPr>
        <w:t xml:space="preserve">are the most </w:t>
      </w:r>
      <w:r w:rsidR="006E76CF">
        <w:rPr>
          <w:rFonts w:eastAsia="Times New Roman" w:cstheme="minorHAnsi"/>
          <w:color w:val="4A4A4A"/>
          <w:sz w:val="21"/>
          <w:szCs w:val="21"/>
          <w:lang w:eastAsia="en-GB"/>
        </w:rPr>
        <w:t>inequitable</w:t>
      </w:r>
      <w:r w:rsidR="006E76CF" w:rsidRPr="00645B6F">
        <w:rPr>
          <w:rFonts w:eastAsia="Times New Roman" w:cstheme="minorHAnsi"/>
          <w:color w:val="4A4A4A"/>
          <w:sz w:val="21"/>
          <w:szCs w:val="21"/>
          <w:lang w:eastAsia="en-GB"/>
        </w:rPr>
        <w:t xml:space="preserve"> </w:t>
      </w:r>
      <w:r w:rsidR="00A21187" w:rsidRPr="00645B6F">
        <w:rPr>
          <w:rFonts w:eastAsia="Times New Roman" w:cstheme="minorHAnsi"/>
          <w:color w:val="4A4A4A"/>
          <w:sz w:val="21"/>
          <w:szCs w:val="21"/>
          <w:lang w:eastAsia="en-GB"/>
        </w:rPr>
        <w:t>source of funding for the health system</w:t>
      </w:r>
      <w:r w:rsidR="00FD3A2C" w:rsidRPr="00645B6F">
        <w:rPr>
          <w:rFonts w:eastAsia="Times New Roman" w:cstheme="minorHAnsi"/>
          <w:color w:val="4A4A4A"/>
          <w:sz w:val="21"/>
          <w:szCs w:val="21"/>
          <w:lang w:eastAsia="en-GB"/>
        </w:rPr>
        <w:t xml:space="preserve"> </w:t>
      </w:r>
      <w:r w:rsidR="00A21187">
        <w:rPr>
          <w:rFonts w:eastAsia="Times New Roman" w:cstheme="minorHAnsi"/>
          <w:color w:val="4A4A4A"/>
          <w:sz w:val="21"/>
          <w:szCs w:val="21"/>
          <w:lang w:eastAsia="en-GB"/>
        </w:rPr>
        <w:t>a</w:t>
      </w:r>
      <w:r w:rsidRPr="00645B6F">
        <w:rPr>
          <w:rFonts w:eastAsia="Times New Roman" w:cstheme="minorHAnsi"/>
          <w:color w:val="4A4A4A"/>
          <w:sz w:val="21"/>
          <w:szCs w:val="21"/>
          <w:lang w:eastAsia="en-GB"/>
        </w:rPr>
        <w:t xml:space="preserve">s </w:t>
      </w:r>
      <w:r w:rsidR="00994027">
        <w:rPr>
          <w:rFonts w:eastAsia="Times New Roman" w:cstheme="minorHAnsi"/>
          <w:color w:val="4A4A4A"/>
          <w:sz w:val="21"/>
          <w:szCs w:val="21"/>
          <w:lang w:eastAsia="en-GB"/>
        </w:rPr>
        <w:t xml:space="preserve">they are </w:t>
      </w:r>
      <w:r w:rsidR="00994027" w:rsidRPr="00645B6F">
        <w:rPr>
          <w:rFonts w:eastAsia="Times New Roman" w:cstheme="minorHAnsi"/>
          <w:color w:val="4A4A4A"/>
          <w:sz w:val="21"/>
          <w:szCs w:val="21"/>
          <w:lang w:eastAsia="en-GB"/>
        </w:rPr>
        <w:t xml:space="preserve">solely based on the willingness and ability to pay </w:t>
      </w:r>
      <w:r w:rsidR="00DB7100" w:rsidRPr="00645B6F">
        <w:rPr>
          <w:rFonts w:eastAsia="Times New Roman" w:cstheme="minorHAnsi"/>
          <w:color w:val="4A4A4A"/>
          <w:sz w:val="21"/>
          <w:szCs w:val="21"/>
          <w:lang w:eastAsia="en-GB"/>
        </w:rPr>
        <w:t>of the household</w:t>
      </w:r>
      <w:r w:rsidR="00591979">
        <w:rPr>
          <w:rFonts w:eastAsia="Times New Roman" w:cstheme="minorHAnsi"/>
          <w:color w:val="4A4A4A"/>
          <w:sz w:val="21"/>
          <w:szCs w:val="21"/>
          <w:lang w:eastAsia="en-GB"/>
        </w:rPr>
        <w:t>;</w:t>
      </w:r>
      <w:r w:rsidR="00DB7100" w:rsidRPr="00645B6F">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they only grant access to the health services and health products individuals can pay for, without any solidarity between the healthy and the sick beyond the household</w:t>
      </w:r>
      <w:r w:rsidRPr="00645B6F">
        <w:rPr>
          <w:rFonts w:eastAsia="Times New Roman" w:cstheme="minorHAnsi"/>
          <w:color w:val="4A4A4A"/>
          <w:sz w:val="21"/>
          <w:szCs w:val="21"/>
          <w:vertAlign w:val="superscript"/>
          <w:lang w:eastAsia="en-GB"/>
        </w:rPr>
        <w:footnoteReference w:id="2"/>
      </w:r>
      <w:r w:rsidR="00A11CFC">
        <w:rPr>
          <w:rFonts w:eastAsia="Times New Roman" w:cstheme="minorHAnsi"/>
          <w:color w:val="4A4A4A"/>
          <w:sz w:val="21"/>
          <w:szCs w:val="21"/>
          <w:lang w:eastAsia="en-GB"/>
        </w:rPr>
        <w:t>, the rich and the poor</w:t>
      </w:r>
      <w:r w:rsidR="00EE3312">
        <w:rPr>
          <w:rFonts w:eastAsia="Times New Roman" w:cstheme="minorHAnsi"/>
          <w:color w:val="4A4A4A"/>
          <w:sz w:val="21"/>
          <w:szCs w:val="21"/>
          <w:lang w:eastAsia="en-GB"/>
        </w:rPr>
        <w:t>; they represent a barrier to access for those people who are unable to find the economic resources</w:t>
      </w:r>
      <w:r w:rsidR="00005777">
        <w:rPr>
          <w:rFonts w:eastAsia="Times New Roman" w:cstheme="minorHAnsi"/>
          <w:color w:val="4A4A4A"/>
          <w:sz w:val="21"/>
          <w:szCs w:val="21"/>
          <w:lang w:eastAsia="en-GB"/>
        </w:rPr>
        <w:t xml:space="preserve"> need to pay out of their own pocket.</w:t>
      </w:r>
      <w:r w:rsidR="00EE3312">
        <w:rPr>
          <w:rFonts w:eastAsia="Times New Roman" w:cstheme="minorHAnsi"/>
          <w:color w:val="4A4A4A"/>
          <w:sz w:val="21"/>
          <w:szCs w:val="21"/>
          <w:lang w:eastAsia="en-GB"/>
        </w:rPr>
        <w:t xml:space="preserve"> </w:t>
      </w:r>
    </w:p>
    <w:p w14:paraId="3F4D9F03" w14:textId="77777777" w:rsidR="00E04E24" w:rsidRPr="00645B6F" w:rsidRDefault="00E04E24" w:rsidP="00B55A32">
      <w:pPr>
        <w:shd w:val="clear" w:color="auto" w:fill="FFFFFF"/>
        <w:spacing w:after="0"/>
        <w:rPr>
          <w:rFonts w:eastAsia="Times New Roman" w:cstheme="minorHAnsi"/>
          <w:color w:val="4A4A4A"/>
          <w:sz w:val="21"/>
          <w:szCs w:val="21"/>
          <w:lang w:eastAsia="en-GB"/>
        </w:rPr>
      </w:pPr>
    </w:p>
    <w:p w14:paraId="0B7B99C6" w14:textId="459C2A39"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The components of </w:t>
      </w:r>
      <w:r w:rsidR="0066240D">
        <w:rPr>
          <w:rFonts w:eastAsia="Times New Roman" w:cstheme="minorHAnsi"/>
          <w:color w:val="4A4A4A"/>
          <w:sz w:val="21"/>
          <w:szCs w:val="21"/>
          <w:lang w:eastAsia="en-GB"/>
        </w:rPr>
        <w:t>h</w:t>
      </w:r>
      <w:r w:rsidR="0066240D" w:rsidRPr="00645B6F">
        <w:rPr>
          <w:rFonts w:eastAsia="Times New Roman" w:cstheme="minorHAnsi"/>
          <w:color w:val="4A4A4A"/>
          <w:sz w:val="21"/>
          <w:szCs w:val="21"/>
          <w:lang w:eastAsia="en-GB"/>
        </w:rPr>
        <w:t xml:space="preserve">ousehold expenditure on health </w:t>
      </w:r>
      <w:r w:rsidRPr="00645B6F">
        <w:rPr>
          <w:rFonts w:eastAsia="Times New Roman" w:cstheme="minorHAnsi"/>
          <w:color w:val="4A4A4A"/>
          <w:sz w:val="21"/>
          <w:szCs w:val="21"/>
          <w:lang w:eastAsia="en-GB"/>
        </w:rPr>
        <w:t xml:space="preserve">should be consistent with division 06 on </w:t>
      </w:r>
      <w:r w:rsidR="004C4B75">
        <w:rPr>
          <w:rFonts w:eastAsia="Times New Roman" w:cstheme="minorHAnsi"/>
          <w:color w:val="4A4A4A"/>
          <w:sz w:val="21"/>
          <w:szCs w:val="21"/>
          <w:lang w:eastAsia="en-GB"/>
        </w:rPr>
        <w:t xml:space="preserve">the </w:t>
      </w:r>
      <w:r w:rsidRPr="00645B6F">
        <w:rPr>
          <w:rFonts w:eastAsia="Times New Roman" w:cstheme="minorHAnsi"/>
          <w:color w:val="4A4A4A"/>
          <w:sz w:val="21"/>
          <w:szCs w:val="21"/>
          <w:lang w:eastAsia="en-GB"/>
        </w:rPr>
        <w:t>health of the UN Classification of Individual Consumption According to Purpose (COICOP) on medicines and medical products (06.1), outpatient care services (06.2)</w:t>
      </w:r>
      <w:r w:rsidR="00C96A96">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inpatient care services (06.3) </w:t>
      </w:r>
      <w:r w:rsidR="00431879">
        <w:rPr>
          <w:rFonts w:eastAsia="Times New Roman" w:cstheme="minorHAnsi"/>
          <w:color w:val="4A4A4A"/>
          <w:sz w:val="21"/>
          <w:szCs w:val="21"/>
          <w:lang w:eastAsia="en-GB"/>
        </w:rPr>
        <w:t xml:space="preserve">and </w:t>
      </w:r>
      <w:r w:rsidR="004220C1">
        <w:rPr>
          <w:rFonts w:eastAsia="Times New Roman" w:cstheme="minorHAnsi"/>
          <w:color w:val="4A4A4A"/>
          <w:sz w:val="21"/>
          <w:szCs w:val="21"/>
          <w:lang w:eastAsia="en-GB"/>
        </w:rPr>
        <w:t>other health services</w:t>
      </w:r>
      <w:r w:rsidR="00431879">
        <w:rPr>
          <w:rFonts w:eastAsia="Times New Roman" w:cstheme="minorHAnsi"/>
          <w:color w:val="4A4A4A"/>
          <w:sz w:val="21"/>
          <w:szCs w:val="21"/>
          <w:lang w:eastAsia="en-GB"/>
        </w:rPr>
        <w:t xml:space="preserve"> (06.4)</w:t>
      </w:r>
      <w:r w:rsidRPr="00645B6F">
        <w:rPr>
          <w:rFonts w:eastAsia="Times New Roman" w:cstheme="minorHAnsi"/>
          <w:color w:val="4A4A4A"/>
          <w:sz w:val="21"/>
          <w:szCs w:val="21"/>
          <w:vertAlign w:val="superscript"/>
          <w:lang w:eastAsia="en-GB"/>
        </w:rPr>
        <w:footnoteReference w:id="3"/>
      </w:r>
      <w:r w:rsidRPr="00645B6F">
        <w:rPr>
          <w:rFonts w:eastAsia="Times New Roman" w:cstheme="minorHAnsi"/>
          <w:color w:val="4A4A4A"/>
          <w:sz w:val="21"/>
          <w:szCs w:val="21"/>
          <w:lang w:eastAsia="en-GB"/>
        </w:rPr>
        <w:t>.</w:t>
      </w:r>
    </w:p>
    <w:p w14:paraId="1FC6FB00" w14:textId="77777777" w:rsidR="00B55A32" w:rsidRPr="00645B6F" w:rsidRDefault="00B55A32" w:rsidP="00B55A32">
      <w:pPr>
        <w:shd w:val="clear" w:color="auto" w:fill="FFFFFF"/>
        <w:spacing w:after="0"/>
        <w:rPr>
          <w:rFonts w:eastAsia="Times New Roman" w:cstheme="minorHAnsi"/>
          <w:color w:val="4A4A4A"/>
          <w:sz w:val="21"/>
          <w:szCs w:val="21"/>
          <w:lang w:eastAsia="en-GB"/>
        </w:rPr>
      </w:pPr>
    </w:p>
    <w:p w14:paraId="2F980013" w14:textId="2A2408ED"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Further information on definitions and classifications of health expenditures should be consistent with the </w:t>
      </w:r>
      <w:hyperlink r:id="rId11" w:history="1">
        <w:r w:rsidR="00C96A96">
          <w:rPr>
            <w:rFonts w:eastAsia="Times New Roman" w:cstheme="minorHAnsi"/>
            <w:color w:val="0000FF" w:themeColor="hyperlink"/>
            <w:sz w:val="21"/>
            <w:szCs w:val="21"/>
            <w:u w:val="single"/>
            <w:lang w:eastAsia="en-GB"/>
          </w:rPr>
          <w:t>I</w:t>
        </w:r>
        <w:r w:rsidRPr="00645B6F">
          <w:rPr>
            <w:rFonts w:eastAsia="Times New Roman" w:cstheme="minorHAnsi"/>
            <w:color w:val="0000FF" w:themeColor="hyperlink"/>
            <w:sz w:val="21"/>
            <w:szCs w:val="21"/>
            <w:u w:val="single"/>
            <w:lang w:eastAsia="en-GB"/>
          </w:rPr>
          <w:t xml:space="preserve">nternational </w:t>
        </w:r>
        <w:r w:rsidR="00C96A96">
          <w:rPr>
            <w:rFonts w:eastAsia="Times New Roman" w:cstheme="minorHAnsi"/>
            <w:color w:val="0000FF" w:themeColor="hyperlink"/>
            <w:sz w:val="21"/>
            <w:szCs w:val="21"/>
            <w:u w:val="single"/>
            <w:lang w:eastAsia="en-GB"/>
          </w:rPr>
          <w:t>C</w:t>
        </w:r>
        <w:r w:rsidRPr="00645B6F">
          <w:rPr>
            <w:rFonts w:eastAsia="Times New Roman" w:cstheme="minorHAnsi"/>
            <w:color w:val="0000FF" w:themeColor="hyperlink"/>
            <w:sz w:val="21"/>
            <w:szCs w:val="21"/>
            <w:u w:val="single"/>
            <w:lang w:eastAsia="en-GB"/>
          </w:rPr>
          <w:t xml:space="preserve">lassification for </w:t>
        </w:r>
        <w:r w:rsidR="00C96A96">
          <w:rPr>
            <w:rFonts w:eastAsia="Times New Roman" w:cstheme="minorHAnsi"/>
            <w:color w:val="0000FF" w:themeColor="hyperlink"/>
            <w:sz w:val="21"/>
            <w:szCs w:val="21"/>
            <w:u w:val="single"/>
            <w:lang w:eastAsia="en-GB"/>
          </w:rPr>
          <w:t>H</w:t>
        </w:r>
        <w:r w:rsidRPr="00645B6F">
          <w:rPr>
            <w:rFonts w:eastAsia="Times New Roman" w:cstheme="minorHAnsi"/>
            <w:color w:val="0000FF" w:themeColor="hyperlink"/>
            <w:sz w:val="21"/>
            <w:szCs w:val="21"/>
            <w:u w:val="single"/>
            <w:lang w:eastAsia="en-GB"/>
          </w:rPr>
          <w:t xml:space="preserve">ealth </w:t>
        </w:r>
        <w:r w:rsidR="00C96A96">
          <w:rPr>
            <w:rFonts w:eastAsia="Times New Roman" w:cstheme="minorHAnsi"/>
            <w:color w:val="0000FF" w:themeColor="hyperlink"/>
            <w:sz w:val="21"/>
            <w:szCs w:val="21"/>
            <w:u w:val="single"/>
            <w:lang w:eastAsia="en-GB"/>
          </w:rPr>
          <w:t>A</w:t>
        </w:r>
        <w:r w:rsidRPr="00645B6F">
          <w:rPr>
            <w:rFonts w:eastAsia="Times New Roman" w:cstheme="minorHAnsi"/>
            <w:color w:val="0000FF" w:themeColor="hyperlink"/>
            <w:sz w:val="21"/>
            <w:szCs w:val="21"/>
            <w:u w:val="single"/>
            <w:lang w:eastAsia="en-GB"/>
          </w:rPr>
          <w:t>ccounts</w:t>
        </w:r>
      </w:hyperlink>
      <w:r w:rsidR="00156794" w:rsidRPr="00D35867">
        <w:rPr>
          <w:color w:val="0000FF" w:themeColor="hyperlink"/>
          <w:sz w:val="21"/>
          <w:u w:val="single"/>
        </w:rPr>
        <w:t xml:space="preserve"> </w:t>
      </w:r>
      <w:r w:rsidR="00156794">
        <w:rPr>
          <w:rFonts w:eastAsia="Times New Roman" w:cstheme="minorHAnsi"/>
          <w:color w:val="0000FF" w:themeColor="hyperlink"/>
          <w:sz w:val="21"/>
          <w:szCs w:val="21"/>
          <w:u w:val="single"/>
          <w:lang w:eastAsia="en-GB"/>
        </w:rPr>
        <w:t>(ICHA)</w:t>
      </w:r>
      <w:r w:rsidRPr="00645B6F">
        <w:rPr>
          <w:rFonts w:eastAsia="Times New Roman" w:cstheme="minorHAnsi"/>
          <w:color w:val="4A4A4A"/>
          <w:sz w:val="21"/>
          <w:szCs w:val="21"/>
          <w:lang w:eastAsia="en-GB"/>
        </w:rPr>
        <w:t xml:space="preserve"> and its family of classifications</w:t>
      </w:r>
      <w:r w:rsidR="00156794">
        <w:rPr>
          <w:rFonts w:eastAsia="Times New Roman" w:cstheme="minorHAnsi"/>
          <w:color w:val="4A4A4A"/>
          <w:sz w:val="21"/>
          <w:szCs w:val="21"/>
          <w:lang w:eastAsia="en-GB"/>
        </w:rPr>
        <w:t xml:space="preserve"> </w:t>
      </w:r>
      <w:r w:rsidR="00156794" w:rsidRPr="00645B6F">
        <w:rPr>
          <w:rFonts w:eastAsia="Times New Roman" w:cstheme="minorHAnsi"/>
          <w:color w:val="4A4A4A"/>
          <w:sz w:val="21"/>
          <w:szCs w:val="21"/>
          <w:lang w:eastAsia="en-GB"/>
        </w:rPr>
        <w:t>(for example</w:t>
      </w:r>
      <w:r w:rsidR="006E76CF">
        <w:rPr>
          <w:rFonts w:eastAsia="Times New Roman" w:cstheme="minorHAnsi"/>
          <w:color w:val="4A4A4A"/>
          <w:sz w:val="21"/>
          <w:szCs w:val="21"/>
          <w:lang w:eastAsia="en-GB"/>
        </w:rPr>
        <w:t>,</w:t>
      </w:r>
      <w:r w:rsidR="00156794" w:rsidRPr="00645B6F">
        <w:rPr>
          <w:rFonts w:eastAsia="Times New Roman" w:cstheme="minorHAnsi"/>
          <w:color w:val="4A4A4A"/>
          <w:sz w:val="21"/>
          <w:szCs w:val="21"/>
          <w:lang w:eastAsia="en-GB"/>
        </w:rPr>
        <w:t xml:space="preserve"> by </w:t>
      </w:r>
      <w:r w:rsidR="00156794">
        <w:rPr>
          <w:rFonts w:eastAsia="Times New Roman" w:cstheme="minorHAnsi"/>
          <w:color w:val="4A4A4A"/>
          <w:sz w:val="21"/>
          <w:szCs w:val="21"/>
          <w:lang w:eastAsia="en-GB"/>
        </w:rPr>
        <w:t xml:space="preserve">type of </w:t>
      </w:r>
      <w:r w:rsidR="00156794" w:rsidRPr="00645B6F">
        <w:rPr>
          <w:rFonts w:eastAsia="Times New Roman" w:cstheme="minorHAnsi"/>
          <w:color w:val="4A4A4A"/>
          <w:sz w:val="21"/>
          <w:szCs w:val="21"/>
          <w:lang w:eastAsia="en-GB"/>
        </w:rPr>
        <w:t>provider)</w:t>
      </w:r>
      <w:r w:rsidRPr="00645B6F">
        <w:rPr>
          <w:rFonts w:eastAsia="Times New Roman" w:cstheme="minorHAnsi"/>
          <w:color w:val="4A4A4A"/>
          <w:sz w:val="21"/>
          <w:szCs w:val="21"/>
          <w:lang w:eastAsia="en-GB"/>
        </w:rPr>
        <w:t xml:space="preserve">. </w:t>
      </w:r>
    </w:p>
    <w:p w14:paraId="7547A0E8" w14:textId="77777777" w:rsidR="00B55A32" w:rsidRPr="00645B6F" w:rsidRDefault="00B55A32" w:rsidP="00D35867">
      <w:pPr>
        <w:shd w:val="clear" w:color="auto" w:fill="FFFFFF"/>
        <w:spacing w:after="0"/>
        <w:jc w:val="both"/>
        <w:rPr>
          <w:rFonts w:eastAsia="Times New Roman" w:cstheme="minorHAnsi"/>
          <w:i/>
          <w:iCs/>
          <w:color w:val="4A4A4A"/>
          <w:sz w:val="21"/>
          <w:szCs w:val="21"/>
          <w:lang w:eastAsia="en-GB"/>
        </w:rPr>
      </w:pPr>
    </w:p>
    <w:p w14:paraId="57F4D379" w14:textId="77777777" w:rsidR="00B55A32" w:rsidRPr="00645B6F" w:rsidRDefault="00B55A32" w:rsidP="00B55A32">
      <w:pPr>
        <w:shd w:val="clear" w:color="auto" w:fill="FFFFFF"/>
        <w:spacing w:after="0"/>
        <w:rPr>
          <w:rFonts w:eastAsia="Times New Roman" w:cstheme="minorHAnsi"/>
          <w:b/>
          <w:bCs/>
          <w:i/>
          <w:iCs/>
          <w:color w:val="4A4A4A"/>
          <w:sz w:val="21"/>
          <w:szCs w:val="21"/>
          <w:lang w:eastAsia="en-GB"/>
        </w:rPr>
      </w:pPr>
      <w:r w:rsidRPr="00645B6F">
        <w:rPr>
          <w:rFonts w:eastAsia="Times New Roman" w:cstheme="minorHAnsi"/>
          <w:b/>
          <w:bCs/>
          <w:i/>
          <w:iCs/>
          <w:color w:val="4A4A4A"/>
          <w:sz w:val="21"/>
          <w:szCs w:val="21"/>
          <w:lang w:eastAsia="en-GB"/>
        </w:rPr>
        <w:t>Denominator</w:t>
      </w:r>
    </w:p>
    <w:p w14:paraId="6661B813" w14:textId="66FEECAE"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Expenditure on household consumption and household income are both monetary welfare measures. Household consumption is a function of permanent income, which is a measure of a household’s long-term economic resources that determine living standards. Consumption is generally defined as the sum of the monetary values of all items consumed by the household on </w:t>
      </w:r>
      <w:r w:rsidR="00C96A96">
        <w:rPr>
          <w:rFonts w:eastAsia="Times New Roman" w:cstheme="minorHAnsi"/>
          <w:color w:val="4A4A4A"/>
          <w:sz w:val="21"/>
          <w:szCs w:val="21"/>
          <w:lang w:eastAsia="en-GB"/>
        </w:rPr>
        <w:t xml:space="preserve">a </w:t>
      </w:r>
      <w:r w:rsidRPr="00645B6F">
        <w:rPr>
          <w:rFonts w:eastAsia="Times New Roman" w:cstheme="minorHAnsi"/>
          <w:color w:val="4A4A4A"/>
          <w:sz w:val="21"/>
          <w:szCs w:val="21"/>
          <w:lang w:eastAsia="en-GB"/>
        </w:rPr>
        <w:t>domestic account during a</w:t>
      </w:r>
      <w:r w:rsidR="005D533C">
        <w:rPr>
          <w:rFonts w:eastAsia="Times New Roman" w:cstheme="minorHAnsi"/>
          <w:color w:val="4A4A4A"/>
          <w:sz w:val="21"/>
          <w:szCs w:val="21"/>
          <w:lang w:eastAsia="en-GB"/>
        </w:rPr>
        <w:t xml:space="preserve"> common</w:t>
      </w:r>
      <w:r w:rsidRPr="00645B6F">
        <w:rPr>
          <w:rFonts w:eastAsia="Times New Roman" w:cstheme="minorHAnsi"/>
          <w:color w:val="4A4A4A"/>
          <w:sz w:val="21"/>
          <w:szCs w:val="21"/>
          <w:lang w:eastAsia="en-GB"/>
        </w:rPr>
        <w:t xml:space="preserve"> reference period</w:t>
      </w:r>
      <w:r w:rsidR="00F4064C">
        <w:rPr>
          <w:rStyle w:val="FootnoteReference"/>
          <w:rFonts w:eastAsia="Times New Roman" w:cstheme="minorHAnsi"/>
          <w:color w:val="4A4A4A"/>
          <w:sz w:val="21"/>
          <w:szCs w:val="21"/>
          <w:lang w:eastAsia="en-GB"/>
        </w:rPr>
        <w:footnoteReference w:id="4"/>
      </w:r>
      <w:r w:rsidRPr="00645B6F">
        <w:rPr>
          <w:rFonts w:eastAsia="Times New Roman" w:cstheme="minorHAnsi"/>
          <w:color w:val="4A4A4A"/>
          <w:sz w:val="21"/>
          <w:szCs w:val="21"/>
          <w:lang w:eastAsia="en-GB"/>
        </w:rPr>
        <w:t xml:space="preserve">. It includes </w:t>
      </w:r>
      <w:r w:rsidR="002F4A14">
        <w:rPr>
          <w:rFonts w:eastAsia="Times New Roman" w:cstheme="minorHAnsi"/>
          <w:color w:val="4A4A4A"/>
          <w:sz w:val="21"/>
          <w:szCs w:val="21"/>
          <w:lang w:eastAsia="en-GB"/>
        </w:rPr>
        <w:t xml:space="preserve">monetary expenditures on </w:t>
      </w:r>
      <w:r w:rsidR="002F4A14" w:rsidRPr="006F2EAD">
        <w:rPr>
          <w:rFonts w:eastAsia="Times New Roman" w:cstheme="minorHAnsi"/>
          <w:color w:val="4A4A4A"/>
          <w:sz w:val="21"/>
          <w:szCs w:val="21"/>
          <w:lang w:eastAsia="en-GB"/>
        </w:rPr>
        <w:t>food and non-food non-durable goods and services</w:t>
      </w:r>
      <w:r w:rsidR="002F4A14">
        <w:rPr>
          <w:rFonts w:eastAsia="Times New Roman" w:cstheme="minorHAnsi"/>
          <w:color w:val="4A4A4A"/>
          <w:sz w:val="21"/>
          <w:szCs w:val="21"/>
          <w:lang w:eastAsia="en-GB"/>
        </w:rPr>
        <w:t xml:space="preserve"> consumed as well as</w:t>
      </w:r>
      <w:r w:rsidR="002F4A14" w:rsidRPr="00645B6F">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the imputed values of goods and services that are not purchased but procured otherwise for consumption</w:t>
      </w:r>
      <w:r w:rsidR="00A748DD">
        <w:rPr>
          <w:rFonts w:eastAsia="Times New Roman" w:cstheme="minorHAnsi"/>
          <w:color w:val="4A4A4A"/>
          <w:sz w:val="21"/>
          <w:szCs w:val="21"/>
          <w:lang w:eastAsia="en-GB"/>
        </w:rPr>
        <w:t xml:space="preserve"> (value of in-kind consumption</w:t>
      </w:r>
      <w:r w:rsidR="00C875AC">
        <w:rPr>
          <w:rFonts w:eastAsia="Times New Roman" w:cstheme="minorHAnsi"/>
          <w:color w:val="4A4A4A"/>
          <w:sz w:val="21"/>
          <w:szCs w:val="21"/>
          <w:lang w:eastAsia="en-GB"/>
        </w:rPr>
        <w:t>); the</w:t>
      </w:r>
      <w:r w:rsidR="00F2003A">
        <w:rPr>
          <w:rFonts w:eastAsia="Times New Roman" w:cstheme="minorHAnsi"/>
          <w:color w:val="4A4A4A"/>
          <w:sz w:val="21"/>
          <w:szCs w:val="21"/>
          <w:lang w:eastAsia="en-GB"/>
        </w:rPr>
        <w:t xml:space="preserve"> value use of durables,</w:t>
      </w:r>
      <w:r w:rsidR="00B8726E">
        <w:rPr>
          <w:rFonts w:eastAsia="Times New Roman" w:cstheme="minorHAnsi"/>
          <w:color w:val="4A4A4A"/>
          <w:sz w:val="21"/>
          <w:szCs w:val="21"/>
          <w:lang w:eastAsia="en-GB"/>
        </w:rPr>
        <w:t xml:space="preserve"> </w:t>
      </w:r>
      <w:r w:rsidR="00AD4F68">
        <w:rPr>
          <w:rFonts w:eastAsia="Times New Roman" w:cstheme="minorHAnsi"/>
          <w:color w:val="4A4A4A"/>
          <w:sz w:val="21"/>
          <w:szCs w:val="21"/>
          <w:lang w:eastAsia="en-GB"/>
        </w:rPr>
        <w:t xml:space="preserve">and </w:t>
      </w:r>
      <w:r w:rsidR="00B8726E">
        <w:rPr>
          <w:rFonts w:eastAsia="Times New Roman" w:cstheme="minorHAnsi"/>
          <w:color w:val="4A4A4A"/>
          <w:sz w:val="21"/>
          <w:szCs w:val="21"/>
          <w:lang w:eastAsia="en-GB"/>
        </w:rPr>
        <w:t>the</w:t>
      </w:r>
      <w:r w:rsidR="00F2003A">
        <w:rPr>
          <w:rFonts w:eastAsia="Times New Roman" w:cstheme="minorHAnsi"/>
          <w:color w:val="4A4A4A"/>
          <w:sz w:val="21"/>
          <w:szCs w:val="21"/>
          <w:lang w:eastAsia="en-GB"/>
        </w:rPr>
        <w:t xml:space="preserve"> value use of owner-occupied housing</w:t>
      </w:r>
      <w:r w:rsidRPr="00645B6F">
        <w:rPr>
          <w:rFonts w:eastAsia="Times New Roman" w:cstheme="minorHAnsi"/>
          <w:color w:val="4A4A4A"/>
          <w:sz w:val="21"/>
          <w:szCs w:val="21"/>
          <w:lang w:eastAsia="en-GB"/>
        </w:rPr>
        <w:t>. Information on household consumption is usually collected in household surveys that may use different approaches to measure ‘consumption’ depending on whether items refer to durable or non-durable goods and/or are directly produced by households.</w:t>
      </w:r>
    </w:p>
    <w:p w14:paraId="4DDF990D" w14:textId="77777777" w:rsidR="00B55A32" w:rsidRPr="00645B6F" w:rsidRDefault="00B55A32" w:rsidP="00B55A32">
      <w:pPr>
        <w:shd w:val="clear" w:color="auto" w:fill="FFFFFF"/>
        <w:spacing w:after="0"/>
        <w:rPr>
          <w:rFonts w:eastAsia="Times New Roman" w:cstheme="minorHAnsi"/>
          <w:color w:val="4A4A4A"/>
          <w:sz w:val="21"/>
          <w:szCs w:val="21"/>
          <w:lang w:eastAsia="en-GB"/>
        </w:rPr>
      </w:pPr>
    </w:p>
    <w:p w14:paraId="15FF73FF" w14:textId="1130CBC5"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The most relevant measure of income is disposable income</w:t>
      </w:r>
      <w:r w:rsidR="006E76CF">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as it is close to the maximum available to the household for consumption expenditure during the accounting period. Disposable income is defined as total income less direct taxes (net of refunds), compulsory fees and fines. Total income is generally </w:t>
      </w:r>
      <w:r w:rsidRPr="00645B6F">
        <w:rPr>
          <w:rFonts w:eastAsia="Times New Roman" w:cstheme="minorHAnsi"/>
          <w:color w:val="4A4A4A"/>
          <w:sz w:val="21"/>
          <w:szCs w:val="21"/>
          <w:lang w:eastAsia="en-GB"/>
        </w:rPr>
        <w:lastRenderedPageBreak/>
        <w:t>composed of income from employment, property income, income from household production of services for own consumption, transfers received in cash and goods,</w:t>
      </w:r>
      <w:r w:rsidR="00D2731F">
        <w:rPr>
          <w:rFonts w:eastAsia="Times New Roman" w:cstheme="minorHAnsi"/>
          <w:color w:val="4A4A4A"/>
          <w:sz w:val="21"/>
          <w:szCs w:val="21"/>
          <w:lang w:eastAsia="en-GB"/>
        </w:rPr>
        <w:t xml:space="preserve"> and</w:t>
      </w:r>
      <w:r w:rsidRPr="00645B6F">
        <w:rPr>
          <w:rFonts w:eastAsia="Times New Roman" w:cstheme="minorHAnsi"/>
          <w:color w:val="4A4A4A"/>
          <w:sz w:val="21"/>
          <w:szCs w:val="21"/>
          <w:lang w:eastAsia="en-GB"/>
        </w:rPr>
        <w:t xml:space="preserve"> transfers received as services</w:t>
      </w:r>
      <w:r w:rsidRPr="00645B6F">
        <w:rPr>
          <w:rFonts w:eastAsia="Times New Roman" w:cstheme="minorHAnsi"/>
          <w:color w:val="4A4A4A"/>
          <w:sz w:val="21"/>
          <w:szCs w:val="21"/>
          <w:vertAlign w:val="superscript"/>
          <w:lang w:eastAsia="en-GB"/>
        </w:rPr>
        <w:footnoteReference w:id="5"/>
      </w:r>
      <w:r w:rsidRPr="00645B6F">
        <w:rPr>
          <w:rFonts w:eastAsia="Times New Roman" w:cstheme="minorHAnsi"/>
          <w:color w:val="4A4A4A"/>
          <w:sz w:val="21"/>
          <w:szCs w:val="21"/>
          <w:lang w:eastAsia="en-GB"/>
        </w:rPr>
        <w:t xml:space="preserve">. </w:t>
      </w:r>
    </w:p>
    <w:p w14:paraId="0411C32D" w14:textId="77777777" w:rsidR="00B55A32" w:rsidRPr="00645B6F" w:rsidRDefault="00B55A32" w:rsidP="00B55A32">
      <w:pPr>
        <w:shd w:val="clear" w:color="auto" w:fill="FFFFFF"/>
        <w:spacing w:after="0"/>
        <w:rPr>
          <w:rFonts w:eastAsia="Times New Roman" w:cstheme="minorHAnsi"/>
          <w:color w:val="4A4A4A"/>
          <w:sz w:val="21"/>
          <w:szCs w:val="21"/>
          <w:lang w:eastAsia="en-GB"/>
        </w:rPr>
      </w:pPr>
    </w:p>
    <w:p w14:paraId="3879380A" w14:textId="43773587"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Income is more difficult to measure accurately due to its greater variability over time. Consumption is less variable over time and easier to measure. </w:t>
      </w:r>
      <w:r w:rsidR="00F86902">
        <w:rPr>
          <w:rFonts w:eastAsia="Times New Roman" w:cstheme="minorHAnsi"/>
          <w:color w:val="4A4A4A"/>
          <w:sz w:val="21"/>
          <w:szCs w:val="21"/>
          <w:lang w:eastAsia="en-GB"/>
        </w:rPr>
        <w:t>Therefore, it is recommended that whenever there is information on</w:t>
      </w:r>
      <w:r w:rsidRPr="00645B6F">
        <w:rPr>
          <w:rFonts w:eastAsia="Times New Roman" w:cstheme="minorHAnsi"/>
          <w:color w:val="4A4A4A"/>
          <w:sz w:val="21"/>
          <w:szCs w:val="21"/>
          <w:lang w:eastAsia="en-GB"/>
        </w:rPr>
        <w:t xml:space="preserve"> household consumption and income</w:t>
      </w:r>
      <w:r w:rsidR="00CC593B">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the former is used (see the “comments and limitations” section to learn more about the sensitivity of 3.8.2 to the income/expenditure choice in the denominator). Statistics on 3.8.2 currently produced by WHO and the World Bank predominantly rely on consumption (see </w:t>
      </w:r>
      <w:r w:rsidR="00CC593B">
        <w:rPr>
          <w:rFonts w:eastAsia="Times New Roman" w:cstheme="minorHAnsi"/>
          <w:color w:val="4A4A4A"/>
          <w:sz w:val="21"/>
          <w:szCs w:val="21"/>
          <w:lang w:eastAsia="en-GB"/>
        </w:rPr>
        <w:t xml:space="preserve">the </w:t>
      </w:r>
      <w:r w:rsidRPr="00645B6F">
        <w:rPr>
          <w:rFonts w:eastAsia="Times New Roman" w:cstheme="minorHAnsi"/>
          <w:color w:val="4A4A4A"/>
          <w:sz w:val="21"/>
          <w:szCs w:val="21"/>
          <w:lang w:eastAsia="en-GB"/>
        </w:rPr>
        <w:t xml:space="preserve">section on data sources). </w:t>
      </w:r>
    </w:p>
    <w:p w14:paraId="1D67B54C" w14:textId="77777777" w:rsidR="00B55A32" w:rsidRPr="00645B6F" w:rsidRDefault="00B55A32" w:rsidP="00B55A32">
      <w:pPr>
        <w:shd w:val="clear" w:color="auto" w:fill="FFFFFF"/>
        <w:spacing w:after="0"/>
        <w:rPr>
          <w:rFonts w:eastAsia="Times New Roman" w:cstheme="minorHAnsi"/>
          <w:b/>
          <w:bCs/>
          <w:i/>
          <w:iCs/>
          <w:color w:val="4A4A4A"/>
          <w:sz w:val="21"/>
          <w:szCs w:val="21"/>
          <w:shd w:val="clear" w:color="auto" w:fill="FFFFFF"/>
          <w:lang w:eastAsia="en-GB"/>
        </w:rPr>
      </w:pPr>
    </w:p>
    <w:p w14:paraId="2EA2DA09" w14:textId="77777777" w:rsidR="00B55A32" w:rsidRPr="00645B6F" w:rsidRDefault="00B55A32" w:rsidP="00B55A32">
      <w:pPr>
        <w:shd w:val="clear" w:color="auto" w:fill="FFFFFF"/>
        <w:spacing w:after="0"/>
        <w:rPr>
          <w:rFonts w:eastAsia="Times New Roman" w:cstheme="minorHAnsi"/>
          <w:b/>
          <w:bCs/>
          <w:i/>
          <w:iCs/>
          <w:color w:val="4A4A4A"/>
          <w:sz w:val="21"/>
          <w:szCs w:val="21"/>
          <w:shd w:val="clear" w:color="auto" w:fill="FFFFFF"/>
          <w:lang w:eastAsia="en-GB"/>
        </w:rPr>
      </w:pPr>
      <w:r w:rsidRPr="00645B6F">
        <w:rPr>
          <w:rFonts w:eastAsia="Times New Roman" w:cstheme="minorHAnsi"/>
          <w:b/>
          <w:bCs/>
          <w:i/>
          <w:iCs/>
          <w:color w:val="4A4A4A"/>
          <w:sz w:val="21"/>
          <w:szCs w:val="21"/>
          <w:shd w:val="clear" w:color="auto" w:fill="FFFFFF"/>
          <w:lang w:eastAsia="en-GB"/>
        </w:rPr>
        <w:t>Thresholds</w:t>
      </w:r>
    </w:p>
    <w:p w14:paraId="06C9354F" w14:textId="73C8B7AE" w:rsidR="00B55A32" w:rsidRPr="00645B6F" w:rsidRDefault="00B80995" w:rsidP="00CC593B">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w:t>
      </w:r>
      <w:r w:rsidR="00B55A32" w:rsidRPr="00645B6F">
        <w:rPr>
          <w:rFonts w:eastAsia="Times New Roman" w:cstheme="minorHAnsi"/>
          <w:color w:val="4A4A4A"/>
          <w:sz w:val="21"/>
          <w:szCs w:val="21"/>
          <w:lang w:eastAsia="en-GB"/>
        </w:rPr>
        <w:t>wo thresholds</w:t>
      </w:r>
      <w:r>
        <w:rPr>
          <w:rFonts w:eastAsia="Times New Roman" w:cstheme="minorHAnsi"/>
          <w:color w:val="4A4A4A"/>
          <w:sz w:val="21"/>
          <w:szCs w:val="21"/>
          <w:lang w:eastAsia="en-GB"/>
        </w:rPr>
        <w:t xml:space="preserve"> are used</w:t>
      </w:r>
      <w:r w:rsidR="00B55A32" w:rsidRPr="00645B6F">
        <w:rPr>
          <w:rFonts w:eastAsia="Times New Roman" w:cstheme="minorHAnsi"/>
          <w:color w:val="4A4A4A"/>
          <w:sz w:val="21"/>
          <w:szCs w:val="21"/>
          <w:lang w:eastAsia="en-GB"/>
        </w:rPr>
        <w:t xml:space="preserve"> for global reporting to identify large household expenditure on health as </w:t>
      </w:r>
      <w:r w:rsidR="00CC593B">
        <w:rPr>
          <w:rFonts w:eastAsia="Times New Roman" w:cstheme="minorHAnsi"/>
          <w:color w:val="4A4A4A"/>
          <w:sz w:val="21"/>
          <w:szCs w:val="21"/>
          <w:lang w:eastAsia="en-GB"/>
        </w:rPr>
        <w:t xml:space="preserve">a </w:t>
      </w:r>
      <w:r w:rsidR="00B55A32" w:rsidRPr="00645B6F">
        <w:rPr>
          <w:rFonts w:eastAsia="Times New Roman" w:cstheme="minorHAnsi"/>
          <w:color w:val="4A4A4A"/>
          <w:sz w:val="21"/>
          <w:szCs w:val="21"/>
          <w:lang w:eastAsia="en-GB"/>
        </w:rPr>
        <w:t>share of total household consumption or income</w:t>
      </w:r>
      <w:r w:rsidR="00B55A32" w:rsidRPr="00645B6F">
        <w:rPr>
          <w:rFonts w:eastAsia="Times New Roman" w:cstheme="minorHAnsi"/>
          <w:color w:val="4A4A4A"/>
          <w:sz w:val="21"/>
          <w:szCs w:val="21"/>
          <w:u w:val="single"/>
          <w:lang w:eastAsia="en-GB"/>
        </w:rPr>
        <w:t xml:space="preserve">: </w:t>
      </w:r>
      <w:r w:rsidR="00B55A32" w:rsidRPr="00645B6F">
        <w:rPr>
          <w:rFonts w:eastAsia="Times New Roman" w:cstheme="minorHAnsi"/>
          <w:b/>
          <w:bCs/>
          <w:color w:val="4A4A4A"/>
          <w:sz w:val="21"/>
          <w:szCs w:val="21"/>
          <w:u w:val="single"/>
          <w:lang w:eastAsia="en-GB"/>
        </w:rPr>
        <w:t>a lower threshold of 10% (3.8.2_10) and a higher threshold of 25% (3.8.2_25)</w:t>
      </w:r>
      <w:r w:rsidR="00B55A32" w:rsidRPr="00645B6F">
        <w:rPr>
          <w:rFonts w:eastAsia="Times New Roman" w:cstheme="minorHAnsi"/>
          <w:color w:val="4A4A4A"/>
          <w:sz w:val="21"/>
          <w:szCs w:val="21"/>
          <w:lang w:eastAsia="en-GB"/>
        </w:rPr>
        <w:t>. With these two thresholds</w:t>
      </w:r>
      <w:r w:rsidR="00CC593B">
        <w:rPr>
          <w:rFonts w:eastAsia="Times New Roman" w:cstheme="minorHAnsi"/>
          <w:color w:val="4A4A4A"/>
          <w:sz w:val="21"/>
          <w:szCs w:val="21"/>
          <w:lang w:eastAsia="en-GB"/>
        </w:rPr>
        <w:t>,</w:t>
      </w:r>
      <w:r w:rsidR="00B55A32" w:rsidRPr="00645B6F">
        <w:rPr>
          <w:rFonts w:eastAsia="Times New Roman" w:cstheme="minorHAnsi"/>
          <w:color w:val="4A4A4A"/>
          <w:sz w:val="21"/>
          <w:szCs w:val="21"/>
          <w:lang w:eastAsia="en-GB"/>
        </w:rPr>
        <w:t xml:space="preserve"> the indicator measures financial hardship</w:t>
      </w:r>
      <w:r w:rsidR="00CC593B">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 xml:space="preserve">(see </w:t>
      </w:r>
      <w:r w:rsidR="00F86902">
        <w:rPr>
          <w:rFonts w:eastAsia="Times New Roman" w:cstheme="minorHAnsi"/>
          <w:color w:val="4A4A4A"/>
          <w:sz w:val="21"/>
          <w:szCs w:val="21"/>
          <w:lang w:eastAsia="en-GB"/>
        </w:rPr>
        <w:t xml:space="preserve">the </w:t>
      </w:r>
      <w:r w:rsidR="00B55A32" w:rsidRPr="00645B6F">
        <w:rPr>
          <w:rFonts w:eastAsia="Times New Roman" w:cstheme="minorHAnsi"/>
          <w:color w:val="4A4A4A"/>
          <w:sz w:val="21"/>
          <w:szCs w:val="21"/>
          <w:lang w:eastAsia="en-GB"/>
        </w:rPr>
        <w:t xml:space="preserve">section on comments and limitations).    </w:t>
      </w:r>
    </w:p>
    <w:p w14:paraId="700EC94D" w14:textId="77777777" w:rsidR="00B55A32" w:rsidRPr="00645B6F" w:rsidRDefault="00B55A32" w:rsidP="00B55A32">
      <w:pPr>
        <w:shd w:val="clear" w:color="auto" w:fill="FFFFFF"/>
        <w:spacing w:after="0"/>
        <w:rPr>
          <w:rFonts w:eastAsia="Times New Roman" w:cstheme="minorHAnsi"/>
          <w:color w:val="4A4A4A"/>
          <w:sz w:val="21"/>
          <w:szCs w:val="21"/>
          <w:lang w:eastAsia="en-GB"/>
        </w:rPr>
      </w:pPr>
    </w:p>
    <w:p w14:paraId="7932F8BD" w14:textId="3869C451" w:rsidR="008B0AC7" w:rsidRPr="00645B6F" w:rsidRDefault="00576CFA" w:rsidP="00F719A8">
      <w:pPr>
        <w:pStyle w:val="MHeader2"/>
        <w:rPr>
          <w:rFonts w:cstheme="minorHAnsi"/>
        </w:rPr>
      </w:pPr>
      <w:r w:rsidRPr="00645B6F">
        <w:rPr>
          <w:rFonts w:cstheme="minorHAnsi"/>
        </w:rPr>
        <w:t xml:space="preserve">2.b. Unit of measure </w:t>
      </w:r>
      <w:r>
        <w:rPr>
          <w:color w:val="B4B4B4"/>
          <w:sz w:val="20"/>
        </w:rPr>
      </w:r>
      <w:r>
        <w:rPr>
          <w:color w:val="B4B4B4"/>
          <w:sz w:val="20"/>
        </w:rPr>
        <w:t>(UNIT_MEASURE)</w:t>
      </w:r>
    </w:p>
    <w:p w14:paraId="1CAE3771" w14:textId="62E50C15" w:rsidR="00576CFA" w:rsidRPr="00645B6F" w:rsidRDefault="00E97D04" w:rsidP="00576CFA">
      <w:pPr>
        <w:pStyle w:val="MText"/>
        <w:rPr>
          <w:rFonts w:cstheme="minorHAnsi"/>
        </w:rPr>
      </w:pPr>
      <w:r>
        <w:rPr>
          <w:rFonts w:cstheme="minorHAnsi"/>
        </w:rPr>
        <w:t xml:space="preserve">Percent (%) </w:t>
      </w:r>
      <w:r w:rsidR="00F035EF">
        <w:rPr>
          <w:rFonts w:cstheme="minorHAnsi"/>
        </w:rPr>
        <w:t>(proportion of people)</w:t>
      </w:r>
    </w:p>
    <w:p w14:paraId="548E9AAA" w14:textId="77777777" w:rsidR="00EC2915" w:rsidRPr="00645B6F" w:rsidRDefault="00EC2915" w:rsidP="00576CFA">
      <w:pPr>
        <w:pStyle w:val="MText"/>
        <w:rPr>
          <w:rFonts w:cstheme="minorHAnsi"/>
        </w:rPr>
      </w:pPr>
    </w:p>
    <w:p w14:paraId="651AA7AC" w14:textId="5144B8C4" w:rsidR="00DA615C" w:rsidRPr="00645B6F" w:rsidRDefault="008B0AC7" w:rsidP="00F719A8">
      <w:pPr>
        <w:pStyle w:val="MHeader2"/>
        <w:rPr>
          <w:rFonts w:cstheme="minorHAnsi"/>
        </w:rPr>
      </w:pPr>
      <w:r w:rsidRPr="00645B6F">
        <w:rPr>
          <w:rFonts w:cstheme="minorHAnsi"/>
        </w:rPr>
        <w:t xml:space="preserve">2.c. Classifications </w:t>
      </w:r>
      <w:r>
        <w:rPr>
          <w:color w:val="B4B4B4"/>
          <w:sz w:val="20"/>
        </w:rPr>
      </w:r>
      <w:r>
        <w:rPr>
          <w:color w:val="B4B4B4"/>
          <w:sz w:val="20"/>
        </w:rPr>
        <w:t>(CLASS_SYSTEM)</w:t>
      </w:r>
    </w:p>
    <w:p w14:paraId="3928E4BB" w14:textId="487D9FC3" w:rsidR="00085481" w:rsidRPr="00645B6F" w:rsidRDefault="00085481" w:rsidP="00085481">
      <w:pPr>
        <w:shd w:val="clear" w:color="auto" w:fill="FFFFFF"/>
        <w:spacing w:after="0"/>
        <w:jc w:val="both"/>
        <w:rPr>
          <w:rFonts w:eastAsia="Times New Roman" w:cstheme="minorHAnsi"/>
          <w:i/>
          <w:iCs/>
          <w:color w:val="404040" w:themeColor="text1" w:themeTint="BF"/>
          <w:sz w:val="21"/>
          <w:szCs w:val="21"/>
          <w:lang w:eastAsia="en-GB"/>
        </w:rPr>
      </w:pPr>
      <w:r w:rsidRPr="00645B6F">
        <w:rPr>
          <w:rFonts w:eastAsia="Times New Roman" w:cstheme="minorHAnsi"/>
          <w:i/>
          <w:iCs/>
          <w:color w:val="404040" w:themeColor="text1" w:themeTint="BF"/>
          <w:sz w:val="21"/>
          <w:szCs w:val="21"/>
          <w:lang w:eastAsia="en-GB"/>
        </w:rPr>
        <w:t>For the definition of health expenditures</w:t>
      </w:r>
      <w:r w:rsidR="002A769E">
        <w:rPr>
          <w:rFonts w:eastAsia="Times New Roman" w:cstheme="minorHAnsi"/>
          <w:i/>
          <w:iCs/>
          <w:color w:val="404040" w:themeColor="text1" w:themeTint="BF"/>
          <w:sz w:val="21"/>
          <w:szCs w:val="21"/>
          <w:lang w:eastAsia="en-GB"/>
        </w:rPr>
        <w:t xml:space="preserve"> (numerator)</w:t>
      </w:r>
      <w:r w:rsidRPr="00645B6F">
        <w:rPr>
          <w:rFonts w:eastAsia="Times New Roman" w:cstheme="minorHAnsi"/>
          <w:i/>
          <w:iCs/>
          <w:color w:val="404040" w:themeColor="text1" w:themeTint="BF"/>
          <w:sz w:val="21"/>
          <w:szCs w:val="21"/>
          <w:lang w:eastAsia="en-GB"/>
        </w:rPr>
        <w:t xml:space="preserve"> </w:t>
      </w:r>
    </w:p>
    <w:p w14:paraId="70DBB87E" w14:textId="77777777" w:rsidR="00085481" w:rsidRPr="00645B6F" w:rsidRDefault="003B7F16" w:rsidP="00085481">
      <w:pPr>
        <w:numPr>
          <w:ilvl w:val="0"/>
          <w:numId w:val="9"/>
        </w:numPr>
        <w:shd w:val="clear" w:color="auto" w:fill="FFFFFF"/>
        <w:spacing w:after="0" w:line="240" w:lineRule="auto"/>
        <w:contextualSpacing/>
        <w:jc w:val="both"/>
        <w:rPr>
          <w:rFonts w:eastAsia="Times New Roman" w:cstheme="minorHAnsi"/>
          <w:color w:val="404040" w:themeColor="text1" w:themeTint="BF"/>
          <w:sz w:val="21"/>
          <w:szCs w:val="21"/>
          <w:lang w:eastAsia="en-GB"/>
        </w:rPr>
      </w:pPr>
      <w:hyperlink r:id="rId12" w:history="1">
        <w:r w:rsidR="00085481" w:rsidRPr="00645B6F">
          <w:rPr>
            <w:rFonts w:eastAsia="SimSun" w:cstheme="minorHAnsi"/>
            <w:color w:val="0000FF" w:themeColor="hyperlink"/>
            <w:sz w:val="18"/>
            <w:szCs w:val="18"/>
            <w:u w:val="single"/>
          </w:rPr>
          <w:t>http://www.oecd-ilibrary.org/social-issues-migration-health/a-system-of-health-accounts/classification-of-health-care-financing-schemes-icha-hf_9789264116016-9-en</w:t>
        </w:r>
      </w:hyperlink>
      <w:r w:rsidR="00085481" w:rsidRPr="00645B6F">
        <w:rPr>
          <w:rFonts w:eastAsia="Times New Roman" w:cstheme="minorHAnsi"/>
          <w:color w:val="404040" w:themeColor="text1" w:themeTint="BF"/>
          <w:sz w:val="21"/>
          <w:szCs w:val="21"/>
          <w:u w:val="single"/>
          <w:lang w:eastAsia="en-GB"/>
        </w:rPr>
        <w:t xml:space="preserve"> </w:t>
      </w:r>
    </w:p>
    <w:p w14:paraId="38419C74" w14:textId="77777777" w:rsidR="00085481" w:rsidRPr="00645B6F" w:rsidRDefault="00085481" w:rsidP="00085481">
      <w:pPr>
        <w:shd w:val="clear" w:color="auto" w:fill="FFFFFF"/>
        <w:spacing w:after="0"/>
        <w:jc w:val="both"/>
        <w:rPr>
          <w:rFonts w:eastAsia="Times New Roman" w:cstheme="minorHAnsi"/>
          <w:i/>
          <w:iCs/>
          <w:color w:val="404040" w:themeColor="text1" w:themeTint="BF"/>
          <w:sz w:val="21"/>
          <w:szCs w:val="21"/>
          <w:lang w:eastAsia="en-GB"/>
        </w:rPr>
      </w:pPr>
    </w:p>
    <w:p w14:paraId="481BF085" w14:textId="29452AA3" w:rsidR="00085481" w:rsidRPr="00645B6F" w:rsidRDefault="00085481" w:rsidP="00085481">
      <w:pPr>
        <w:shd w:val="clear" w:color="auto" w:fill="FFFFFF"/>
        <w:spacing w:after="0"/>
        <w:jc w:val="both"/>
        <w:rPr>
          <w:rFonts w:eastAsia="Times New Roman" w:cstheme="minorHAnsi"/>
          <w:i/>
          <w:iCs/>
          <w:color w:val="404040" w:themeColor="text1" w:themeTint="BF"/>
          <w:sz w:val="21"/>
          <w:szCs w:val="21"/>
          <w:lang w:eastAsia="en-GB"/>
        </w:rPr>
      </w:pPr>
      <w:r w:rsidRPr="00645B6F">
        <w:rPr>
          <w:rFonts w:eastAsia="Times New Roman" w:cstheme="minorHAnsi"/>
          <w:i/>
          <w:iCs/>
          <w:color w:val="404040" w:themeColor="text1" w:themeTint="BF"/>
          <w:sz w:val="21"/>
          <w:szCs w:val="21"/>
          <w:lang w:eastAsia="en-GB"/>
        </w:rPr>
        <w:t>For the components of health expenditures</w:t>
      </w:r>
      <w:r w:rsidR="002A769E">
        <w:rPr>
          <w:rFonts w:eastAsia="Times New Roman" w:cstheme="minorHAnsi"/>
          <w:i/>
          <w:iCs/>
          <w:color w:val="404040" w:themeColor="text1" w:themeTint="BF"/>
          <w:sz w:val="21"/>
          <w:szCs w:val="21"/>
          <w:lang w:eastAsia="en-GB"/>
        </w:rPr>
        <w:t xml:space="preserve"> (numerator)</w:t>
      </w:r>
    </w:p>
    <w:p w14:paraId="3D384BA8" w14:textId="2BB18578" w:rsidR="00EC2915" w:rsidRPr="00C244A2" w:rsidRDefault="00085481" w:rsidP="00394EC0">
      <w:pPr>
        <w:numPr>
          <w:ilvl w:val="0"/>
          <w:numId w:val="9"/>
        </w:numPr>
        <w:shd w:val="clear" w:color="auto" w:fill="FFFFFF"/>
        <w:spacing w:after="0" w:line="240" w:lineRule="auto"/>
        <w:contextualSpacing/>
        <w:jc w:val="both"/>
      </w:pPr>
      <w:r w:rsidRPr="00FC7684">
        <w:rPr>
          <w:rFonts w:eastAsia="Times New Roman" w:cstheme="minorHAnsi"/>
          <w:color w:val="404040" w:themeColor="text1" w:themeTint="BF"/>
          <w:sz w:val="21"/>
          <w:szCs w:val="21"/>
          <w:lang w:eastAsia="en-GB"/>
        </w:rPr>
        <w:t xml:space="preserve">division 06 of the UN Classification of Individual Consumption According to Purpose (COICOP) </w:t>
      </w:r>
      <w:hyperlink r:id="rId13" w:history="1">
        <w:r w:rsidRPr="00FC7684">
          <w:rPr>
            <w:rFonts w:eastAsia="SimSun" w:cstheme="minorHAnsi"/>
            <w:color w:val="0000FF" w:themeColor="hyperlink"/>
            <w:sz w:val="18"/>
            <w:szCs w:val="18"/>
            <w:u w:val="single"/>
          </w:rPr>
          <w:t>https://unstats.un.org/unsd/class/revisions/coicop_revision.asp</w:t>
        </w:r>
      </w:hyperlink>
      <w:r w:rsidRPr="00FC7684">
        <w:rPr>
          <w:rFonts w:eastAsia="SimSun" w:cstheme="minorHAnsi"/>
          <w:color w:val="404040" w:themeColor="text1" w:themeTint="BF"/>
          <w:sz w:val="18"/>
          <w:szCs w:val="18"/>
        </w:rPr>
        <w:t xml:space="preserve">; </w:t>
      </w:r>
    </w:p>
    <w:p w14:paraId="123172F4" w14:textId="04AF2891" w:rsidR="00F719A8" w:rsidRPr="0085537E" w:rsidRDefault="002A769E" w:rsidP="00576CFA">
      <w:pPr>
        <w:pStyle w:val="MText"/>
        <w:rPr>
          <w:rFonts w:cstheme="minorHAnsi"/>
          <w:i/>
          <w:iCs/>
        </w:rPr>
      </w:pPr>
      <w:r w:rsidRPr="0085537E">
        <w:rPr>
          <w:i/>
          <w:iCs/>
        </w:rPr>
        <w:t xml:space="preserve">For the </w:t>
      </w:r>
      <w:r w:rsidRPr="0085537E">
        <w:rPr>
          <w:rFonts w:cstheme="minorHAnsi"/>
          <w:i/>
          <w:iCs/>
        </w:rPr>
        <w:t>components of household total consumption</w:t>
      </w:r>
      <w:r w:rsidR="008D4AEA" w:rsidRPr="0085537E">
        <w:rPr>
          <w:rFonts w:cstheme="minorHAnsi"/>
          <w:i/>
          <w:iCs/>
        </w:rPr>
        <w:t xml:space="preserve"> (preferred denominator)</w:t>
      </w:r>
    </w:p>
    <w:p w14:paraId="43C96CD7" w14:textId="20EA1276" w:rsidR="002A769E" w:rsidRPr="00C515B9" w:rsidRDefault="002A769E" w:rsidP="00394EC0">
      <w:pPr>
        <w:pStyle w:val="MText"/>
        <w:ind w:left="720"/>
        <w:rPr>
          <w:rFonts w:cstheme="minorHAnsi"/>
        </w:rPr>
      </w:pPr>
      <w:r w:rsidRPr="00C515B9">
        <w:rPr>
          <w:rFonts w:cstheme="minorHAnsi"/>
          <w:color w:val="404040" w:themeColor="text1" w:themeTint="BF"/>
        </w:rPr>
        <w:t xml:space="preserve">UN Classification of Individual Consumption According to Purpose (COICOP) </w:t>
      </w:r>
      <w:hyperlink r:id="rId14" w:history="1">
        <w:r w:rsidRPr="00C515B9">
          <w:rPr>
            <w:rFonts w:eastAsia="SimSun" w:cstheme="minorHAnsi"/>
            <w:color w:val="0000FF" w:themeColor="hyperlink"/>
            <w:sz w:val="18"/>
            <w:szCs w:val="18"/>
            <w:u w:val="single"/>
          </w:rPr>
          <w:t>https://unstats.un.org/unsd/class/revisions/coicop_revision.asp</w:t>
        </w:r>
      </w:hyperlink>
      <w:r w:rsidRPr="00C515B9">
        <w:rPr>
          <w:rFonts w:eastAsia="SimSun" w:cstheme="minorHAnsi"/>
          <w:color w:val="404040" w:themeColor="text1" w:themeTint="BF"/>
          <w:sz w:val="18"/>
          <w:szCs w:val="18"/>
        </w:rPr>
        <w:t xml:space="preserve">; </w:t>
      </w:r>
    </w:p>
    <w:p w14:paraId="1D3AEECA" w14:textId="4C5EC949" w:rsidR="00B31E2C" w:rsidRPr="00645B6F" w:rsidRDefault="00B31E2C" w:rsidP="00F719A8">
      <w:pPr>
        <w:pStyle w:val="MHeader"/>
        <w:rPr>
          <w:rFonts w:cstheme="minorHAnsi"/>
        </w:rPr>
      </w:pPr>
      <w:r w:rsidRPr="00645B6F">
        <w:rPr>
          <w:rFonts w:cstheme="minorHAnsi"/>
        </w:rPr>
        <w:t xml:space="preserve">3. Data source type and data collection method </w:t>
      </w:r>
      <w:r>
        <w:rPr>
          <w:color w:val="B4B4B4"/>
          <w:sz w:val="20"/>
        </w:rPr>
      </w:r>
      <w:r>
        <w:rPr>
          <w:color w:val="B4B4B4"/>
          <w:sz w:val="20"/>
        </w:rPr>
        <w:t>(SRC_TYPE_COLL_METHOD)</w:t>
      </w:r>
    </w:p>
    <w:p w14:paraId="340B050E" w14:textId="31C09E5F" w:rsidR="008B0AC7" w:rsidRPr="00645B6F" w:rsidRDefault="008B0AC7" w:rsidP="00F719A8">
      <w:pPr>
        <w:pStyle w:val="MHeader2"/>
        <w:rPr>
          <w:rFonts w:cstheme="minorHAnsi"/>
        </w:rPr>
      </w:pPr>
      <w:r w:rsidRPr="00645B6F">
        <w:rPr>
          <w:rFonts w:cstheme="minorHAnsi"/>
        </w:rPr>
        <w:t xml:space="preserve">3.a. Data sources </w:t>
      </w:r>
      <w:r>
        <w:rPr>
          <w:color w:val="B4B4B4"/>
          <w:sz w:val="20"/>
        </w:rPr>
      </w:r>
      <w:r>
        <w:rPr>
          <w:color w:val="B4B4B4"/>
          <w:sz w:val="20"/>
        </w:rPr>
        <w:t>(SOURCE_TYPE)</w:t>
      </w:r>
    </w:p>
    <w:p w14:paraId="3018A8D8" w14:textId="4ED2FD5A" w:rsidR="00EC2915" w:rsidRDefault="00B55A32" w:rsidP="002C3311">
      <w:pPr>
        <w:shd w:val="clear" w:color="auto" w:fill="FFFFFF"/>
        <w:spacing w:after="0"/>
        <w:rPr>
          <w:rFonts w:eastAsia="TT15Ct00" w:cstheme="minorHAnsi"/>
          <w:color w:val="4A4A4A"/>
          <w:sz w:val="21"/>
          <w:szCs w:val="21"/>
          <w:lang w:eastAsia="en-GB"/>
        </w:rPr>
      </w:pPr>
      <w:r w:rsidRPr="00645B6F">
        <w:rPr>
          <w:rFonts w:eastAsia="TT15Ct00" w:cstheme="minorHAnsi"/>
          <w:color w:val="4A4A4A"/>
          <w:sz w:val="21"/>
          <w:szCs w:val="21"/>
          <w:lang w:eastAsia="en-GB"/>
        </w:rPr>
        <w:t xml:space="preserve">The recommended data sources for the monitoring of the “Proportion of the population with large household expenditure on health as a share of total household expenditure or income” are household surveys with information on both household consumption expenditure on health and total household consumption expenditures, which are routinely conducted by national statistical offices. Household budget surveys (HBS) and household income and expenditure surveys (HIES) typically collect these as they are primarily </w:t>
      </w:r>
      <w:r w:rsidR="00F86902">
        <w:rPr>
          <w:rFonts w:eastAsia="TT15Ct00" w:cstheme="minorHAnsi"/>
          <w:color w:val="4A4A4A"/>
          <w:sz w:val="21"/>
          <w:szCs w:val="21"/>
          <w:lang w:eastAsia="en-GB"/>
        </w:rPr>
        <w:t>undertaken</w:t>
      </w:r>
      <w:r w:rsidR="00F86902" w:rsidRPr="00645B6F">
        <w:rPr>
          <w:rFonts w:eastAsia="TT15Ct00" w:cstheme="minorHAnsi"/>
          <w:color w:val="4A4A4A"/>
          <w:sz w:val="21"/>
          <w:szCs w:val="21"/>
          <w:lang w:eastAsia="en-GB"/>
        </w:rPr>
        <w:t xml:space="preserve"> </w:t>
      </w:r>
      <w:r w:rsidRPr="00645B6F">
        <w:rPr>
          <w:rFonts w:eastAsia="TT15Ct00" w:cstheme="minorHAnsi"/>
          <w:color w:val="4A4A4A"/>
          <w:sz w:val="21"/>
          <w:szCs w:val="21"/>
          <w:lang w:eastAsia="en-GB"/>
        </w:rPr>
        <w:t xml:space="preserve">to provide inputs to the calculation of consumer price indices or the compilation of national accounts. Another potential source of information is socio-economic or living standards surveys; however, some of these surveys may not collect information on total household consumption expenditures – for example, when a country measures poverty using income as the welfare </w:t>
      </w:r>
      <w:r w:rsidR="00D11A48">
        <w:rPr>
          <w:rFonts w:eastAsia="TT15Ct00" w:cstheme="minorHAnsi"/>
          <w:color w:val="4A4A4A"/>
          <w:sz w:val="21"/>
          <w:szCs w:val="21"/>
          <w:lang w:eastAsia="en-GB"/>
        </w:rPr>
        <w:t>indicator</w:t>
      </w:r>
      <w:r w:rsidRPr="00645B6F">
        <w:rPr>
          <w:rFonts w:eastAsia="TT15Ct00" w:cstheme="minorHAnsi"/>
          <w:color w:val="404040" w:themeColor="text1" w:themeTint="BF"/>
          <w:sz w:val="21"/>
          <w:szCs w:val="21"/>
          <w:vertAlign w:val="superscript"/>
          <w:lang w:eastAsia="en-GB"/>
        </w:rPr>
        <w:footnoteReference w:id="6"/>
      </w:r>
      <w:r w:rsidRPr="00645B6F">
        <w:rPr>
          <w:rFonts w:eastAsia="TT15Ct00" w:cstheme="minorHAnsi"/>
          <w:color w:val="4A4A4A"/>
          <w:sz w:val="21"/>
          <w:szCs w:val="21"/>
          <w:lang w:eastAsia="en-GB"/>
        </w:rPr>
        <w:t xml:space="preserve">. The most important criterion for selecting a data source to measure SDG indicator 3.8.2 is the </w:t>
      </w:r>
      <w:r w:rsidRPr="00645B6F">
        <w:rPr>
          <w:rFonts w:eastAsia="TT15Ct00" w:cstheme="minorHAnsi"/>
          <w:color w:val="4A4A4A"/>
          <w:sz w:val="21"/>
          <w:szCs w:val="21"/>
          <w:lang w:eastAsia="en-GB"/>
        </w:rPr>
        <w:lastRenderedPageBreak/>
        <w:t>availability of both household consumption expenditure on health and total household consumption expenditures.</w:t>
      </w:r>
    </w:p>
    <w:p w14:paraId="37B0E3DE" w14:textId="77777777" w:rsidR="002C3311" w:rsidRPr="00D35867" w:rsidRDefault="002C3311" w:rsidP="002C3311">
      <w:pPr>
        <w:shd w:val="clear" w:color="auto" w:fill="FFFFFF"/>
        <w:spacing w:after="0"/>
      </w:pPr>
    </w:p>
    <w:p w14:paraId="79368080" w14:textId="32CB9C2E" w:rsidR="008B0AC7" w:rsidRPr="00645B6F" w:rsidRDefault="00576CFA" w:rsidP="00F719A8">
      <w:pPr>
        <w:pStyle w:val="MHeader2"/>
        <w:rPr>
          <w:rFonts w:cstheme="minorHAnsi"/>
        </w:rPr>
      </w:pPr>
      <w:r w:rsidRPr="00645B6F">
        <w:rPr>
          <w:rFonts w:cstheme="minorHAnsi"/>
        </w:rPr>
        <w:t xml:space="preserve">3.b. Data collection method </w:t>
      </w:r>
      <w:r>
        <w:rPr>
          <w:color w:val="B4B4B4"/>
          <w:sz w:val="20"/>
        </w:rPr>
      </w:r>
      <w:r>
        <w:rPr>
          <w:color w:val="B4B4B4"/>
          <w:sz w:val="20"/>
        </w:rPr>
        <w:t>(COLL_METHOD)</w:t>
      </w:r>
    </w:p>
    <w:p w14:paraId="28CAC0F4" w14:textId="0CB1DA33" w:rsidR="00A2013F" w:rsidRDefault="007448A7" w:rsidP="00B55A32">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The World Health Organizaiton (</w:t>
      </w:r>
      <w:r w:rsidR="000F6F22">
        <w:rPr>
          <w:rFonts w:eastAsia="Times New Roman" w:cstheme="minorHAnsi"/>
          <w:color w:val="4A4A4A"/>
          <w:sz w:val="21"/>
          <w:szCs w:val="21"/>
          <w:lang w:eastAsia="en-GB"/>
        </w:rPr>
        <w:t>WHO</w:t>
      </w:r>
      <w:r>
        <w:rPr>
          <w:rFonts w:eastAsia="Times New Roman" w:cstheme="minorHAnsi"/>
          <w:color w:val="4A4A4A"/>
          <w:sz w:val="21"/>
          <w:szCs w:val="21"/>
          <w:lang w:eastAsia="en-GB"/>
        </w:rPr>
        <w:t>)</w:t>
      </w:r>
      <w:r w:rsidR="000F6F22">
        <w:rPr>
          <w:rFonts w:eastAsia="Times New Roman" w:cstheme="minorHAnsi"/>
          <w:color w:val="4A4A4A"/>
          <w:sz w:val="21"/>
          <w:szCs w:val="21"/>
          <w:lang w:eastAsia="en-GB"/>
        </w:rPr>
        <w:t xml:space="preserve"> and the World Bank contact Ministries of Health and</w:t>
      </w:r>
      <w:r w:rsidR="00126F77">
        <w:rPr>
          <w:rFonts w:eastAsia="Times New Roman" w:cstheme="minorHAnsi"/>
          <w:color w:val="4A4A4A"/>
          <w:sz w:val="21"/>
          <w:szCs w:val="21"/>
          <w:lang w:eastAsia="en-GB"/>
        </w:rPr>
        <w:t>/or</w:t>
      </w:r>
      <w:r w:rsidR="000F6F22">
        <w:rPr>
          <w:rFonts w:eastAsia="Times New Roman" w:cstheme="minorHAnsi"/>
          <w:color w:val="4A4A4A"/>
          <w:sz w:val="21"/>
          <w:szCs w:val="21"/>
          <w:lang w:eastAsia="en-GB"/>
        </w:rPr>
        <w:t xml:space="preserve"> National statistical offices </w:t>
      </w:r>
      <w:r w:rsidR="001503CF">
        <w:rPr>
          <w:rFonts w:eastAsia="Times New Roman" w:cstheme="minorHAnsi"/>
          <w:color w:val="4A4A4A"/>
          <w:sz w:val="21"/>
          <w:szCs w:val="21"/>
          <w:lang w:eastAsia="en-GB"/>
        </w:rPr>
        <w:t>for two purposes: a) request access to the household survey microdata in order to produce SDG indicator 3.8.2; b) request estimates produced by the count</w:t>
      </w:r>
      <w:r w:rsidR="00946846">
        <w:rPr>
          <w:rFonts w:eastAsia="Times New Roman" w:cstheme="minorHAnsi"/>
          <w:color w:val="4A4A4A"/>
          <w:sz w:val="21"/>
          <w:szCs w:val="21"/>
          <w:lang w:eastAsia="en-GB"/>
        </w:rPr>
        <w:t xml:space="preserve">ry itself. </w:t>
      </w:r>
    </w:p>
    <w:p w14:paraId="4441B616" w14:textId="77777777" w:rsidR="00A2013F" w:rsidRDefault="00A2013F" w:rsidP="00B55A32">
      <w:pPr>
        <w:shd w:val="clear" w:color="auto" w:fill="FFFFFF"/>
        <w:spacing w:after="0"/>
        <w:rPr>
          <w:rFonts w:eastAsia="Times New Roman" w:cstheme="minorHAnsi"/>
          <w:color w:val="4A4A4A"/>
          <w:sz w:val="21"/>
          <w:szCs w:val="21"/>
          <w:lang w:eastAsia="en-GB"/>
        </w:rPr>
      </w:pPr>
    </w:p>
    <w:p w14:paraId="189CA2E0" w14:textId="0F4E4049" w:rsidR="00B55A32" w:rsidRDefault="00A2013F" w:rsidP="00B55A32">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A)</w:t>
      </w:r>
      <w:r w:rsidR="00946846">
        <w:rPr>
          <w:rFonts w:eastAsia="Times New Roman" w:cstheme="minorHAnsi"/>
          <w:color w:val="4A4A4A"/>
          <w:sz w:val="21"/>
          <w:szCs w:val="21"/>
          <w:lang w:eastAsia="en-GB"/>
        </w:rPr>
        <w:t xml:space="preserve"> The first</w:t>
      </w:r>
      <w:r w:rsidR="00C12808">
        <w:rPr>
          <w:rFonts w:eastAsia="Times New Roman" w:cstheme="minorHAnsi"/>
          <w:color w:val="4A4A4A"/>
          <w:sz w:val="21"/>
          <w:szCs w:val="21"/>
          <w:lang w:eastAsia="en-GB"/>
        </w:rPr>
        <w:t xml:space="preserve"> type</w:t>
      </w:r>
      <w:r w:rsidR="00946846">
        <w:rPr>
          <w:rFonts w:eastAsia="Times New Roman" w:cstheme="minorHAnsi"/>
          <w:color w:val="4A4A4A"/>
          <w:sz w:val="21"/>
          <w:szCs w:val="21"/>
          <w:lang w:eastAsia="en-GB"/>
        </w:rPr>
        <w:t xml:space="preserve"> </w:t>
      </w:r>
      <w:r w:rsidR="00126F77">
        <w:rPr>
          <w:rFonts w:eastAsia="Times New Roman" w:cstheme="minorHAnsi"/>
          <w:color w:val="4A4A4A"/>
          <w:sz w:val="21"/>
          <w:szCs w:val="21"/>
          <w:lang w:eastAsia="en-GB"/>
        </w:rPr>
        <w:t xml:space="preserve">of </w:t>
      </w:r>
      <w:r w:rsidR="00946846">
        <w:rPr>
          <w:rFonts w:eastAsia="Times New Roman" w:cstheme="minorHAnsi"/>
          <w:color w:val="4A4A4A"/>
          <w:sz w:val="21"/>
          <w:szCs w:val="21"/>
          <w:lang w:eastAsia="en-GB"/>
        </w:rPr>
        <w:t>request is done by each organization separately</w:t>
      </w:r>
      <w:r w:rsidR="00C12808">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WHO obtains</w:t>
      </w:r>
      <w:r w:rsidR="007D2821">
        <w:rPr>
          <w:rFonts w:eastAsia="Times New Roman" w:cstheme="minorHAnsi"/>
          <w:color w:val="4A4A4A"/>
          <w:sz w:val="21"/>
          <w:szCs w:val="21"/>
          <w:lang w:eastAsia="en-GB"/>
        </w:rPr>
        <w:t xml:space="preserve"> access to the</w:t>
      </w:r>
      <w:r w:rsidR="00B55A32" w:rsidRPr="00645B6F">
        <w:rPr>
          <w:rFonts w:eastAsia="Times New Roman" w:cstheme="minorHAnsi"/>
          <w:color w:val="4A4A4A"/>
          <w:sz w:val="21"/>
          <w:szCs w:val="21"/>
          <w:lang w:eastAsia="en-GB"/>
        </w:rPr>
        <w:t xml:space="preserve"> household survey </w:t>
      </w:r>
      <w:r w:rsidR="007D2821">
        <w:rPr>
          <w:rFonts w:eastAsia="Times New Roman" w:cstheme="minorHAnsi"/>
          <w:color w:val="4A4A4A"/>
          <w:sz w:val="21"/>
          <w:szCs w:val="21"/>
          <w:lang w:eastAsia="en-GB"/>
        </w:rPr>
        <w:t>micro</w:t>
      </w:r>
      <w:r w:rsidR="00B55A32" w:rsidRPr="00645B6F">
        <w:rPr>
          <w:rFonts w:eastAsia="Times New Roman" w:cstheme="minorHAnsi"/>
          <w:color w:val="4A4A4A"/>
          <w:sz w:val="21"/>
          <w:szCs w:val="21"/>
          <w:lang w:eastAsia="en-GB"/>
        </w:rPr>
        <w:t>data from national statistical offices</w:t>
      </w:r>
      <w:r w:rsidR="002C29DF">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through its regional offices or country offices</w:t>
      </w:r>
      <w:r w:rsidR="002C29DF">
        <w:rPr>
          <w:rFonts w:eastAsia="Times New Roman" w:cstheme="minorHAnsi"/>
          <w:color w:val="4A4A4A"/>
          <w:sz w:val="21"/>
          <w:szCs w:val="21"/>
          <w:lang w:eastAsia="en-GB"/>
        </w:rPr>
        <w:t xml:space="preserve">. </w:t>
      </w:r>
      <w:r w:rsidR="00CC0646">
        <w:rPr>
          <w:rFonts w:eastAsia="Times New Roman" w:cstheme="minorHAnsi"/>
          <w:color w:val="4A4A4A"/>
          <w:sz w:val="21"/>
          <w:szCs w:val="21"/>
          <w:lang w:eastAsia="en-GB"/>
        </w:rPr>
        <w:t xml:space="preserve">The access </w:t>
      </w:r>
      <w:r w:rsidR="002C29DF">
        <w:rPr>
          <w:rFonts w:eastAsia="Times New Roman" w:cstheme="minorHAnsi"/>
          <w:color w:val="4A4A4A"/>
          <w:sz w:val="21"/>
          <w:szCs w:val="21"/>
          <w:lang w:eastAsia="en-GB"/>
        </w:rPr>
        <w:t xml:space="preserve">request is </w:t>
      </w:r>
      <w:r w:rsidR="0027144E">
        <w:rPr>
          <w:rFonts w:eastAsia="Times New Roman" w:cstheme="minorHAnsi"/>
          <w:color w:val="4A4A4A"/>
          <w:sz w:val="21"/>
          <w:szCs w:val="21"/>
          <w:lang w:eastAsia="en-GB"/>
        </w:rPr>
        <w:t>often part of technical assistance programs on health financing issues.</w:t>
      </w:r>
    </w:p>
    <w:p w14:paraId="7213D45A" w14:textId="77777777" w:rsidR="00FB77BF" w:rsidRPr="00645B6F" w:rsidRDefault="00FB77BF" w:rsidP="00B55A32">
      <w:pPr>
        <w:shd w:val="clear" w:color="auto" w:fill="FFFFFF"/>
        <w:spacing w:after="0"/>
        <w:rPr>
          <w:rFonts w:eastAsia="Times New Roman" w:cstheme="minorHAnsi"/>
          <w:color w:val="4A4A4A"/>
          <w:sz w:val="21"/>
          <w:szCs w:val="21"/>
          <w:lang w:eastAsia="en-GB"/>
        </w:rPr>
      </w:pPr>
    </w:p>
    <w:p w14:paraId="4C2138C7" w14:textId="6AAEB63C"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The World Bank also typically receives data from National Statistical Offices (NSOs) directly. In other cases</w:t>
      </w:r>
      <w:r w:rsidR="001C508A">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it uses NSO data received indirectly. For example, it receives data from Eurostat and LIS (Luxembourg Income Study), </w:t>
      </w:r>
      <w:r w:rsidR="00CC0646" w:rsidRPr="00645B6F">
        <w:rPr>
          <w:rFonts w:eastAsia="Times New Roman" w:cstheme="minorHAnsi"/>
          <w:color w:val="4A4A4A"/>
          <w:sz w:val="21"/>
          <w:szCs w:val="21"/>
          <w:lang w:eastAsia="en-GB"/>
        </w:rPr>
        <w:t>wh</w:t>
      </w:r>
      <w:r w:rsidR="00CC0646">
        <w:rPr>
          <w:rFonts w:eastAsia="Times New Roman" w:cstheme="minorHAnsi"/>
          <w:color w:val="4A4A4A"/>
          <w:sz w:val="21"/>
          <w:szCs w:val="21"/>
          <w:lang w:eastAsia="en-GB"/>
        </w:rPr>
        <w:t>ich</w:t>
      </w:r>
      <w:r w:rsidR="00CC0646" w:rsidRPr="00645B6F">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 xml:space="preserve">provide the World Bank NSO data </w:t>
      </w:r>
      <w:r w:rsidR="001F59D1">
        <w:rPr>
          <w:rFonts w:eastAsia="Times New Roman" w:cstheme="minorHAnsi"/>
          <w:color w:val="4A4A4A"/>
          <w:sz w:val="21"/>
          <w:szCs w:val="21"/>
          <w:lang w:eastAsia="en-GB"/>
        </w:rPr>
        <w:t>i</w:t>
      </w:r>
      <w:r w:rsidR="00095128">
        <w:rPr>
          <w:rFonts w:eastAsia="Times New Roman" w:cstheme="minorHAnsi"/>
          <w:color w:val="4A4A4A"/>
          <w:sz w:val="21"/>
          <w:szCs w:val="21"/>
          <w:lang w:eastAsia="en-GB"/>
        </w:rPr>
        <w:t>n</w:t>
      </w:r>
      <w:r w:rsidR="001F59D1">
        <w:rPr>
          <w:rFonts w:eastAsia="Times New Roman" w:cstheme="minorHAnsi"/>
          <w:color w:val="4A4A4A"/>
          <w:sz w:val="21"/>
          <w:szCs w:val="21"/>
          <w:lang w:eastAsia="en-GB"/>
        </w:rPr>
        <w:t xml:space="preserve"> its original form</w:t>
      </w:r>
      <w:r w:rsidRPr="00645B6F">
        <w:rPr>
          <w:rFonts w:eastAsia="Times New Roman" w:cstheme="minorHAnsi"/>
          <w:color w:val="4A4A4A"/>
          <w:sz w:val="21"/>
          <w:szCs w:val="21"/>
          <w:lang w:eastAsia="en-GB"/>
        </w:rPr>
        <w:t xml:space="preserve"> </w:t>
      </w:r>
      <w:r w:rsidR="001F59D1">
        <w:rPr>
          <w:rFonts w:eastAsia="Times New Roman" w:cstheme="minorHAnsi"/>
          <w:color w:val="4A4A4A"/>
          <w:sz w:val="21"/>
          <w:szCs w:val="21"/>
          <w:lang w:eastAsia="en-GB"/>
        </w:rPr>
        <w:t>or</w:t>
      </w:r>
      <w:r w:rsidRPr="00645B6F">
        <w:rPr>
          <w:rFonts w:eastAsia="Times New Roman" w:cstheme="minorHAnsi"/>
          <w:color w:val="4A4A4A"/>
          <w:sz w:val="21"/>
          <w:szCs w:val="21"/>
          <w:lang w:eastAsia="en-GB"/>
        </w:rPr>
        <w:t xml:space="preserve"> harmonized</w:t>
      </w:r>
      <w:r w:rsidR="005D6D92">
        <w:rPr>
          <w:rFonts w:eastAsia="Times New Roman" w:cstheme="minorHAnsi"/>
          <w:color w:val="4A4A4A"/>
          <w:sz w:val="21"/>
          <w:szCs w:val="21"/>
          <w:lang w:eastAsia="en-GB"/>
        </w:rPr>
        <w:t xml:space="preserve"> for comparability</w:t>
      </w:r>
      <w:r w:rsidRPr="00645B6F">
        <w:rPr>
          <w:rFonts w:eastAsia="Times New Roman" w:cstheme="minorHAnsi"/>
          <w:color w:val="4A4A4A"/>
          <w:sz w:val="21"/>
          <w:szCs w:val="21"/>
          <w:lang w:eastAsia="en-GB"/>
        </w:rPr>
        <w:t xml:space="preserve">.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 Data is obtained through </w:t>
      </w:r>
      <w:r w:rsidR="00CC0646" w:rsidRPr="00645B6F">
        <w:rPr>
          <w:rFonts w:eastAsia="Times New Roman" w:cstheme="minorHAnsi"/>
          <w:color w:val="4A4A4A"/>
          <w:sz w:val="21"/>
          <w:szCs w:val="21"/>
          <w:lang w:eastAsia="en-GB"/>
        </w:rPr>
        <w:t>country</w:t>
      </w:r>
      <w:r w:rsidR="00CC0646">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specific programs, including technical assistance programs and joint analytical and </w:t>
      </w:r>
      <w:r w:rsidR="00CC0646" w:rsidRPr="00645B6F">
        <w:rPr>
          <w:rFonts w:eastAsia="Times New Roman" w:cstheme="minorHAnsi"/>
          <w:color w:val="4A4A4A"/>
          <w:sz w:val="21"/>
          <w:szCs w:val="21"/>
          <w:lang w:eastAsia="en-GB"/>
        </w:rPr>
        <w:t>capacity</w:t>
      </w:r>
      <w:r w:rsidR="00CC0646">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  </w:t>
      </w:r>
    </w:p>
    <w:p w14:paraId="318BF61F" w14:textId="79576982" w:rsidR="00B55A32" w:rsidRDefault="00B55A32" w:rsidP="00B55A32">
      <w:pPr>
        <w:shd w:val="clear" w:color="auto" w:fill="FFFFFF"/>
        <w:spacing w:after="0"/>
        <w:rPr>
          <w:rFonts w:eastAsia="Times New Roman" w:cstheme="minorHAnsi"/>
          <w:color w:val="4A4A4A"/>
          <w:sz w:val="21"/>
          <w:szCs w:val="21"/>
          <w:lang w:eastAsia="en-GB"/>
        </w:rPr>
      </w:pPr>
    </w:p>
    <w:p w14:paraId="4A7BE50D" w14:textId="58EB47E5" w:rsidR="000F33C8" w:rsidRDefault="00CF7C5C" w:rsidP="00B55A32">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The</w:t>
      </w:r>
      <w:r w:rsidRPr="00645B6F">
        <w:rPr>
          <w:rFonts w:eastAsia="Times New Roman" w:cstheme="minorHAnsi"/>
          <w:color w:val="4A4A4A"/>
          <w:sz w:val="21"/>
          <w:szCs w:val="21"/>
          <w:lang w:eastAsia="en-GB"/>
        </w:rPr>
        <w:t xml:space="preserve"> World Health Organization and the World Bank regularly undertake training events on the measurement of lack of financial protection coverage </w:t>
      </w:r>
      <w:r w:rsidR="00E11870">
        <w:rPr>
          <w:rFonts w:eastAsia="Times New Roman" w:cstheme="minorHAnsi"/>
          <w:color w:val="4A4A4A"/>
          <w:sz w:val="21"/>
          <w:szCs w:val="21"/>
          <w:lang w:eastAsia="en-GB"/>
        </w:rPr>
        <w:t>to</w:t>
      </w:r>
      <w:r w:rsidR="0010408D">
        <w:rPr>
          <w:rFonts w:eastAsia="Times New Roman" w:cstheme="minorHAnsi"/>
          <w:color w:val="4A4A4A"/>
          <w:sz w:val="21"/>
          <w:szCs w:val="21"/>
          <w:lang w:eastAsia="en-GB"/>
        </w:rPr>
        <w:t xml:space="preserve"> produce SDG 3.8.2 indicator</w:t>
      </w:r>
      <w:r w:rsidR="00E11870">
        <w:rPr>
          <w:rFonts w:eastAsia="Times New Roman" w:cstheme="minorHAnsi"/>
          <w:color w:val="4A4A4A"/>
          <w:sz w:val="21"/>
          <w:szCs w:val="21"/>
          <w:lang w:eastAsia="en-GB"/>
        </w:rPr>
        <w:t>. This type of activity</w:t>
      </w:r>
      <w:r w:rsidRPr="00645B6F">
        <w:rPr>
          <w:rFonts w:eastAsia="Times New Roman" w:cstheme="minorHAnsi"/>
          <w:color w:val="4A4A4A"/>
          <w:sz w:val="21"/>
          <w:szCs w:val="21"/>
          <w:lang w:eastAsia="en-GB"/>
        </w:rPr>
        <w:t xml:space="preserve"> involves participants from the Ministry of Health as well as from the National Statistical Office.</w:t>
      </w:r>
      <w:r w:rsidR="00264C18">
        <w:rPr>
          <w:rFonts w:eastAsia="Times New Roman" w:cstheme="minorHAnsi"/>
          <w:color w:val="4A4A4A"/>
          <w:sz w:val="21"/>
          <w:szCs w:val="21"/>
          <w:lang w:eastAsia="en-GB"/>
        </w:rPr>
        <w:t xml:space="preserve"> </w:t>
      </w:r>
    </w:p>
    <w:p w14:paraId="6EF75C6F" w14:textId="77777777" w:rsidR="000F33C8" w:rsidRDefault="000F33C8" w:rsidP="00B55A32">
      <w:pPr>
        <w:shd w:val="clear" w:color="auto" w:fill="FFFFFF"/>
        <w:spacing w:after="0"/>
        <w:rPr>
          <w:rFonts w:eastAsia="Times New Roman" w:cstheme="minorHAnsi"/>
          <w:color w:val="4A4A4A"/>
          <w:sz w:val="21"/>
          <w:szCs w:val="21"/>
          <w:lang w:eastAsia="en-GB"/>
        </w:rPr>
      </w:pPr>
    </w:p>
    <w:p w14:paraId="18C7230F" w14:textId="3A1B83A1" w:rsidR="0010408D" w:rsidRDefault="00264C18" w:rsidP="00B55A32">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 xml:space="preserve">All the </w:t>
      </w:r>
      <w:r w:rsidR="00443539">
        <w:rPr>
          <w:rFonts w:eastAsia="Times New Roman" w:cstheme="minorHAnsi"/>
          <w:color w:val="4A4A4A"/>
          <w:sz w:val="21"/>
          <w:szCs w:val="21"/>
          <w:lang w:eastAsia="en-GB"/>
        </w:rPr>
        <w:t xml:space="preserve">country-year </w:t>
      </w:r>
      <w:r>
        <w:rPr>
          <w:rFonts w:eastAsia="Times New Roman" w:cstheme="minorHAnsi"/>
          <w:color w:val="4A4A4A"/>
          <w:sz w:val="21"/>
          <w:szCs w:val="21"/>
          <w:lang w:eastAsia="en-GB"/>
        </w:rPr>
        <w:t>estimates produced by both organizations are assembled in a joint database</w:t>
      </w:r>
      <w:r w:rsidR="00443539">
        <w:rPr>
          <w:rFonts w:eastAsia="Times New Roman" w:cstheme="minorHAnsi"/>
          <w:color w:val="4A4A4A"/>
          <w:sz w:val="21"/>
          <w:szCs w:val="21"/>
          <w:lang w:eastAsia="en-GB"/>
        </w:rPr>
        <w:t xml:space="preserve"> following a quality </w:t>
      </w:r>
      <w:r w:rsidR="008465FB">
        <w:rPr>
          <w:rFonts w:eastAsia="Times New Roman" w:cstheme="minorHAnsi"/>
          <w:color w:val="4A4A4A"/>
          <w:sz w:val="21"/>
          <w:szCs w:val="21"/>
          <w:lang w:eastAsia="en-GB"/>
        </w:rPr>
        <w:t>assessment process (see section 4.j)</w:t>
      </w:r>
      <w:r w:rsidR="009B5771">
        <w:rPr>
          <w:rFonts w:eastAsia="Times New Roman" w:cstheme="minorHAnsi"/>
          <w:color w:val="4A4A4A"/>
          <w:sz w:val="21"/>
          <w:szCs w:val="21"/>
          <w:lang w:eastAsia="en-GB"/>
        </w:rPr>
        <w:t>. Such estimates are included in a country</w:t>
      </w:r>
      <w:r w:rsidR="00D57626">
        <w:rPr>
          <w:rFonts w:eastAsia="Times New Roman" w:cstheme="minorHAnsi"/>
          <w:color w:val="4A4A4A"/>
          <w:sz w:val="21"/>
          <w:szCs w:val="21"/>
          <w:lang w:eastAsia="en-GB"/>
        </w:rPr>
        <w:t xml:space="preserve"> consultation </w:t>
      </w:r>
      <w:r w:rsidR="00A32B71">
        <w:rPr>
          <w:rFonts w:eastAsia="Times New Roman" w:cstheme="minorHAnsi"/>
          <w:color w:val="4A4A4A"/>
          <w:sz w:val="21"/>
          <w:szCs w:val="21"/>
          <w:lang w:eastAsia="en-GB"/>
        </w:rPr>
        <w:t xml:space="preserve">conducted to give an opportunity to </w:t>
      </w:r>
      <w:r w:rsidR="0039181C">
        <w:rPr>
          <w:rFonts w:eastAsia="Times New Roman" w:cstheme="minorHAnsi"/>
          <w:color w:val="4A4A4A"/>
          <w:sz w:val="21"/>
          <w:szCs w:val="21"/>
          <w:lang w:eastAsia="en-GB"/>
        </w:rPr>
        <w:t>i</w:t>
      </w:r>
      <w:r w:rsidR="00A32B71">
        <w:rPr>
          <w:rFonts w:eastAsia="Times New Roman" w:cstheme="minorHAnsi"/>
          <w:color w:val="4A4A4A"/>
          <w:sz w:val="21"/>
          <w:szCs w:val="21"/>
          <w:lang w:eastAsia="en-GB"/>
        </w:rPr>
        <w:t xml:space="preserve">) review </w:t>
      </w:r>
      <w:r w:rsidR="008A0AA5">
        <w:rPr>
          <w:rFonts w:eastAsia="Times New Roman" w:cstheme="minorHAnsi"/>
          <w:color w:val="4A4A4A"/>
          <w:sz w:val="21"/>
          <w:szCs w:val="21"/>
          <w:lang w:eastAsia="en-GB"/>
        </w:rPr>
        <w:t>the estimates, the data sources</w:t>
      </w:r>
      <w:r w:rsidR="006A00F5">
        <w:rPr>
          <w:rFonts w:eastAsia="Times New Roman" w:cstheme="minorHAnsi"/>
          <w:color w:val="4A4A4A"/>
          <w:sz w:val="21"/>
          <w:szCs w:val="21"/>
          <w:lang w:eastAsia="en-GB"/>
        </w:rPr>
        <w:t xml:space="preserve"> and the</w:t>
      </w:r>
      <w:r w:rsidR="00A32B71">
        <w:rPr>
          <w:rFonts w:eastAsia="Times New Roman" w:cstheme="minorHAnsi"/>
          <w:color w:val="4A4A4A"/>
          <w:sz w:val="21"/>
          <w:szCs w:val="21"/>
          <w:lang w:eastAsia="en-GB"/>
        </w:rPr>
        <w:t xml:space="preserve"> methods </w:t>
      </w:r>
      <w:r w:rsidR="0039181C">
        <w:rPr>
          <w:rFonts w:eastAsia="Times New Roman" w:cstheme="minorHAnsi"/>
          <w:color w:val="4A4A4A"/>
          <w:sz w:val="21"/>
          <w:szCs w:val="21"/>
          <w:lang w:eastAsia="en-GB"/>
        </w:rPr>
        <w:t>used</w:t>
      </w:r>
      <w:r w:rsidR="00A32B71">
        <w:rPr>
          <w:rFonts w:eastAsia="Times New Roman" w:cstheme="minorHAnsi"/>
          <w:color w:val="4A4A4A"/>
          <w:sz w:val="21"/>
          <w:szCs w:val="21"/>
          <w:lang w:eastAsia="en-GB"/>
        </w:rPr>
        <w:t xml:space="preserve"> for computation; </w:t>
      </w:r>
      <w:r w:rsidR="0039181C">
        <w:rPr>
          <w:rFonts w:eastAsia="Times New Roman" w:cstheme="minorHAnsi"/>
          <w:color w:val="4A4A4A"/>
          <w:sz w:val="21"/>
          <w:szCs w:val="21"/>
          <w:lang w:eastAsia="en-GB"/>
        </w:rPr>
        <w:t>ii</w:t>
      </w:r>
      <w:r w:rsidR="00A32B71">
        <w:rPr>
          <w:rFonts w:eastAsia="Times New Roman" w:cstheme="minorHAnsi"/>
          <w:color w:val="4A4A4A"/>
          <w:sz w:val="21"/>
          <w:szCs w:val="21"/>
          <w:lang w:eastAsia="en-GB"/>
        </w:rPr>
        <w:t xml:space="preserve">) provide information about </w:t>
      </w:r>
      <w:r w:rsidR="0039181C">
        <w:rPr>
          <w:rFonts w:eastAsia="Times New Roman" w:cstheme="minorHAnsi"/>
          <w:color w:val="4A4A4A"/>
          <w:sz w:val="21"/>
          <w:szCs w:val="21"/>
          <w:lang w:eastAsia="en-GB"/>
        </w:rPr>
        <w:t xml:space="preserve">additional data sources; iii) build </w:t>
      </w:r>
      <w:r w:rsidR="00CC0646">
        <w:rPr>
          <w:rFonts w:eastAsia="Times New Roman" w:cstheme="minorHAnsi"/>
          <w:color w:val="4A4A4A"/>
          <w:sz w:val="21"/>
          <w:szCs w:val="21"/>
          <w:lang w:eastAsia="en-GB"/>
        </w:rPr>
        <w:t xml:space="preserve">a </w:t>
      </w:r>
      <w:r w:rsidR="0039181C" w:rsidRPr="0039181C">
        <w:rPr>
          <w:rFonts w:eastAsia="Times New Roman" w:cstheme="minorHAnsi"/>
          <w:color w:val="4A4A4A"/>
          <w:sz w:val="21"/>
          <w:szCs w:val="21"/>
          <w:lang w:eastAsia="en-GB"/>
        </w:rPr>
        <w:t>mutual understanding of the strengths and weaknesses of available data and ensure broad ownership of the results</w:t>
      </w:r>
      <w:r w:rsidR="0039181C">
        <w:rPr>
          <w:rFonts w:eastAsia="Times New Roman" w:cstheme="minorHAnsi"/>
          <w:color w:val="4A4A4A"/>
          <w:sz w:val="21"/>
          <w:szCs w:val="21"/>
          <w:lang w:eastAsia="en-GB"/>
        </w:rPr>
        <w:t xml:space="preserve">; </w:t>
      </w:r>
      <w:r w:rsidR="001D6EA2">
        <w:rPr>
          <w:rFonts w:eastAsia="Times New Roman" w:cstheme="minorHAnsi"/>
          <w:color w:val="4A4A4A"/>
          <w:sz w:val="21"/>
          <w:szCs w:val="21"/>
          <w:lang w:eastAsia="en-GB"/>
        </w:rPr>
        <w:t xml:space="preserve">and </w:t>
      </w:r>
      <w:r w:rsidR="0039181C">
        <w:rPr>
          <w:rFonts w:eastAsia="Times New Roman" w:cstheme="minorHAnsi"/>
          <w:color w:val="4A4A4A"/>
          <w:sz w:val="21"/>
          <w:szCs w:val="21"/>
          <w:lang w:eastAsia="en-GB"/>
        </w:rPr>
        <w:t>iv) request estimates produced by the country as further explained hereafter.</w:t>
      </w:r>
    </w:p>
    <w:p w14:paraId="5B925F20" w14:textId="77777777" w:rsidR="002E1AFA" w:rsidRDefault="002E1AFA" w:rsidP="00B55A32">
      <w:pPr>
        <w:shd w:val="clear" w:color="auto" w:fill="FFFFFF"/>
        <w:spacing w:after="0"/>
        <w:rPr>
          <w:rFonts w:eastAsia="Times New Roman" w:cstheme="minorHAnsi"/>
          <w:color w:val="4A4A4A"/>
          <w:sz w:val="21"/>
          <w:szCs w:val="21"/>
          <w:lang w:eastAsia="en-GB"/>
        </w:rPr>
      </w:pPr>
    </w:p>
    <w:p w14:paraId="04AD46D0" w14:textId="6D061B5D" w:rsidR="00B55A32" w:rsidRPr="00645B6F" w:rsidRDefault="001557B8" w:rsidP="002811CF">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B) E</w:t>
      </w:r>
      <w:r w:rsidR="0010408D">
        <w:rPr>
          <w:rFonts w:eastAsia="Times New Roman" w:cstheme="minorHAnsi"/>
          <w:color w:val="4A4A4A"/>
          <w:sz w:val="21"/>
          <w:szCs w:val="21"/>
          <w:lang w:eastAsia="en-GB"/>
        </w:rPr>
        <w:t>stimates produced by each country</w:t>
      </w:r>
      <w:r w:rsidR="000C0C63">
        <w:rPr>
          <w:rFonts w:eastAsia="Times New Roman" w:cstheme="minorHAnsi"/>
          <w:color w:val="4A4A4A"/>
          <w:sz w:val="21"/>
          <w:szCs w:val="21"/>
          <w:lang w:eastAsia="en-GB"/>
        </w:rPr>
        <w:t xml:space="preserve"> are </w:t>
      </w:r>
      <w:r>
        <w:rPr>
          <w:rFonts w:eastAsia="Times New Roman" w:cstheme="minorHAnsi"/>
          <w:color w:val="4A4A4A"/>
          <w:sz w:val="21"/>
          <w:szCs w:val="21"/>
          <w:lang w:eastAsia="en-GB"/>
        </w:rPr>
        <w:t xml:space="preserve">requested </w:t>
      </w:r>
      <w:r w:rsidR="000C0C63">
        <w:rPr>
          <w:rFonts w:eastAsia="Times New Roman" w:cstheme="minorHAnsi"/>
          <w:color w:val="4A4A4A"/>
          <w:sz w:val="21"/>
          <w:szCs w:val="21"/>
          <w:lang w:eastAsia="en-GB"/>
        </w:rPr>
        <w:t>through a country consultation conducted by the World Health Organization</w:t>
      </w:r>
      <w:r w:rsidR="00C47CBD">
        <w:rPr>
          <w:rFonts w:eastAsia="Times New Roman" w:cstheme="minorHAnsi"/>
          <w:color w:val="4A4A4A"/>
          <w:sz w:val="21"/>
          <w:szCs w:val="21"/>
          <w:lang w:eastAsia="en-GB"/>
        </w:rPr>
        <w:t xml:space="preserve">. Following the </w:t>
      </w:r>
      <w:r w:rsidR="00B55A32" w:rsidRPr="00645B6F">
        <w:rPr>
          <w:rFonts w:eastAsia="Times New Roman" w:cstheme="minorHAnsi"/>
          <w:color w:val="4A4A4A"/>
          <w:sz w:val="21"/>
          <w:szCs w:val="21"/>
          <w:lang w:eastAsia="en-GB"/>
        </w:rPr>
        <w:t>WHO Executive Board resolution (EB107.R8)</w:t>
      </w:r>
      <w:r w:rsidR="00C47CBD">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 xml:space="preserve">this process starts with WHO sending a formal request to ministries of health to nominate a focal point for the consultation. WHO sends draft estimates and methodological descriptions to </w:t>
      </w:r>
      <w:r w:rsidR="00B8020B" w:rsidRPr="00645B6F">
        <w:rPr>
          <w:rFonts w:eastAsia="Times New Roman" w:cstheme="minorHAnsi"/>
          <w:color w:val="4A4A4A"/>
          <w:sz w:val="21"/>
          <w:szCs w:val="21"/>
          <w:lang w:eastAsia="en-GB"/>
        </w:rPr>
        <w:t>the</w:t>
      </w:r>
      <w:r w:rsidR="00B8020B">
        <w:rPr>
          <w:rFonts w:eastAsia="Times New Roman" w:cstheme="minorHAnsi"/>
          <w:color w:val="4A4A4A"/>
          <w:sz w:val="21"/>
          <w:szCs w:val="21"/>
          <w:lang w:eastAsia="en-GB"/>
        </w:rPr>
        <w:t>m</w:t>
      </w:r>
      <w:r w:rsidR="002545E3">
        <w:rPr>
          <w:rFonts w:eastAsia="Times New Roman" w:cstheme="minorHAnsi"/>
          <w:color w:val="4A4A4A"/>
          <w:sz w:val="21"/>
          <w:szCs w:val="21"/>
          <w:lang w:eastAsia="en-GB"/>
        </w:rPr>
        <w:t>, copying countries’ focal point</w:t>
      </w:r>
      <w:r w:rsidR="00CC0646">
        <w:rPr>
          <w:rFonts w:eastAsia="Times New Roman" w:cstheme="minorHAnsi"/>
          <w:color w:val="4A4A4A"/>
          <w:sz w:val="21"/>
          <w:szCs w:val="21"/>
          <w:lang w:eastAsia="en-GB"/>
        </w:rPr>
        <w:t>s</w:t>
      </w:r>
      <w:r w:rsidR="002545E3">
        <w:rPr>
          <w:rFonts w:eastAsia="Times New Roman" w:cstheme="minorHAnsi"/>
          <w:color w:val="4A4A4A"/>
          <w:sz w:val="21"/>
          <w:szCs w:val="21"/>
          <w:lang w:eastAsia="en-GB"/>
        </w:rPr>
        <w:t xml:space="preserve"> for SDG reporting where </w:t>
      </w:r>
      <w:r w:rsidR="00BB2721">
        <w:rPr>
          <w:rFonts w:eastAsia="Times New Roman" w:cstheme="minorHAnsi"/>
          <w:color w:val="4A4A4A"/>
          <w:sz w:val="21"/>
          <w:szCs w:val="21"/>
          <w:lang w:eastAsia="en-GB"/>
        </w:rPr>
        <w:t xml:space="preserve">nominated at the request of </w:t>
      </w:r>
      <w:r w:rsidR="001433D1">
        <w:rPr>
          <w:rFonts w:eastAsia="Times New Roman" w:cstheme="minorHAnsi"/>
          <w:color w:val="4A4A4A"/>
          <w:sz w:val="21"/>
          <w:szCs w:val="21"/>
          <w:lang w:eastAsia="en-GB"/>
        </w:rPr>
        <w:t xml:space="preserve">the </w:t>
      </w:r>
      <w:r w:rsidR="00BB2721">
        <w:rPr>
          <w:rFonts w:eastAsia="Times New Roman" w:cstheme="minorHAnsi"/>
          <w:color w:val="4A4A4A"/>
          <w:sz w:val="21"/>
          <w:szCs w:val="21"/>
          <w:lang w:eastAsia="en-GB"/>
        </w:rPr>
        <w:t>UN</w:t>
      </w:r>
      <w:r w:rsidR="001433D1">
        <w:rPr>
          <w:rFonts w:eastAsia="Times New Roman" w:cstheme="minorHAnsi"/>
          <w:color w:val="4A4A4A"/>
          <w:sz w:val="21"/>
          <w:szCs w:val="21"/>
          <w:lang w:eastAsia="en-GB"/>
        </w:rPr>
        <w:t xml:space="preserve"> </w:t>
      </w:r>
      <w:r w:rsidR="00BB2721">
        <w:rPr>
          <w:rFonts w:eastAsia="Times New Roman" w:cstheme="minorHAnsi"/>
          <w:color w:val="4A4A4A"/>
          <w:sz w:val="21"/>
          <w:szCs w:val="21"/>
          <w:lang w:eastAsia="en-GB"/>
        </w:rPr>
        <w:t>S</w:t>
      </w:r>
      <w:r w:rsidR="001433D1">
        <w:rPr>
          <w:rFonts w:eastAsia="Times New Roman" w:cstheme="minorHAnsi"/>
          <w:color w:val="4A4A4A"/>
          <w:sz w:val="21"/>
          <w:szCs w:val="21"/>
          <w:lang w:eastAsia="en-GB"/>
        </w:rPr>
        <w:t xml:space="preserve">tatistics </w:t>
      </w:r>
      <w:r w:rsidR="00BB2721">
        <w:rPr>
          <w:rFonts w:eastAsia="Times New Roman" w:cstheme="minorHAnsi"/>
          <w:color w:val="4A4A4A"/>
          <w:sz w:val="21"/>
          <w:szCs w:val="21"/>
          <w:lang w:eastAsia="en-GB"/>
        </w:rPr>
        <w:t>D</w:t>
      </w:r>
      <w:r w:rsidR="001433D1">
        <w:rPr>
          <w:rFonts w:eastAsia="Times New Roman" w:cstheme="minorHAnsi"/>
          <w:color w:val="4A4A4A"/>
          <w:sz w:val="21"/>
          <w:szCs w:val="21"/>
          <w:lang w:eastAsia="en-GB"/>
        </w:rPr>
        <w:t>ivision</w:t>
      </w:r>
      <w:r w:rsidR="00B55A32" w:rsidRPr="00645B6F">
        <w:rPr>
          <w:rFonts w:eastAsia="Times New Roman" w:cstheme="minorHAnsi"/>
          <w:color w:val="4A4A4A"/>
          <w:sz w:val="21"/>
          <w:szCs w:val="21"/>
          <w:lang w:eastAsia="en-GB"/>
        </w:rPr>
        <w:t xml:space="preserve">. </w:t>
      </w:r>
      <w:r w:rsidR="008D6BBD">
        <w:rPr>
          <w:rFonts w:eastAsia="Times New Roman" w:cstheme="minorHAnsi"/>
          <w:color w:val="4A4A4A"/>
          <w:sz w:val="21"/>
          <w:szCs w:val="21"/>
          <w:lang w:eastAsia="en-GB"/>
        </w:rPr>
        <w:t>C</w:t>
      </w:r>
      <w:r w:rsidR="008D6BBD" w:rsidRPr="00645B6F">
        <w:rPr>
          <w:rFonts w:eastAsia="Times New Roman" w:cstheme="minorHAnsi"/>
          <w:color w:val="4A4A4A"/>
          <w:sz w:val="21"/>
          <w:szCs w:val="21"/>
          <w:lang w:eastAsia="en-GB"/>
        </w:rPr>
        <w:t>odes</w:t>
      </w:r>
      <w:r w:rsidR="008D6BBD">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 xml:space="preserve">are available to reproduce the estimates shared. The focal points then send to WHO their comments, often including new data or revised country estimates that are used to update the country estimates. </w:t>
      </w:r>
      <w:r w:rsidR="0010635A">
        <w:rPr>
          <w:rFonts w:eastAsia="Times New Roman" w:cstheme="minorHAnsi"/>
          <w:color w:val="4A4A4A"/>
          <w:sz w:val="21"/>
          <w:szCs w:val="21"/>
          <w:lang w:eastAsia="en-GB"/>
        </w:rPr>
        <w:t xml:space="preserve">Estimates produced by the countries are subject to the same quality </w:t>
      </w:r>
      <w:r w:rsidR="0001783F">
        <w:rPr>
          <w:rFonts w:eastAsia="Times New Roman" w:cstheme="minorHAnsi"/>
          <w:color w:val="4A4A4A"/>
          <w:sz w:val="21"/>
          <w:szCs w:val="21"/>
          <w:lang w:eastAsia="en-GB"/>
        </w:rPr>
        <w:t>assessment</w:t>
      </w:r>
      <w:r w:rsidR="0010635A">
        <w:rPr>
          <w:rFonts w:eastAsia="Times New Roman" w:cstheme="minorHAnsi"/>
          <w:color w:val="4A4A4A"/>
          <w:sz w:val="21"/>
          <w:szCs w:val="21"/>
          <w:lang w:eastAsia="en-GB"/>
        </w:rPr>
        <w:t xml:space="preserve"> process and included in the joint database if they are not flagged in consumption or the health budget share</w:t>
      </w:r>
      <w:r w:rsidR="00324BDA">
        <w:rPr>
          <w:rFonts w:eastAsia="Times New Roman" w:cstheme="minorHAnsi"/>
          <w:color w:val="4A4A4A"/>
          <w:sz w:val="21"/>
          <w:szCs w:val="21"/>
          <w:lang w:eastAsia="en-GB"/>
        </w:rPr>
        <w:t xml:space="preserve"> (see section 4.j).</w:t>
      </w:r>
    </w:p>
    <w:p w14:paraId="056923DC" w14:textId="77777777" w:rsidR="00786630" w:rsidRPr="00C244A2" w:rsidRDefault="00786630" w:rsidP="00D35867">
      <w:pPr>
        <w:pStyle w:val="MText"/>
      </w:pPr>
    </w:p>
    <w:p w14:paraId="7D9F065F" w14:textId="0EEBC173" w:rsidR="00EC2915" w:rsidRPr="00645B6F" w:rsidRDefault="00576CFA" w:rsidP="00645B6F">
      <w:pPr>
        <w:pStyle w:val="MText"/>
        <w:rPr>
          <w:rFonts w:cstheme="minorHAnsi"/>
        </w:rPr>
      </w:pPr>
      <w:r w:rsidRPr="00645B6F">
        <w:rPr>
          <w:rFonts w:cstheme="minorHAnsi"/>
        </w:rPr>
        <w:tab/>
      </w:r>
    </w:p>
    <w:p w14:paraId="170A2C05" w14:textId="34873ECA" w:rsidR="00E46D96" w:rsidRPr="00645B6F" w:rsidRDefault="00E46D96" w:rsidP="00F719A8">
      <w:pPr>
        <w:pStyle w:val="MHeader2"/>
        <w:rPr>
          <w:rFonts w:cstheme="minorHAnsi"/>
        </w:rPr>
      </w:pPr>
      <w:r w:rsidRPr="00645B6F">
        <w:rPr>
          <w:rFonts w:cstheme="minorHAnsi"/>
        </w:rPr>
        <w:lastRenderedPageBreak/>
        <w:t xml:space="preserve">3.c. Data collection calendar </w:t>
      </w:r>
      <w:r>
        <w:rPr>
          <w:color w:val="B4B4B4"/>
          <w:sz w:val="20"/>
        </w:rPr>
      </w:r>
      <w:r>
        <w:rPr>
          <w:color w:val="B4B4B4"/>
          <w:sz w:val="20"/>
        </w:rPr>
        <w:t>(FREQ_COLL)</w:t>
      </w:r>
    </w:p>
    <w:p w14:paraId="2E6AAC94" w14:textId="50193F34" w:rsidR="00B55A32" w:rsidRPr="00645B6F" w:rsidRDefault="002472A3" w:rsidP="00B55A32">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A country consultation</w:t>
      </w:r>
      <w:r w:rsidR="008B18C4">
        <w:rPr>
          <w:rFonts w:eastAsia="Times New Roman" w:cstheme="minorHAnsi"/>
          <w:color w:val="4A4A4A"/>
          <w:sz w:val="21"/>
          <w:szCs w:val="21"/>
          <w:lang w:eastAsia="en-GB"/>
        </w:rPr>
        <w:t xml:space="preserve"> on SDG 3.8.2 estimates</w:t>
      </w:r>
      <w:r w:rsidR="007D5F89">
        <w:rPr>
          <w:rFonts w:eastAsia="Times New Roman" w:cstheme="minorHAnsi"/>
          <w:color w:val="4A4A4A"/>
          <w:sz w:val="21"/>
          <w:szCs w:val="21"/>
          <w:lang w:eastAsia="en-GB"/>
        </w:rPr>
        <w:t xml:space="preserve"> is</w:t>
      </w:r>
      <w:r w:rsidR="0052361E">
        <w:rPr>
          <w:rFonts w:eastAsia="Times New Roman" w:cstheme="minorHAnsi"/>
          <w:color w:val="4A4A4A"/>
          <w:sz w:val="21"/>
          <w:szCs w:val="21"/>
          <w:lang w:eastAsia="en-GB"/>
        </w:rPr>
        <w:t xml:space="preserve"> typically</w:t>
      </w:r>
      <w:r w:rsidR="007D5F89">
        <w:rPr>
          <w:rFonts w:eastAsia="Times New Roman" w:cstheme="minorHAnsi"/>
          <w:color w:val="4A4A4A"/>
          <w:sz w:val="21"/>
          <w:szCs w:val="21"/>
          <w:lang w:eastAsia="en-GB"/>
        </w:rPr>
        <w:t xml:space="preserve"> conducted between January and March every two years</w:t>
      </w:r>
      <w:r w:rsidR="005C101C">
        <w:rPr>
          <w:rFonts w:eastAsia="Times New Roman" w:cstheme="minorHAnsi"/>
          <w:color w:val="4A4A4A"/>
          <w:sz w:val="21"/>
          <w:szCs w:val="21"/>
          <w:lang w:eastAsia="en-GB"/>
        </w:rPr>
        <w:t>.</w:t>
      </w:r>
    </w:p>
    <w:p w14:paraId="01BA862E" w14:textId="77777777" w:rsidR="00EC2915" w:rsidRPr="00645B6F" w:rsidRDefault="00EC2915" w:rsidP="00576CFA">
      <w:pPr>
        <w:pStyle w:val="MText"/>
        <w:rPr>
          <w:rFonts w:cstheme="minorHAnsi"/>
        </w:rPr>
      </w:pPr>
    </w:p>
    <w:p w14:paraId="7D466604" w14:textId="674844F0" w:rsidR="00E46D96" w:rsidRPr="00645B6F" w:rsidRDefault="00E46D96" w:rsidP="00F719A8">
      <w:pPr>
        <w:pStyle w:val="MHeader2"/>
        <w:rPr>
          <w:rFonts w:cstheme="minorHAnsi"/>
        </w:rPr>
      </w:pPr>
      <w:r w:rsidRPr="00645B6F">
        <w:rPr>
          <w:rFonts w:cstheme="minorHAnsi"/>
        </w:rPr>
        <w:t xml:space="preserve">3.d. Data release calendar </w:t>
      </w:r>
      <w:r>
        <w:rPr>
          <w:color w:val="B4B4B4"/>
          <w:sz w:val="20"/>
        </w:rPr>
      </w:r>
      <w:r>
        <w:rPr>
          <w:color w:val="B4B4B4"/>
          <w:sz w:val="20"/>
        </w:rPr>
        <w:t>(REL_CAL_POLICY)</w:t>
      </w:r>
    </w:p>
    <w:p w14:paraId="64C749BD" w14:textId="26A84680" w:rsidR="00EC2915" w:rsidRPr="00645B6F" w:rsidRDefault="008B18C4" w:rsidP="00BB179E">
      <w:pPr>
        <w:pStyle w:val="MText"/>
        <w:rPr>
          <w:rFonts w:eastAsia="SimSun"/>
        </w:rPr>
      </w:pPr>
      <w:r>
        <w:t>SDG 3.8.2 e</w:t>
      </w:r>
      <w:r w:rsidR="00B55A32" w:rsidRPr="00645B6F">
        <w:t xml:space="preserve">stimates </w:t>
      </w:r>
      <w:r w:rsidR="00C317BA">
        <w:t xml:space="preserve">at country, regional and global levels </w:t>
      </w:r>
      <w:r>
        <w:t>are released</w:t>
      </w:r>
      <w:r w:rsidR="00550277">
        <w:t xml:space="preserve"> every two years either </w:t>
      </w:r>
      <w:r>
        <w:t xml:space="preserve">on </w:t>
      </w:r>
      <w:r w:rsidR="00C317BA">
        <w:t xml:space="preserve">December 12 (Universal Health Coverage day) </w:t>
      </w:r>
      <w:r w:rsidR="00550277">
        <w:t xml:space="preserve">or </w:t>
      </w:r>
      <w:r w:rsidR="00D37199">
        <w:t>in September (</w:t>
      </w:r>
      <w:r w:rsidR="00550277">
        <w:t>UN General Assembly</w:t>
      </w:r>
      <w:r w:rsidR="00D37199">
        <w:t>)</w:t>
      </w:r>
      <w:r w:rsidR="00B55A32" w:rsidRPr="00645B6F">
        <w:t xml:space="preserve">. </w:t>
      </w:r>
    </w:p>
    <w:p w14:paraId="0A86A14F" w14:textId="77777777" w:rsidR="00B55A32" w:rsidRPr="00645B6F" w:rsidRDefault="00B55A32" w:rsidP="00645B6F">
      <w:pPr>
        <w:pStyle w:val="MText"/>
      </w:pPr>
    </w:p>
    <w:p w14:paraId="3A4F3065" w14:textId="3AD52F9D" w:rsidR="00E46D96" w:rsidRPr="00645B6F" w:rsidRDefault="00E46D96" w:rsidP="00F719A8">
      <w:pPr>
        <w:pStyle w:val="MHeader2"/>
        <w:rPr>
          <w:rFonts w:cstheme="minorHAnsi"/>
        </w:rPr>
      </w:pPr>
      <w:r w:rsidRPr="00645B6F">
        <w:rPr>
          <w:rFonts w:cstheme="minorHAnsi"/>
        </w:rPr>
        <w:t xml:space="preserve">3.e. Data providers </w:t>
      </w:r>
      <w:r>
        <w:rPr>
          <w:color w:val="B4B4B4"/>
          <w:sz w:val="20"/>
        </w:rPr>
      </w:r>
      <w:r>
        <w:rPr>
          <w:color w:val="B4B4B4"/>
          <w:sz w:val="20"/>
        </w:rPr>
        <w:t>(DATA_SOURCE)</w:t>
      </w:r>
    </w:p>
    <w:p w14:paraId="2C7B7C5E" w14:textId="33668AB6"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National Statistical Offices in collaboration with Ministries of </w:t>
      </w:r>
      <w:r w:rsidR="00CA3AA1">
        <w:rPr>
          <w:rFonts w:eastAsia="Times New Roman" w:cstheme="minorHAnsi"/>
          <w:color w:val="4A4A4A"/>
          <w:sz w:val="21"/>
          <w:szCs w:val="21"/>
          <w:lang w:eastAsia="en-GB"/>
        </w:rPr>
        <w:t>H</w:t>
      </w:r>
      <w:r w:rsidR="00CA3AA1" w:rsidRPr="00645B6F">
        <w:rPr>
          <w:rFonts w:eastAsia="Times New Roman" w:cstheme="minorHAnsi"/>
          <w:color w:val="4A4A4A"/>
          <w:sz w:val="21"/>
          <w:szCs w:val="21"/>
          <w:lang w:eastAsia="en-GB"/>
        </w:rPr>
        <w:t>ealth</w:t>
      </w:r>
      <w:r w:rsidRPr="00645B6F">
        <w:rPr>
          <w:rFonts w:eastAsia="Times New Roman" w:cstheme="minorHAnsi"/>
          <w:color w:val="4A4A4A"/>
          <w:sz w:val="21"/>
          <w:szCs w:val="21"/>
          <w:lang w:eastAsia="en-GB"/>
        </w:rPr>
        <w:t xml:space="preserve">. See </w:t>
      </w:r>
      <w:r w:rsidR="00D54A48">
        <w:rPr>
          <w:rFonts w:eastAsia="Times New Roman" w:cstheme="minorHAnsi"/>
          <w:color w:val="4A4A4A"/>
          <w:sz w:val="21"/>
          <w:szCs w:val="21"/>
          <w:lang w:eastAsia="en-GB"/>
        </w:rPr>
        <w:t>3.a D</w:t>
      </w:r>
      <w:r w:rsidR="00D54A48" w:rsidRPr="00645B6F">
        <w:rPr>
          <w:rFonts w:eastAsia="Times New Roman" w:cstheme="minorHAnsi"/>
          <w:color w:val="4A4A4A"/>
          <w:sz w:val="21"/>
          <w:szCs w:val="21"/>
          <w:lang w:eastAsia="en-GB"/>
        </w:rPr>
        <w:t xml:space="preserve">ata </w:t>
      </w:r>
      <w:r w:rsidRPr="00645B6F">
        <w:rPr>
          <w:rFonts w:eastAsia="Times New Roman" w:cstheme="minorHAnsi"/>
          <w:color w:val="4A4A4A"/>
          <w:sz w:val="21"/>
          <w:szCs w:val="21"/>
          <w:lang w:eastAsia="en-GB"/>
        </w:rPr>
        <w:t xml:space="preserve">sources for further details. </w:t>
      </w:r>
    </w:p>
    <w:p w14:paraId="50A66E64" w14:textId="77777777" w:rsidR="00EC2915" w:rsidRPr="00645B6F" w:rsidRDefault="00EC2915" w:rsidP="00576CFA">
      <w:pPr>
        <w:pStyle w:val="MText"/>
        <w:rPr>
          <w:rFonts w:cstheme="minorHAnsi"/>
        </w:rPr>
      </w:pPr>
    </w:p>
    <w:p w14:paraId="30DC8E05" w14:textId="484D6EC2" w:rsidR="00E46D96" w:rsidRPr="00645B6F" w:rsidRDefault="00E46D96" w:rsidP="00F719A8">
      <w:pPr>
        <w:pStyle w:val="MHeader2"/>
        <w:rPr>
          <w:rFonts w:cstheme="minorHAnsi"/>
        </w:rPr>
      </w:pPr>
      <w:r w:rsidRPr="00645B6F">
        <w:rPr>
          <w:rFonts w:cstheme="minorHAnsi"/>
        </w:rPr>
        <w:t xml:space="preserve">3.f. Data compilers </w:t>
      </w:r>
      <w:r>
        <w:rPr>
          <w:color w:val="B4B4B4"/>
          <w:sz w:val="20"/>
        </w:rPr>
      </w:r>
      <w:r>
        <w:rPr>
          <w:color w:val="B4B4B4"/>
          <w:sz w:val="20"/>
        </w:rPr>
        <w:t>(COMPILING_ORG)</w:t>
      </w:r>
    </w:p>
    <w:p w14:paraId="7017E793" w14:textId="77777777"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The World Health Organization and the World Bank.</w:t>
      </w:r>
    </w:p>
    <w:p w14:paraId="5C43435B" w14:textId="77777777" w:rsidR="00EC2915" w:rsidRPr="00645B6F" w:rsidRDefault="00EC2915" w:rsidP="00576CFA">
      <w:pPr>
        <w:pStyle w:val="MText"/>
        <w:rPr>
          <w:rFonts w:cstheme="minorHAnsi"/>
        </w:rPr>
      </w:pPr>
    </w:p>
    <w:p w14:paraId="5655E768" w14:textId="5429F32E" w:rsidR="00E46D96" w:rsidRPr="00645B6F" w:rsidRDefault="00E46D96" w:rsidP="00F719A8">
      <w:pPr>
        <w:pStyle w:val="MHeader2"/>
        <w:rPr>
          <w:rFonts w:cstheme="minorHAnsi"/>
        </w:rPr>
      </w:pPr>
      <w:r w:rsidRPr="00645B6F">
        <w:rPr>
          <w:rFonts w:cstheme="minorHAnsi"/>
        </w:rPr>
        <w:t xml:space="preserve">3.g. Institutional mandate </w:t>
      </w:r>
      <w:r>
        <w:rPr>
          <w:color w:val="B4B4B4"/>
          <w:sz w:val="20"/>
        </w:rPr>
      </w:r>
      <w:r>
        <w:rPr>
          <w:color w:val="B4B4B4"/>
          <w:sz w:val="20"/>
        </w:rPr>
        <w:t>(INST_MANDATE)</w:t>
      </w:r>
    </w:p>
    <w:p w14:paraId="26B863C3" w14:textId="77E5CF28" w:rsidR="00576CFA" w:rsidRPr="00471B87" w:rsidRDefault="0071291D" w:rsidP="00576CFA">
      <w:pPr>
        <w:pStyle w:val="MText"/>
        <w:rPr>
          <w:rFonts w:cstheme="minorHAnsi"/>
        </w:rPr>
      </w:pPr>
      <w:r w:rsidRPr="003D6A3E">
        <w:rPr>
          <w:rFonts w:eastAsia="Arial" w:cstheme="minorHAnsi"/>
          <w:bCs/>
          <w:iCs/>
          <w:color w:val="595959"/>
          <w:lang w:val="en-US"/>
        </w:rPr>
        <w:t>WHO support for monitoring the financial protection dimension of Universal Health Coverage</w:t>
      </w:r>
      <w:r w:rsidR="002435F0" w:rsidRPr="003D6A3E">
        <w:rPr>
          <w:rFonts w:eastAsia="Arial" w:cstheme="minorHAnsi"/>
          <w:bCs/>
          <w:iCs/>
          <w:color w:val="595959"/>
          <w:lang w:val="en-US"/>
        </w:rPr>
        <w:t xml:space="preserve"> (target 3.8, indicator 3.8.2 specifically)</w:t>
      </w:r>
      <w:r w:rsidRPr="003D6A3E">
        <w:rPr>
          <w:rFonts w:eastAsia="Arial" w:cstheme="minorHAnsi"/>
          <w:bCs/>
          <w:iCs/>
          <w:color w:val="595959"/>
          <w:lang w:val="en-US"/>
        </w:rPr>
        <w:t xml:space="preserve"> is underpinned by Resolution </w:t>
      </w:r>
      <w:hyperlink r:id="rId15" w:history="1">
        <w:r w:rsidRPr="003D6A3E">
          <w:rPr>
            <w:rStyle w:val="Hyperlink"/>
            <w:rFonts w:eastAsia="Arial" w:cstheme="minorHAnsi"/>
            <w:bCs/>
            <w:iCs/>
            <w:lang w:val="en-US"/>
          </w:rPr>
          <w:t>WHA58.33</w:t>
        </w:r>
      </w:hyperlink>
      <w:r w:rsidRPr="003D6A3E">
        <w:rPr>
          <w:rFonts w:eastAsia="Arial" w:cstheme="minorHAnsi"/>
          <w:bCs/>
          <w:iCs/>
          <w:color w:val="595959"/>
          <w:lang w:val="en-US"/>
        </w:rPr>
        <w:t xml:space="preserve"> on sustainable health financing, universal coverage and social health insurance</w:t>
      </w:r>
      <w:r w:rsidR="002435F0" w:rsidRPr="003D6A3E">
        <w:rPr>
          <w:rFonts w:eastAsia="Arial" w:cstheme="minorHAnsi"/>
          <w:bCs/>
          <w:iCs/>
          <w:color w:val="595959"/>
          <w:lang w:val="en-US"/>
        </w:rPr>
        <w:t>.</w:t>
      </w:r>
    </w:p>
    <w:p w14:paraId="3D063F4C" w14:textId="1D0EE4E7" w:rsidR="00F719A8" w:rsidRPr="00645B6F" w:rsidRDefault="00F719A8" w:rsidP="00576CFA">
      <w:pPr>
        <w:pStyle w:val="MText"/>
        <w:rPr>
          <w:rFonts w:cstheme="minorHAnsi"/>
        </w:rPr>
      </w:pPr>
    </w:p>
    <w:p w14:paraId="6149DC94" w14:textId="05781947" w:rsidR="00B31E2C" w:rsidRPr="00645B6F" w:rsidRDefault="00B31E2C" w:rsidP="00AF5ED1">
      <w:pPr>
        <w:pStyle w:val="MHeader"/>
        <w:rPr>
          <w:rFonts w:cstheme="minorHAnsi"/>
        </w:rPr>
      </w:pPr>
      <w:r w:rsidRPr="00645B6F">
        <w:rPr>
          <w:rFonts w:cstheme="minorHAnsi"/>
        </w:rPr>
        <w:t xml:space="preserve">4. Other methodological considerations </w:t>
      </w:r>
      <w:r>
        <w:rPr>
          <w:color w:val="B4B4B4"/>
          <w:sz w:val="20"/>
        </w:rPr>
      </w:r>
      <w:r>
        <w:rPr>
          <w:color w:val="B4B4B4"/>
          <w:sz w:val="20"/>
        </w:rPr>
        <w:t>(OTHER_METHOD)</w:t>
      </w:r>
    </w:p>
    <w:p w14:paraId="1AFA5517" w14:textId="54FD9B10" w:rsidR="00AF5ED1" w:rsidRPr="00645B6F" w:rsidRDefault="00576CFA" w:rsidP="00F719A8">
      <w:pPr>
        <w:pStyle w:val="MHeader2"/>
        <w:rPr>
          <w:rFonts w:cstheme="minorHAnsi"/>
        </w:rPr>
      </w:pPr>
      <w:r w:rsidRPr="00645B6F">
        <w:rPr>
          <w:rFonts w:cstheme="minorHAnsi"/>
        </w:rPr>
        <w:t xml:space="preserve">4.a. Rationale </w:t>
      </w:r>
      <w:r>
        <w:rPr>
          <w:color w:val="B4B4B4"/>
          <w:sz w:val="20"/>
        </w:rPr>
      </w:r>
      <w:r>
        <w:rPr>
          <w:color w:val="B4B4B4"/>
          <w:sz w:val="20"/>
        </w:rPr>
        <w:t>(RATIONALE)</w:t>
      </w:r>
    </w:p>
    <w:p w14:paraId="097B0B43" w14:textId="75B5FD17" w:rsidR="00B55A32" w:rsidRPr="00645B6F" w:rsidRDefault="00B55A32" w:rsidP="00BD502F">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Target 3.8 is</w:t>
      </w:r>
      <w:r w:rsidR="00EE12DB">
        <w:rPr>
          <w:rFonts w:eastAsia="Times New Roman" w:cstheme="minorHAnsi"/>
          <w:color w:val="4A4A4A"/>
          <w:sz w:val="21"/>
          <w:szCs w:val="21"/>
          <w:lang w:eastAsia="en-GB"/>
        </w:rPr>
        <w:t xml:space="preserve"> about </w:t>
      </w:r>
      <w:r w:rsidR="00EE3F9D">
        <w:rPr>
          <w:rFonts w:eastAsia="Times New Roman" w:cstheme="minorHAnsi"/>
          <w:color w:val="4A4A4A"/>
          <w:sz w:val="21"/>
          <w:szCs w:val="21"/>
          <w:lang w:eastAsia="en-GB"/>
        </w:rPr>
        <w:t>universal health coverage (</w:t>
      </w:r>
      <w:r w:rsidR="00EE12DB">
        <w:rPr>
          <w:rFonts w:eastAsia="Times New Roman" w:cstheme="minorHAnsi"/>
          <w:color w:val="4A4A4A"/>
          <w:sz w:val="21"/>
          <w:szCs w:val="21"/>
          <w:lang w:eastAsia="en-GB"/>
        </w:rPr>
        <w:t>UHC</w:t>
      </w:r>
      <w:r w:rsidR="00EE3F9D">
        <w:rPr>
          <w:rFonts w:eastAsia="Times New Roman" w:cstheme="minorHAnsi"/>
          <w:color w:val="4A4A4A"/>
          <w:sz w:val="21"/>
          <w:szCs w:val="21"/>
          <w:lang w:eastAsia="en-GB"/>
        </w:rPr>
        <w:t>)</w:t>
      </w:r>
      <w:r w:rsidR="00EE12DB">
        <w:rPr>
          <w:rFonts w:eastAsia="Times New Roman" w:cstheme="minorHAnsi"/>
          <w:color w:val="4A4A4A"/>
          <w:sz w:val="21"/>
          <w:szCs w:val="21"/>
          <w:lang w:eastAsia="en-GB"/>
        </w:rPr>
        <w:t xml:space="preserve"> and is</w:t>
      </w:r>
      <w:r w:rsidRPr="00645B6F">
        <w:rPr>
          <w:rFonts w:eastAsia="Times New Roman" w:cstheme="minorHAnsi"/>
          <w:color w:val="4A4A4A"/>
          <w:sz w:val="21"/>
          <w:szCs w:val="21"/>
          <w:lang w:eastAsia="en-GB"/>
        </w:rPr>
        <w:t xml:space="preserve"> defined as “Achieve universal health coverage, including </w:t>
      </w:r>
      <w:r w:rsidRPr="00D35867">
        <w:rPr>
          <w:i/>
          <w:color w:val="4A4A4A"/>
          <w:sz w:val="21"/>
        </w:rPr>
        <w:t>financial risk protection</w:t>
      </w:r>
      <w:r w:rsidRPr="00645B6F">
        <w:rPr>
          <w:rFonts w:eastAsia="Times New Roman" w:cstheme="minorHAnsi"/>
          <w:color w:val="4A4A4A"/>
          <w:sz w:val="21"/>
          <w:szCs w:val="21"/>
          <w:lang w:eastAsia="en-GB"/>
        </w:rPr>
        <w:t>,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w:t>
      </w:r>
      <w:r w:rsidR="00127B00">
        <w:rPr>
          <w:rFonts w:eastAsia="Times New Roman" w:cstheme="minorHAnsi"/>
          <w:color w:val="4A4A4A"/>
          <w:sz w:val="21"/>
          <w:szCs w:val="21"/>
          <w:lang w:eastAsia="en-GB"/>
        </w:rPr>
        <w:t xml:space="preserve"> </w:t>
      </w:r>
      <w:r w:rsidR="00127B00" w:rsidRPr="002D6CEC">
        <w:rPr>
          <w:rFonts w:eastAsia="Times New Roman" w:cstheme="minorHAnsi"/>
          <w:color w:val="4A4A4A"/>
          <w:sz w:val="21"/>
          <w:szCs w:val="21"/>
          <w:lang w:eastAsia="en-GB"/>
        </w:rPr>
        <w:t>Financial hardship is a key consequence of inadequate financial risk protection mechanisms</w:t>
      </w:r>
      <w:r w:rsidR="009078C5">
        <w:rPr>
          <w:rFonts w:eastAsia="Times New Roman" w:cstheme="minorHAnsi"/>
          <w:color w:val="4A4A4A"/>
          <w:sz w:val="21"/>
          <w:szCs w:val="21"/>
          <w:lang w:eastAsia="en-GB"/>
        </w:rPr>
        <w:t xml:space="preserve"> and can be experienced in any country, regardless of the income level and type of health </w:t>
      </w:r>
      <w:r w:rsidR="00206171">
        <w:rPr>
          <w:rFonts w:eastAsia="Times New Roman" w:cstheme="minorHAnsi"/>
          <w:color w:val="4A4A4A"/>
          <w:sz w:val="21"/>
          <w:szCs w:val="21"/>
          <w:lang w:eastAsia="en-GB"/>
        </w:rPr>
        <w:t>system</w:t>
      </w:r>
      <w:r w:rsidR="00127B00" w:rsidRPr="002D6CEC">
        <w:rPr>
          <w:rFonts w:eastAsia="Times New Roman" w:cstheme="minorHAnsi"/>
          <w:color w:val="4A4A4A"/>
          <w:sz w:val="21"/>
          <w:szCs w:val="21"/>
          <w:lang w:eastAsia="en-GB"/>
        </w:rPr>
        <w:t>.</w:t>
      </w:r>
      <w:r w:rsidR="00F1583F">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 xml:space="preserve">Indicator 3.8.2 is about identifying people </w:t>
      </w:r>
      <w:r w:rsidR="00736370">
        <w:rPr>
          <w:rFonts w:eastAsia="Times New Roman" w:cstheme="minorHAnsi"/>
          <w:color w:val="4A4A4A"/>
          <w:sz w:val="21"/>
          <w:szCs w:val="21"/>
          <w:lang w:eastAsia="en-GB"/>
        </w:rPr>
        <w:t>with</w:t>
      </w:r>
      <w:r w:rsidR="004011F4">
        <w:rPr>
          <w:rFonts w:eastAsia="Times New Roman" w:cstheme="minorHAnsi"/>
          <w:color w:val="4A4A4A"/>
          <w:sz w:val="21"/>
          <w:szCs w:val="21"/>
          <w:lang w:eastAsia="en-GB"/>
        </w:rPr>
        <w:t xml:space="preserve"> out-of-pocket health spending on health exceeding their ability to pay</w:t>
      </w:r>
      <w:r w:rsidR="00866729">
        <w:rPr>
          <w:rFonts w:eastAsia="Times New Roman" w:cstheme="minorHAnsi"/>
          <w:color w:val="4A4A4A"/>
          <w:sz w:val="21"/>
          <w:szCs w:val="21"/>
          <w:lang w:eastAsia="en-GB"/>
        </w:rPr>
        <w:t xml:space="preserve">, </w:t>
      </w:r>
      <w:r w:rsidR="00866729" w:rsidRPr="00866729">
        <w:rPr>
          <w:rFonts w:eastAsia="Times New Roman" w:cstheme="minorHAnsi"/>
          <w:color w:val="4A4A4A"/>
          <w:sz w:val="21"/>
          <w:szCs w:val="21"/>
          <w:lang w:eastAsia="en-GB"/>
        </w:rPr>
        <w:t>which might</w:t>
      </w:r>
      <w:r w:rsidR="00BD502F">
        <w:rPr>
          <w:rFonts w:eastAsia="Times New Roman" w:cstheme="minorHAnsi"/>
          <w:color w:val="4A4A4A"/>
          <w:sz w:val="21"/>
          <w:szCs w:val="21"/>
          <w:lang w:eastAsia="en-GB"/>
        </w:rPr>
        <w:t xml:space="preserve"> </w:t>
      </w:r>
      <w:r w:rsidR="00866729" w:rsidRPr="00866729">
        <w:rPr>
          <w:rFonts w:eastAsia="Times New Roman" w:cstheme="minorHAnsi"/>
          <w:color w:val="4A4A4A"/>
          <w:sz w:val="21"/>
          <w:szCs w:val="21"/>
          <w:lang w:eastAsia="en-GB"/>
        </w:rPr>
        <w:t>lead to cutting spending on other</w:t>
      </w:r>
      <w:r w:rsidR="00B8369A">
        <w:rPr>
          <w:rFonts w:eastAsia="Times New Roman" w:cstheme="minorHAnsi"/>
          <w:color w:val="4A4A4A"/>
          <w:sz w:val="21"/>
          <w:szCs w:val="21"/>
          <w:lang w:eastAsia="en-GB"/>
        </w:rPr>
        <w:t xml:space="preserve"> basic</w:t>
      </w:r>
      <w:r w:rsidR="00866729" w:rsidRPr="00866729">
        <w:rPr>
          <w:rFonts w:eastAsia="Times New Roman" w:cstheme="minorHAnsi"/>
          <w:color w:val="4A4A4A"/>
          <w:sz w:val="21"/>
          <w:szCs w:val="21"/>
          <w:lang w:eastAsia="en-GB"/>
        </w:rPr>
        <w:t xml:space="preserve"> needs</w:t>
      </w:r>
      <w:r w:rsidR="00B8369A">
        <w:rPr>
          <w:rFonts w:eastAsia="Times New Roman" w:cstheme="minorHAnsi"/>
          <w:color w:val="4A4A4A"/>
          <w:sz w:val="21"/>
          <w:szCs w:val="21"/>
          <w:lang w:eastAsia="en-GB"/>
        </w:rPr>
        <w:t xml:space="preserve"> </w:t>
      </w:r>
      <w:r w:rsidR="00B8369A" w:rsidRPr="00645B6F">
        <w:rPr>
          <w:rFonts w:eastAsia="Times New Roman" w:cstheme="minorHAnsi"/>
          <w:color w:val="4A4A4A"/>
          <w:sz w:val="21"/>
          <w:szCs w:val="21"/>
          <w:lang w:eastAsia="en-GB"/>
        </w:rPr>
        <w:t>such as education, food, housing and utilities</w:t>
      </w:r>
      <w:r w:rsidRPr="00645B6F">
        <w:rPr>
          <w:rFonts w:eastAsia="Times New Roman" w:cstheme="minorHAnsi"/>
          <w:color w:val="4A4A4A"/>
          <w:sz w:val="21"/>
          <w:szCs w:val="21"/>
          <w:lang w:eastAsia="en-GB"/>
        </w:rPr>
        <w:t>.</w:t>
      </w:r>
      <w:r w:rsidR="008E7717">
        <w:rPr>
          <w:rFonts w:eastAsia="Times New Roman" w:cstheme="minorHAnsi"/>
          <w:color w:val="4A4A4A"/>
          <w:sz w:val="21"/>
          <w:szCs w:val="21"/>
          <w:lang w:eastAsia="en-GB"/>
        </w:rPr>
        <w:t xml:space="preserve"> </w:t>
      </w:r>
      <w:r w:rsidR="00220E40">
        <w:rPr>
          <w:rFonts w:eastAsia="Times New Roman" w:cstheme="minorHAnsi"/>
          <w:color w:val="4A4A4A"/>
          <w:sz w:val="21"/>
          <w:szCs w:val="21"/>
          <w:lang w:eastAsia="en-GB"/>
        </w:rPr>
        <w:t>Reducing</w:t>
      </w:r>
      <w:r w:rsidR="00614C3E">
        <w:rPr>
          <w:rFonts w:eastAsia="Times New Roman" w:cstheme="minorHAnsi"/>
          <w:color w:val="4A4A4A"/>
          <w:sz w:val="21"/>
          <w:szCs w:val="21"/>
          <w:lang w:eastAsia="en-GB"/>
        </w:rPr>
        <w:t xml:space="preserve"> financial hardship</w:t>
      </w:r>
      <w:r w:rsidR="00220E40">
        <w:rPr>
          <w:rFonts w:eastAsia="Times New Roman" w:cstheme="minorHAnsi"/>
          <w:color w:val="4A4A4A"/>
          <w:sz w:val="21"/>
          <w:szCs w:val="21"/>
          <w:lang w:eastAsia="en-GB"/>
        </w:rPr>
        <w:t xml:space="preserve"> in health</w:t>
      </w:r>
      <w:r w:rsidR="00614C3E">
        <w:rPr>
          <w:rFonts w:eastAsia="Times New Roman" w:cstheme="minorHAnsi"/>
          <w:color w:val="4A4A4A"/>
          <w:sz w:val="21"/>
          <w:szCs w:val="21"/>
          <w:lang w:eastAsia="en-GB"/>
        </w:rPr>
        <w:t xml:space="preserve"> is important on the global development agenda as well as </w:t>
      </w:r>
      <w:r w:rsidR="00220E40">
        <w:rPr>
          <w:rFonts w:eastAsia="Times New Roman" w:cstheme="minorHAnsi"/>
          <w:color w:val="4A4A4A"/>
          <w:sz w:val="21"/>
          <w:szCs w:val="21"/>
          <w:lang w:eastAsia="en-GB"/>
        </w:rPr>
        <w:t>a priority of the health sector</w:t>
      </w:r>
      <w:r w:rsidR="007C6D76">
        <w:rPr>
          <w:rFonts w:eastAsia="Times New Roman" w:cstheme="minorHAnsi"/>
          <w:color w:val="4A4A4A"/>
          <w:sz w:val="21"/>
          <w:szCs w:val="21"/>
          <w:lang w:eastAsia="en-GB"/>
        </w:rPr>
        <w:t xml:space="preserve"> of many countries across all regions.</w:t>
      </w:r>
    </w:p>
    <w:p w14:paraId="18EA7892" w14:textId="77777777" w:rsidR="00576CFA" w:rsidRPr="00645B6F" w:rsidRDefault="00576CFA" w:rsidP="00576CFA">
      <w:pPr>
        <w:pStyle w:val="MText"/>
        <w:rPr>
          <w:rFonts w:cstheme="minorHAnsi"/>
        </w:rPr>
      </w:pPr>
    </w:p>
    <w:p w14:paraId="2529B069" w14:textId="7EF734A9" w:rsidR="00E1050F" w:rsidRPr="00645B6F" w:rsidRDefault="00E1050F" w:rsidP="00F719A8">
      <w:pPr>
        <w:pStyle w:val="MHeader2"/>
        <w:rPr>
          <w:rFonts w:cstheme="minorHAnsi"/>
        </w:rPr>
      </w:pPr>
      <w:r w:rsidRPr="00645B6F">
        <w:rPr>
          <w:rFonts w:cstheme="minorHAnsi"/>
        </w:rPr>
        <w:t xml:space="preserve">4.b. Comment and limitations </w:t>
      </w:r>
      <w:r>
        <w:rPr>
          <w:color w:val="B4B4B4"/>
          <w:sz w:val="20"/>
        </w:rPr>
      </w:r>
      <w:r>
        <w:rPr>
          <w:color w:val="B4B4B4"/>
          <w:sz w:val="20"/>
        </w:rPr>
        <w:t>(REC_USE_LIM)</w:t>
      </w:r>
    </w:p>
    <w:p w14:paraId="282C4252" w14:textId="370D17ED"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It is feasible to monitor indicator 3.8.2 on a regular basis using the same household survey data that is used to monitor SDG target</w:t>
      </w:r>
      <w:r w:rsidR="00CA3AA1">
        <w:rPr>
          <w:rFonts w:eastAsia="Times New Roman" w:cstheme="minorHAnsi"/>
          <w:color w:val="4A4A4A"/>
          <w:sz w:val="21"/>
          <w:szCs w:val="21"/>
          <w:lang w:eastAsia="en-GB"/>
        </w:rPr>
        <w:t>s</w:t>
      </w:r>
      <w:r w:rsidRPr="00645B6F">
        <w:rPr>
          <w:rFonts w:eastAsia="Times New Roman" w:cstheme="minorHAnsi"/>
          <w:color w:val="4A4A4A"/>
          <w:sz w:val="21"/>
          <w:szCs w:val="21"/>
          <w:lang w:eastAsia="en-GB"/>
        </w:rPr>
        <w:t xml:space="preserve"> 1.1 and 1.2 on poverty</w:t>
      </w:r>
      <w:r w:rsidRPr="00645B6F">
        <w:rPr>
          <w:rFonts w:eastAsia="Times New Roman" w:cstheme="minorHAnsi"/>
          <w:color w:val="4A4A4A"/>
          <w:sz w:val="21"/>
          <w:szCs w:val="21"/>
          <w:vertAlign w:val="superscript"/>
          <w:lang w:eastAsia="en-GB"/>
        </w:rPr>
        <w:footnoteReference w:id="7"/>
      </w:r>
      <w:r w:rsidRPr="00645B6F">
        <w:rPr>
          <w:rFonts w:eastAsia="Times New Roman" w:cstheme="minorHAnsi"/>
          <w:color w:val="4A4A4A"/>
          <w:sz w:val="21"/>
          <w:szCs w:val="21"/>
          <w:lang w:eastAsia="en-GB"/>
        </w:rPr>
        <w:t>. These surveys are also regularly conducted for other purposes</w:t>
      </w:r>
      <w:r w:rsidR="00612D9A">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such as calculating weights for the Consumer Price Index. </w:t>
      </w:r>
      <w:r w:rsidRPr="00645B6F">
        <w:rPr>
          <w:rFonts w:eastAsia="Times New Roman" w:cstheme="minorHAnsi"/>
          <w:color w:val="595959" w:themeColor="text1" w:themeTint="A6"/>
          <w:sz w:val="21"/>
          <w:szCs w:val="21"/>
          <w:lang w:val="en-US" w:eastAsia="en-GB"/>
        </w:rPr>
        <w:t xml:space="preserve">These surveys are </w:t>
      </w:r>
      <w:r w:rsidR="00612D9A">
        <w:rPr>
          <w:rFonts w:eastAsia="Times New Roman" w:cstheme="minorHAnsi"/>
          <w:color w:val="595959" w:themeColor="text1" w:themeTint="A6"/>
          <w:sz w:val="21"/>
          <w:szCs w:val="21"/>
          <w:lang w:val="en-US" w:eastAsia="en-GB"/>
        </w:rPr>
        <w:t xml:space="preserve">typically </w:t>
      </w:r>
      <w:r w:rsidR="00CA3AA1">
        <w:rPr>
          <w:rFonts w:eastAsia="Times New Roman" w:cstheme="minorHAnsi"/>
          <w:color w:val="595959" w:themeColor="text1" w:themeTint="A6"/>
          <w:sz w:val="21"/>
          <w:szCs w:val="21"/>
          <w:lang w:val="en-US" w:eastAsia="en-GB"/>
        </w:rPr>
        <w:t>undertaken</w:t>
      </w:r>
      <w:r w:rsidRPr="00645B6F">
        <w:rPr>
          <w:rFonts w:eastAsia="Times New Roman" w:cstheme="minorHAnsi"/>
          <w:color w:val="595959" w:themeColor="text1" w:themeTint="A6"/>
          <w:sz w:val="21"/>
          <w:szCs w:val="21"/>
          <w:lang w:val="en-US" w:eastAsia="en-GB"/>
        </w:rPr>
        <w:t xml:space="preserve"> by </w:t>
      </w:r>
      <w:r w:rsidR="00EE3F9D">
        <w:rPr>
          <w:rFonts w:eastAsia="Times New Roman" w:cstheme="minorHAnsi"/>
          <w:color w:val="595959" w:themeColor="text1" w:themeTint="A6"/>
          <w:sz w:val="21"/>
          <w:szCs w:val="21"/>
          <w:lang w:val="en-US" w:eastAsia="en-GB"/>
        </w:rPr>
        <w:t>National Statistical Offices (</w:t>
      </w:r>
      <w:r w:rsidRPr="00645B6F">
        <w:rPr>
          <w:rFonts w:eastAsia="Times New Roman" w:cstheme="minorHAnsi"/>
          <w:color w:val="595959" w:themeColor="text1" w:themeTint="A6"/>
          <w:sz w:val="21"/>
          <w:szCs w:val="21"/>
          <w:lang w:val="en-US" w:eastAsia="en-GB"/>
        </w:rPr>
        <w:t>NSOs</w:t>
      </w:r>
      <w:r w:rsidR="00EE3F9D">
        <w:rPr>
          <w:rFonts w:eastAsia="Times New Roman" w:cstheme="minorHAnsi"/>
          <w:color w:val="595959" w:themeColor="text1" w:themeTint="A6"/>
          <w:sz w:val="21"/>
          <w:szCs w:val="21"/>
          <w:lang w:val="en-US" w:eastAsia="en-GB"/>
        </w:rPr>
        <w:t>)</w:t>
      </w:r>
      <w:r w:rsidRPr="00645B6F">
        <w:rPr>
          <w:rFonts w:eastAsia="Times New Roman" w:cstheme="minorHAnsi"/>
          <w:color w:val="595959" w:themeColor="text1" w:themeTint="A6"/>
          <w:sz w:val="21"/>
          <w:szCs w:val="21"/>
          <w:lang w:val="en-US" w:eastAsia="en-GB"/>
        </w:rPr>
        <w:t>.</w:t>
      </w:r>
      <w:r w:rsidRPr="00645B6F">
        <w:rPr>
          <w:rFonts w:eastAsia="Times New Roman" w:cstheme="minorHAnsi"/>
          <w:color w:val="595959" w:themeColor="text1" w:themeTint="A6"/>
          <w:sz w:val="21"/>
          <w:szCs w:val="21"/>
          <w:lang w:eastAsia="en-GB"/>
        </w:rPr>
        <w:t xml:space="preserve"> Thus, monitoring the proportion of the population with large household expenditures on health as a share of total household consumption or income does not </w:t>
      </w:r>
      <w:r w:rsidRPr="00645B6F">
        <w:rPr>
          <w:rFonts w:eastAsia="Times New Roman" w:cstheme="minorHAnsi"/>
          <w:color w:val="595959" w:themeColor="text1" w:themeTint="A6"/>
          <w:sz w:val="21"/>
          <w:szCs w:val="21"/>
          <w:lang w:eastAsia="en-GB"/>
        </w:rPr>
        <w:lastRenderedPageBreak/>
        <w:t>add any ad</w:t>
      </w:r>
      <w:r w:rsidRPr="00645B6F">
        <w:rPr>
          <w:rFonts w:eastAsia="Times New Roman" w:cstheme="minorHAnsi"/>
          <w:color w:val="4A4A4A"/>
          <w:sz w:val="21"/>
          <w:szCs w:val="21"/>
          <w:lang w:eastAsia="en-GB"/>
        </w:rPr>
        <w:t xml:space="preserve">ditional data collection burden so long as the health expenditure component of the household non-food consumption data can be identified. While this is an advantage, indicator 3.8.2 suffers from the same challenges of timeliness, frequency, data quality and comparability of surveys </w:t>
      </w:r>
      <w:r w:rsidR="00E952F1">
        <w:rPr>
          <w:rFonts w:eastAsia="Times New Roman" w:cstheme="minorHAnsi"/>
          <w:color w:val="4A4A4A"/>
          <w:sz w:val="21"/>
          <w:szCs w:val="21"/>
          <w:lang w:eastAsia="en-GB"/>
        </w:rPr>
        <w:t>as</w:t>
      </w:r>
      <w:r w:rsidR="00E952F1" w:rsidRPr="00645B6F">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SDG indicator 1.1.1. However, indicator 3.8.2 has its own conceptual and empirical limitations.</w:t>
      </w:r>
    </w:p>
    <w:p w14:paraId="44F91D7A" w14:textId="77777777" w:rsidR="00B55A32" w:rsidRPr="00645B6F" w:rsidRDefault="00B55A32" w:rsidP="00B55A32">
      <w:pPr>
        <w:shd w:val="clear" w:color="auto" w:fill="FFFFFF"/>
        <w:spacing w:after="0"/>
        <w:rPr>
          <w:rFonts w:eastAsia="Times New Roman" w:cstheme="minorHAnsi"/>
          <w:color w:val="4A4A4A"/>
          <w:sz w:val="21"/>
          <w:szCs w:val="21"/>
          <w:lang w:eastAsia="en-GB"/>
        </w:rPr>
      </w:pPr>
    </w:p>
    <w:p w14:paraId="4BDED981" w14:textId="3C69E561"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First,</w:t>
      </w:r>
      <w:r w:rsidR="005A6812">
        <w:rPr>
          <w:rFonts w:eastAsia="Times New Roman" w:cstheme="minorHAnsi"/>
          <w:color w:val="4A4A4A"/>
          <w:sz w:val="21"/>
          <w:szCs w:val="21"/>
          <w:lang w:eastAsia="en-GB"/>
        </w:rPr>
        <w:t xml:space="preserve"> challenges to track</w:t>
      </w:r>
      <w:r w:rsidR="007109EF">
        <w:rPr>
          <w:rFonts w:eastAsia="Times New Roman" w:cstheme="minorHAnsi"/>
          <w:color w:val="4A4A4A"/>
          <w:sz w:val="21"/>
          <w:szCs w:val="21"/>
          <w:lang w:eastAsia="en-GB"/>
        </w:rPr>
        <w:t xml:space="preserve"> out-of-pocket health spending (numerator): </w:t>
      </w:r>
      <w:r w:rsidRPr="00645B6F">
        <w:rPr>
          <w:rFonts w:eastAsia="Times New Roman" w:cstheme="minorHAnsi"/>
          <w:color w:val="4A4A4A"/>
          <w:sz w:val="21"/>
          <w:szCs w:val="21"/>
          <w:lang w:eastAsia="en-GB"/>
        </w:rPr>
        <w:t xml:space="preserve">indicator 3.8.2 attempts to identify financial hardship that individuals face when using their income, savings or taking loans to pay for health care. However, most household surveys fail to identify the source of funding used by a household </w:t>
      </w:r>
      <w:r w:rsidR="00E952F1">
        <w:rPr>
          <w:rFonts w:eastAsia="Times New Roman" w:cstheme="minorHAnsi"/>
          <w:color w:val="4A4A4A"/>
          <w:sz w:val="21"/>
          <w:szCs w:val="21"/>
          <w:lang w:eastAsia="en-GB"/>
        </w:rPr>
        <w:t>that</w:t>
      </w:r>
      <w:r w:rsidR="00E952F1" w:rsidRPr="00645B6F">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is reporting health expenditur</w:t>
      </w:r>
      <w:r w:rsidRPr="00645B6F">
        <w:rPr>
          <w:rFonts w:eastAsia="Times New Roman" w:cstheme="minorHAnsi"/>
          <w:color w:val="595959" w:themeColor="text1" w:themeTint="A6"/>
          <w:sz w:val="21"/>
          <w:szCs w:val="21"/>
          <w:lang w:eastAsia="en-GB"/>
        </w:rPr>
        <w:t>e. In countries where there is no retrospective reimbursement of household spending on health</w:t>
      </w:r>
      <w:r w:rsidR="00E952F1">
        <w:rPr>
          <w:rFonts w:eastAsia="Times New Roman" w:cstheme="minorHAnsi"/>
          <w:color w:val="595959" w:themeColor="text1" w:themeTint="A6"/>
          <w:sz w:val="21"/>
          <w:szCs w:val="21"/>
          <w:lang w:eastAsia="en-GB"/>
        </w:rPr>
        <w:t>,</w:t>
      </w:r>
      <w:r w:rsidRPr="00645B6F">
        <w:rPr>
          <w:rFonts w:eastAsia="Times New Roman" w:cstheme="minorHAnsi"/>
          <w:color w:val="595959" w:themeColor="text1" w:themeTint="A6"/>
          <w:sz w:val="21"/>
          <w:szCs w:val="21"/>
          <w:lang w:eastAsia="en-GB"/>
        </w:rPr>
        <w:t xml:space="preserve"> </w:t>
      </w:r>
      <w:r w:rsidRPr="00645B6F">
        <w:rPr>
          <w:rFonts w:eastAsia="Times New Roman" w:cstheme="minorHAnsi"/>
          <w:color w:val="4A4A4A"/>
          <w:sz w:val="21"/>
          <w:szCs w:val="21"/>
          <w:lang w:eastAsia="en-GB"/>
        </w:rPr>
        <w:t xml:space="preserve">this is not a problem. If a household does report any expenditure on health, it would be because it </w:t>
      </w:r>
      <w:r w:rsidR="00CA3AA1">
        <w:rPr>
          <w:rFonts w:eastAsia="Times New Roman" w:cstheme="minorHAnsi"/>
          <w:color w:val="4A4A4A"/>
          <w:sz w:val="21"/>
          <w:szCs w:val="21"/>
          <w:lang w:eastAsia="en-GB"/>
        </w:rPr>
        <w:t>will not</w:t>
      </w:r>
      <w:r w:rsidRPr="00645B6F">
        <w:rPr>
          <w:rFonts w:eastAsia="Times New Roman" w:cstheme="minorHAnsi"/>
          <w:color w:val="4A4A4A"/>
          <w:sz w:val="21"/>
          <w:szCs w:val="21"/>
          <w:lang w:eastAsia="en-GB"/>
        </w:rPr>
        <w:t xml:space="preserve"> be reimbursed by any third-party payer. It is</w:t>
      </w:r>
      <w:r w:rsidR="006E76CF">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therefore</w:t>
      </w:r>
      <w:r w:rsidR="006E76CF">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consistent with the definition given for direct health care payments (the numerator). For those countries</w:t>
      </w:r>
      <w:r w:rsidR="00E952F1">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on the other hand</w:t>
      </w:r>
      <w:r w:rsidR="00E952F1">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where there is retrospective reimbursement – for example, via a contributory health insurance scheme - the amount reported by a household on health expenditures might be totally or partially reimbursed at some later point, perhaps outside the recall period of the household survey. </w:t>
      </w:r>
    </w:p>
    <w:p w14:paraId="3F4AF757" w14:textId="77777777" w:rsidR="00B55A32" w:rsidRPr="00645B6F" w:rsidRDefault="00B55A32" w:rsidP="00B55A32">
      <w:pPr>
        <w:shd w:val="clear" w:color="auto" w:fill="FFFFFF"/>
        <w:spacing w:after="0"/>
        <w:rPr>
          <w:rFonts w:eastAsia="Times New Roman" w:cstheme="minorHAnsi"/>
          <w:color w:val="4A4A4A"/>
          <w:sz w:val="21"/>
          <w:szCs w:val="21"/>
          <w:lang w:eastAsia="en-GB"/>
        </w:rPr>
      </w:pPr>
    </w:p>
    <w:p w14:paraId="39FF9767" w14:textId="7B4E88FC"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Clearly, more work is needed to ensure that survey instruments gather information on the sources of funding used by the household to pay for health care or </w:t>
      </w:r>
      <w:r w:rsidR="00B53D65">
        <w:rPr>
          <w:rFonts w:eastAsia="Times New Roman" w:cstheme="minorHAnsi"/>
          <w:color w:val="4A4A4A"/>
          <w:sz w:val="21"/>
          <w:szCs w:val="21"/>
          <w:lang w:eastAsia="en-GB"/>
        </w:rPr>
        <w:t xml:space="preserve">that </w:t>
      </w:r>
      <w:r w:rsidRPr="00645B6F">
        <w:rPr>
          <w:rFonts w:eastAsia="Times New Roman" w:cstheme="minorHAnsi"/>
          <w:color w:val="4A4A4A"/>
          <w:sz w:val="21"/>
          <w:szCs w:val="21"/>
          <w:lang w:eastAsia="en-GB"/>
        </w:rPr>
        <w:t>the household survey instrument always specifies that health expenditures should be net of any reimbursement.</w:t>
      </w:r>
      <w:r w:rsidR="0039035F">
        <w:rPr>
          <w:rFonts w:eastAsia="Times New Roman" w:cstheme="minorHAnsi"/>
          <w:color w:val="4A4A4A"/>
          <w:sz w:val="21"/>
          <w:szCs w:val="21"/>
          <w:lang w:eastAsia="en-GB"/>
        </w:rPr>
        <w:t xml:space="preserve"> </w:t>
      </w:r>
      <w:r w:rsidR="00E952F1">
        <w:rPr>
          <w:rFonts w:eastAsia="Times New Roman" w:cstheme="minorHAnsi"/>
          <w:color w:val="4A4A4A"/>
          <w:sz w:val="21"/>
          <w:szCs w:val="21"/>
          <w:lang w:eastAsia="en-GB"/>
        </w:rPr>
        <w:t xml:space="preserve">The survey </w:t>
      </w:r>
      <w:r w:rsidR="0039035F">
        <w:rPr>
          <w:rFonts w:eastAsia="Times New Roman" w:cstheme="minorHAnsi"/>
          <w:color w:val="4A4A4A"/>
          <w:sz w:val="21"/>
          <w:szCs w:val="21"/>
          <w:lang w:eastAsia="en-GB"/>
        </w:rPr>
        <w:t xml:space="preserve">instrument and sample design should also be carefully reviewed </w:t>
      </w:r>
      <w:r w:rsidR="00F57BE7">
        <w:rPr>
          <w:rFonts w:eastAsia="Times New Roman" w:cstheme="minorHAnsi"/>
          <w:color w:val="4A4A4A"/>
          <w:sz w:val="21"/>
          <w:szCs w:val="21"/>
          <w:lang w:eastAsia="en-GB"/>
        </w:rPr>
        <w:t>to minimize</w:t>
      </w:r>
      <w:r w:rsidRPr="00645B6F">
        <w:rPr>
          <w:rFonts w:eastAsia="Times New Roman" w:cstheme="minorHAnsi"/>
          <w:color w:val="4A4A4A"/>
          <w:sz w:val="21"/>
          <w:szCs w:val="21"/>
          <w:lang w:eastAsia="en-GB"/>
        </w:rPr>
        <w:t xml:space="preserve"> </w:t>
      </w:r>
      <w:r w:rsidR="0039035F" w:rsidRPr="00645B6F">
        <w:rPr>
          <w:rFonts w:eastAsia="Times New Roman" w:cstheme="minorHAnsi"/>
          <w:color w:val="4A4A4A"/>
          <w:sz w:val="21"/>
          <w:szCs w:val="21"/>
          <w:lang w:eastAsia="en-GB"/>
        </w:rPr>
        <w:t>measurement errors due to both non-sampling errors such as very short</w:t>
      </w:r>
      <w:r w:rsidR="00F57BE7">
        <w:rPr>
          <w:rFonts w:eastAsia="Times New Roman" w:cstheme="minorHAnsi"/>
          <w:color w:val="4A4A4A"/>
          <w:sz w:val="21"/>
          <w:szCs w:val="21"/>
          <w:lang w:eastAsia="en-GB"/>
        </w:rPr>
        <w:t xml:space="preserve"> or very long</w:t>
      </w:r>
      <w:r w:rsidR="0039035F" w:rsidRPr="00645B6F">
        <w:rPr>
          <w:rFonts w:eastAsia="Times New Roman" w:cstheme="minorHAnsi"/>
          <w:color w:val="4A4A4A"/>
          <w:sz w:val="21"/>
          <w:szCs w:val="21"/>
          <w:lang w:eastAsia="en-GB"/>
        </w:rPr>
        <w:t xml:space="preserve"> recall period</w:t>
      </w:r>
      <w:r w:rsidR="00F57BE7">
        <w:rPr>
          <w:rFonts w:eastAsia="Times New Roman" w:cstheme="minorHAnsi"/>
          <w:color w:val="4A4A4A"/>
          <w:sz w:val="21"/>
          <w:szCs w:val="21"/>
          <w:lang w:eastAsia="en-GB"/>
        </w:rPr>
        <w:t>s</w:t>
      </w:r>
      <w:r w:rsidR="0039035F" w:rsidRPr="00645B6F">
        <w:rPr>
          <w:rFonts w:eastAsia="Times New Roman" w:cstheme="minorHAnsi"/>
          <w:color w:val="4A4A4A"/>
          <w:sz w:val="21"/>
          <w:szCs w:val="21"/>
          <w:lang w:eastAsia="en-GB"/>
        </w:rPr>
        <w:t xml:space="preserve"> </w:t>
      </w:r>
      <w:r w:rsidR="00F57BE7">
        <w:rPr>
          <w:rFonts w:eastAsia="Times New Roman" w:cstheme="minorHAnsi"/>
          <w:color w:val="4A4A4A"/>
          <w:sz w:val="21"/>
          <w:szCs w:val="21"/>
          <w:lang w:eastAsia="en-GB"/>
        </w:rPr>
        <w:t>precluding proper</w:t>
      </w:r>
      <w:r w:rsidR="0039035F" w:rsidRPr="00645B6F">
        <w:rPr>
          <w:rFonts w:eastAsia="Times New Roman" w:cstheme="minorHAnsi"/>
          <w:color w:val="4A4A4A"/>
          <w:sz w:val="21"/>
          <w:szCs w:val="21"/>
          <w:lang w:eastAsia="en-GB"/>
        </w:rPr>
        <w:t xml:space="preserve"> </w:t>
      </w:r>
      <w:r w:rsidR="00C04482">
        <w:rPr>
          <w:rFonts w:eastAsia="Times New Roman" w:cstheme="minorHAnsi"/>
          <w:color w:val="4A4A4A"/>
          <w:sz w:val="21"/>
          <w:szCs w:val="21"/>
          <w:lang w:eastAsia="en-GB"/>
        </w:rPr>
        <w:t xml:space="preserve">data </w:t>
      </w:r>
      <w:r w:rsidR="0039035F" w:rsidRPr="00645B6F">
        <w:rPr>
          <w:rFonts w:eastAsia="Times New Roman" w:cstheme="minorHAnsi"/>
          <w:color w:val="4A4A4A"/>
          <w:sz w:val="21"/>
          <w:szCs w:val="21"/>
          <w:lang w:eastAsia="en-GB"/>
        </w:rPr>
        <w:t>collection of</w:t>
      </w:r>
      <w:r w:rsidR="00C04482">
        <w:rPr>
          <w:rFonts w:eastAsia="Times New Roman" w:cstheme="minorHAnsi"/>
          <w:color w:val="4A4A4A"/>
          <w:sz w:val="21"/>
          <w:szCs w:val="21"/>
          <w:lang w:eastAsia="en-GB"/>
        </w:rPr>
        <w:t xml:space="preserve"> all health care components (</w:t>
      </w:r>
      <w:r w:rsidR="007356E0">
        <w:rPr>
          <w:rFonts w:eastAsia="Times New Roman" w:cstheme="minorHAnsi"/>
          <w:color w:val="4A4A4A"/>
          <w:sz w:val="21"/>
          <w:szCs w:val="21"/>
          <w:lang w:eastAsia="en-GB"/>
        </w:rPr>
        <w:t>overnight stay, medicines, etc.)</w:t>
      </w:r>
      <w:r w:rsidR="0039035F" w:rsidRPr="00645B6F">
        <w:rPr>
          <w:rFonts w:eastAsia="Times New Roman" w:cstheme="minorHAnsi"/>
          <w:color w:val="4A4A4A"/>
          <w:sz w:val="21"/>
          <w:szCs w:val="21"/>
          <w:lang w:eastAsia="en-GB"/>
        </w:rPr>
        <w:t>; or sampling errors such as over-sample of areas with a particularly low burden of disease.</w:t>
      </w:r>
    </w:p>
    <w:p w14:paraId="1D60193F" w14:textId="77777777" w:rsidR="00B55A32" w:rsidRPr="00645B6F" w:rsidRDefault="00B55A32" w:rsidP="00B55A32">
      <w:pPr>
        <w:shd w:val="clear" w:color="auto" w:fill="FFFFFF"/>
        <w:spacing w:after="0"/>
        <w:rPr>
          <w:rFonts w:eastAsia="Times New Roman" w:cstheme="minorHAnsi"/>
          <w:color w:val="4A4A4A"/>
          <w:sz w:val="21"/>
          <w:szCs w:val="21"/>
          <w:lang w:eastAsia="en-GB"/>
        </w:rPr>
      </w:pPr>
    </w:p>
    <w:p w14:paraId="0AB53CAA" w14:textId="54AAFC3B"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Second,</w:t>
      </w:r>
      <w:r w:rsidR="007109EF">
        <w:rPr>
          <w:rFonts w:eastAsia="Times New Roman" w:cstheme="minorHAnsi"/>
          <w:color w:val="4A4A4A"/>
          <w:sz w:val="21"/>
          <w:szCs w:val="21"/>
          <w:lang w:eastAsia="en-GB"/>
        </w:rPr>
        <w:t xml:space="preserve"> </w:t>
      </w:r>
      <w:r w:rsidR="005F2D6E">
        <w:rPr>
          <w:rFonts w:eastAsia="Times New Roman" w:cstheme="minorHAnsi"/>
          <w:color w:val="4A4A4A"/>
          <w:sz w:val="21"/>
          <w:szCs w:val="21"/>
          <w:lang w:eastAsia="en-GB"/>
        </w:rPr>
        <w:t xml:space="preserve">the </w:t>
      </w:r>
      <w:r w:rsidR="007109EF">
        <w:rPr>
          <w:rFonts w:eastAsia="Times New Roman" w:cstheme="minorHAnsi"/>
          <w:color w:val="4A4A4A"/>
          <w:sz w:val="21"/>
          <w:szCs w:val="21"/>
          <w:lang w:eastAsia="en-GB"/>
        </w:rPr>
        <w:t>sensitivity of the indicator to the choice of the welfare metric</w:t>
      </w:r>
      <w:r w:rsidR="00245958">
        <w:rPr>
          <w:rFonts w:eastAsia="Times New Roman" w:cstheme="minorHAnsi"/>
          <w:color w:val="4A4A4A"/>
          <w:sz w:val="21"/>
          <w:szCs w:val="21"/>
          <w:lang w:eastAsia="en-GB"/>
        </w:rPr>
        <w:t xml:space="preserve"> for disaggregation</w:t>
      </w:r>
      <w:r w:rsidR="007109EF">
        <w:rPr>
          <w:rFonts w:eastAsia="Times New Roman" w:cstheme="minorHAnsi"/>
          <w:color w:val="4A4A4A"/>
          <w:sz w:val="21"/>
          <w:szCs w:val="21"/>
          <w:lang w:eastAsia="en-GB"/>
        </w:rPr>
        <w:t xml:space="preserve"> (consumption or income in the denominator):</w:t>
      </w:r>
      <w:r w:rsidRPr="00645B6F">
        <w:rPr>
          <w:rFonts w:eastAsia="Times New Roman" w:cstheme="minorHAnsi"/>
          <w:color w:val="4A4A4A"/>
          <w:sz w:val="21"/>
          <w:szCs w:val="21"/>
          <w:lang w:eastAsia="en-GB"/>
        </w:rPr>
        <w:t xml:space="preserve"> in the current definition of indicator 3.8.2</w:t>
      </w:r>
      <w:r w:rsidR="005F2D6E">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large health expenditures can be identified by comparing how much household spend on health to either household income or total household expenditure. Expenditure is the recommended measure of </w:t>
      </w:r>
      <w:r w:rsidR="005F2D6E">
        <w:rPr>
          <w:rFonts w:eastAsia="Times New Roman" w:cstheme="minorHAnsi"/>
          <w:color w:val="4A4A4A"/>
          <w:sz w:val="21"/>
          <w:szCs w:val="21"/>
          <w:lang w:eastAsia="en-GB"/>
        </w:rPr>
        <w:t xml:space="preserve">a </w:t>
      </w:r>
      <w:r w:rsidRPr="00645B6F">
        <w:rPr>
          <w:rFonts w:eastAsia="Times New Roman" w:cstheme="minorHAnsi"/>
          <w:color w:val="4A4A4A"/>
          <w:sz w:val="21"/>
          <w:szCs w:val="21"/>
          <w:lang w:eastAsia="en-GB"/>
        </w:rPr>
        <w:t>household’s resources (see concept section)</w:t>
      </w:r>
      <w:r w:rsidR="005F2D6E">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but recent empirical work has demonstrated that while statistics on 3.8.2 at </w:t>
      </w:r>
      <w:r w:rsidR="005F2D6E">
        <w:rPr>
          <w:rFonts w:eastAsia="Times New Roman" w:cstheme="minorHAnsi"/>
          <w:color w:val="4A4A4A"/>
          <w:sz w:val="21"/>
          <w:szCs w:val="21"/>
          <w:lang w:eastAsia="en-GB"/>
        </w:rPr>
        <w:t xml:space="preserve">the </w:t>
      </w:r>
      <w:r w:rsidRPr="00645B6F">
        <w:rPr>
          <w:rFonts w:eastAsia="Times New Roman" w:cstheme="minorHAnsi"/>
          <w:color w:val="4A4A4A"/>
          <w:sz w:val="21"/>
          <w:szCs w:val="21"/>
          <w:lang w:eastAsia="en-GB"/>
        </w:rPr>
        <w:t xml:space="preserve">country level are fairly robust to such choice, their disaggregation by income group is pretty sensitive to it. </w:t>
      </w:r>
      <w:r w:rsidR="005F2D6E">
        <w:rPr>
          <w:rFonts w:eastAsia="Times New Roman" w:cstheme="minorHAnsi"/>
          <w:color w:val="4A4A4A"/>
          <w:sz w:val="21"/>
          <w:szCs w:val="21"/>
          <w:lang w:eastAsia="en-GB"/>
        </w:rPr>
        <w:t>Income-based</w:t>
      </w:r>
      <w:r w:rsidRPr="00645B6F">
        <w:rPr>
          <w:rFonts w:eastAsia="Times New Roman" w:cstheme="minorHAnsi"/>
          <w:color w:val="4A4A4A"/>
          <w:sz w:val="21"/>
          <w:szCs w:val="21"/>
          <w:lang w:eastAsia="en-GB"/>
        </w:rPr>
        <w:t xml:space="preserve"> measures show a greater concentration of the proportion of the population with large household expenditure on health among the poor than </w:t>
      </w:r>
      <w:r w:rsidR="00B53D65" w:rsidRPr="00645B6F">
        <w:rPr>
          <w:rFonts w:eastAsia="Times New Roman" w:cstheme="minorHAnsi"/>
          <w:color w:val="4A4A4A"/>
          <w:sz w:val="21"/>
          <w:szCs w:val="21"/>
          <w:lang w:eastAsia="en-GB"/>
        </w:rPr>
        <w:t>expenditure</w:t>
      </w:r>
      <w:r w:rsidR="00B53D65">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based measures (see </w:t>
      </w:r>
      <w:r w:rsidR="00B53D65">
        <w:rPr>
          <w:rFonts w:eastAsia="Times New Roman" w:cstheme="minorHAnsi"/>
          <w:color w:val="4A4A4A"/>
          <w:sz w:val="21"/>
          <w:szCs w:val="21"/>
          <w:lang w:eastAsia="en-GB"/>
        </w:rPr>
        <w:t>C</w:t>
      </w:r>
      <w:r w:rsidR="00B53D65" w:rsidRPr="00645B6F">
        <w:rPr>
          <w:rFonts w:eastAsia="Times New Roman" w:cstheme="minorHAnsi"/>
          <w:color w:val="4A4A4A"/>
          <w:sz w:val="21"/>
          <w:szCs w:val="21"/>
          <w:lang w:eastAsia="en-GB"/>
        </w:rPr>
        <w:t xml:space="preserve">hapter </w:t>
      </w:r>
      <w:r w:rsidRPr="00645B6F">
        <w:rPr>
          <w:rFonts w:eastAsia="Times New Roman" w:cstheme="minorHAnsi"/>
          <w:color w:val="4A4A4A"/>
          <w:sz w:val="21"/>
          <w:szCs w:val="21"/>
          <w:lang w:eastAsia="en-GB"/>
        </w:rPr>
        <w:t>2 in the WHO and World Bank 2017 report on tracking universal health coverage as well as Wagstaff et al</w:t>
      </w:r>
      <w:r w:rsidR="00B53D65">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2018).</w:t>
      </w:r>
    </w:p>
    <w:p w14:paraId="65E4F0C4" w14:textId="77777777" w:rsidR="00B55A32" w:rsidRPr="00645B6F" w:rsidRDefault="00B55A32" w:rsidP="00B55A32">
      <w:pPr>
        <w:shd w:val="clear" w:color="auto" w:fill="FFFFFF"/>
        <w:spacing w:after="0"/>
        <w:rPr>
          <w:rFonts w:eastAsia="Times New Roman" w:cstheme="minorHAnsi"/>
          <w:color w:val="4A4A4A"/>
          <w:sz w:val="21"/>
          <w:szCs w:val="21"/>
          <w:lang w:eastAsia="en-GB"/>
        </w:rPr>
      </w:pPr>
    </w:p>
    <w:p w14:paraId="1AF57316" w14:textId="3E9B5600"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Third,</w:t>
      </w:r>
      <w:r w:rsidR="00245958">
        <w:rPr>
          <w:rFonts w:eastAsia="Times New Roman" w:cstheme="minorHAnsi"/>
          <w:color w:val="4A4A4A"/>
          <w:sz w:val="21"/>
          <w:szCs w:val="21"/>
          <w:lang w:eastAsia="en-GB"/>
        </w:rPr>
        <w:t xml:space="preserve"> cut-off values to identify large </w:t>
      </w:r>
      <w:r w:rsidR="004479C8">
        <w:rPr>
          <w:rFonts w:eastAsia="Times New Roman" w:cstheme="minorHAnsi"/>
          <w:color w:val="4A4A4A"/>
          <w:sz w:val="21"/>
          <w:szCs w:val="21"/>
          <w:lang w:eastAsia="en-GB"/>
        </w:rPr>
        <w:t xml:space="preserve">health expenditures: </w:t>
      </w:r>
      <w:r w:rsidRPr="00645B6F">
        <w:rPr>
          <w:rFonts w:eastAsia="Times New Roman" w:cstheme="minorHAnsi"/>
          <w:color w:val="4A4A4A"/>
          <w:sz w:val="21"/>
          <w:szCs w:val="21"/>
          <w:lang w:eastAsia="en-GB"/>
        </w:rPr>
        <w:t xml:space="preserve">indicator 3.8.2. relies on a single cut-off point to identify what constitutes ‘large health expenditure as a share of total household expenditure or income’. People just below such threshold are not taken into account, which is always the problem with measures based on cut-offs. This is simply avoided by plotting the cumulative distribution function of the health expenditure ratio behind 3.8.2. By doing so, it is possible to identify for any threshold the proportion of the population that is devoting any share of its household’s budget to health. </w:t>
      </w:r>
    </w:p>
    <w:p w14:paraId="554CCB56" w14:textId="21A5CA76" w:rsidR="00B55A32" w:rsidRDefault="00B55A32" w:rsidP="00B55A32">
      <w:pPr>
        <w:shd w:val="clear" w:color="auto" w:fill="FFFFFF"/>
        <w:spacing w:after="0"/>
        <w:rPr>
          <w:rFonts w:eastAsia="Times New Roman" w:cstheme="minorHAnsi"/>
          <w:color w:val="4A4A4A"/>
          <w:sz w:val="21"/>
          <w:szCs w:val="21"/>
          <w:lang w:eastAsia="en-GB"/>
        </w:rPr>
      </w:pPr>
    </w:p>
    <w:p w14:paraId="11BFE220" w14:textId="602580E1" w:rsidR="007C0E61" w:rsidRPr="00645B6F" w:rsidRDefault="00BB179E" w:rsidP="007C0E61">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Fourth, t</w:t>
      </w:r>
      <w:r w:rsidRPr="00645B6F">
        <w:rPr>
          <w:rFonts w:eastAsia="Times New Roman" w:cstheme="minorHAnsi"/>
          <w:color w:val="4A4A4A"/>
          <w:sz w:val="21"/>
          <w:szCs w:val="21"/>
          <w:lang w:eastAsia="en-GB"/>
        </w:rPr>
        <w:t>here are other indicators used to measure financial hardship</w:t>
      </w:r>
      <w:r>
        <w:rPr>
          <w:rFonts w:eastAsia="Times New Roman" w:cstheme="minorHAnsi"/>
          <w:color w:val="4A4A4A"/>
          <w:sz w:val="21"/>
          <w:szCs w:val="21"/>
          <w:lang w:eastAsia="en-GB"/>
        </w:rPr>
        <w:t>, all based on the same data sources</w:t>
      </w:r>
      <w:r w:rsidR="004132E6">
        <w:rPr>
          <w:rFonts w:eastAsia="Times New Roman" w:cstheme="minorHAnsi"/>
          <w:color w:val="4A4A4A"/>
          <w:sz w:val="21"/>
          <w:szCs w:val="21"/>
          <w:lang w:eastAsia="en-GB"/>
        </w:rPr>
        <w:t>.</w:t>
      </w:r>
      <w:r w:rsidR="002A5827">
        <w:rPr>
          <w:rFonts w:eastAsia="Times New Roman" w:cstheme="minorHAnsi"/>
          <w:color w:val="4A4A4A"/>
          <w:sz w:val="21"/>
          <w:szCs w:val="21"/>
          <w:lang w:eastAsia="en-GB"/>
        </w:rPr>
        <w:t xml:space="preserve"> The current definition of</w:t>
      </w:r>
      <w:r w:rsidR="002A5827" w:rsidRPr="00610278">
        <w:rPr>
          <w:rFonts w:eastAsia="Times New Roman" w:cstheme="minorHAnsi"/>
          <w:color w:val="4A4A4A"/>
          <w:sz w:val="21"/>
          <w:szCs w:val="21"/>
          <w:lang w:eastAsia="en-GB"/>
        </w:rPr>
        <w:t xml:space="preserve"> SDG indicator 3.8.2 is based on</w:t>
      </w:r>
      <w:r w:rsidR="002A5827">
        <w:rPr>
          <w:rFonts w:ascii="DINPro" w:eastAsia="DINPro" w:cs="DINPro"/>
          <w:sz w:val="18"/>
          <w:szCs w:val="18"/>
        </w:rPr>
        <w:t xml:space="preserve"> </w:t>
      </w:r>
      <w:r w:rsidR="002A5827" w:rsidRPr="00645B6F">
        <w:rPr>
          <w:rFonts w:eastAsia="TT15Ct00" w:cstheme="minorHAnsi"/>
          <w:color w:val="4A4A4A"/>
          <w:sz w:val="21"/>
          <w:szCs w:val="21"/>
          <w:lang w:eastAsia="en-GB"/>
        </w:rPr>
        <w:t xml:space="preserve">methodologies dating back to the 1990s </w:t>
      </w:r>
      <w:r w:rsidR="002A5827" w:rsidRPr="00645B6F">
        <w:rPr>
          <w:rFonts w:eastAsia="Times New Roman" w:cstheme="minorHAnsi"/>
          <w:color w:val="4A4A4A"/>
          <w:sz w:val="21"/>
          <w:szCs w:val="21"/>
          <w:lang w:eastAsia="en-GB"/>
        </w:rPr>
        <w:t>developed in collaboration with academics at the World Bank and the World Health Organization</w:t>
      </w:r>
      <w:r w:rsidR="00A671C7">
        <w:rPr>
          <w:rFonts w:eastAsia="Times New Roman" w:cstheme="minorHAnsi"/>
          <w:color w:val="4A4A4A"/>
          <w:sz w:val="21"/>
          <w:szCs w:val="21"/>
          <w:lang w:eastAsia="en-GB"/>
        </w:rPr>
        <w:t>. It</w:t>
      </w:r>
      <w:r w:rsidR="002A5827">
        <w:rPr>
          <w:rFonts w:eastAsia="Times New Roman" w:cstheme="minorHAnsi"/>
          <w:color w:val="4A4A4A"/>
          <w:sz w:val="21"/>
          <w:szCs w:val="21"/>
          <w:lang w:eastAsia="en-GB"/>
        </w:rPr>
        <w:t xml:space="preserve"> corresponds to an indicator of the incidence of catastrophic health spending using a budget share approach (see references</w:t>
      </w:r>
      <w:r w:rsidR="00B253C0">
        <w:rPr>
          <w:rFonts w:eastAsia="Times New Roman" w:cstheme="minorHAnsi"/>
          <w:color w:val="4A4A4A"/>
          <w:sz w:val="21"/>
          <w:szCs w:val="21"/>
          <w:lang w:eastAsia="en-GB"/>
        </w:rPr>
        <w:t>).</w:t>
      </w:r>
      <w:r w:rsidR="002A5827">
        <w:rPr>
          <w:rFonts w:eastAsia="Times New Roman" w:cstheme="minorHAnsi"/>
          <w:color w:val="4A4A4A"/>
          <w:sz w:val="21"/>
          <w:szCs w:val="21"/>
          <w:lang w:eastAsia="en-GB"/>
        </w:rPr>
        <w:t xml:space="preserve"> </w:t>
      </w:r>
      <w:r w:rsidR="00B253C0">
        <w:rPr>
          <w:rFonts w:eastAsia="Times New Roman" w:cstheme="minorHAnsi"/>
          <w:color w:val="4A4A4A"/>
          <w:sz w:val="21"/>
          <w:szCs w:val="21"/>
          <w:lang w:eastAsia="en-GB"/>
        </w:rPr>
        <w:t>I</w:t>
      </w:r>
      <w:r w:rsidRPr="007C0E61">
        <w:rPr>
          <w:rFonts w:eastAsia="Times New Roman" w:cstheme="minorHAnsi"/>
          <w:color w:val="4A4A4A"/>
          <w:sz w:val="21"/>
          <w:szCs w:val="21"/>
          <w:lang w:eastAsia="en-GB"/>
        </w:rPr>
        <w:t xml:space="preserve">n </w:t>
      </w:r>
      <w:r w:rsidRPr="00D35867">
        <w:rPr>
          <w:color w:val="4A4A4A"/>
          <w:sz w:val="21"/>
        </w:rPr>
        <w:t xml:space="preserve">addition to </w:t>
      </w:r>
      <w:r w:rsidR="00A671C7" w:rsidRPr="00610278">
        <w:rPr>
          <w:rFonts w:eastAsia="Times New Roman" w:cstheme="minorHAnsi"/>
          <w:color w:val="4A4A4A"/>
          <w:sz w:val="21"/>
          <w:szCs w:val="21"/>
          <w:lang w:eastAsia="en-GB"/>
        </w:rPr>
        <w:t>SDG</w:t>
      </w:r>
      <w:r w:rsidR="00A671C7" w:rsidRPr="00D35867">
        <w:rPr>
          <w:color w:val="4A4A4A"/>
          <w:sz w:val="21"/>
        </w:rPr>
        <w:t xml:space="preserve"> </w:t>
      </w:r>
      <w:r w:rsidRPr="00D35867">
        <w:rPr>
          <w:color w:val="4A4A4A"/>
          <w:sz w:val="21"/>
        </w:rPr>
        <w:t>indicator 3.8.2,</w:t>
      </w:r>
      <w:r w:rsidRPr="00645B6F">
        <w:rPr>
          <w:rFonts w:eastAsia="Times New Roman" w:cstheme="minorHAnsi"/>
          <w:color w:val="4A4A4A"/>
          <w:sz w:val="21"/>
          <w:szCs w:val="21"/>
          <w:lang w:eastAsia="en-GB"/>
        </w:rPr>
        <w:t xml:space="preserve"> </w:t>
      </w:r>
      <w:r w:rsidR="00B253C0">
        <w:rPr>
          <w:rFonts w:eastAsia="Times New Roman" w:cstheme="minorHAnsi"/>
          <w:color w:val="4A4A4A"/>
          <w:sz w:val="21"/>
          <w:szCs w:val="21"/>
          <w:lang w:eastAsia="en-GB"/>
        </w:rPr>
        <w:t xml:space="preserve">WHO also </w:t>
      </w:r>
      <w:r w:rsidR="0018119A">
        <w:rPr>
          <w:rFonts w:eastAsia="Times New Roman" w:cstheme="minorHAnsi"/>
          <w:color w:val="4A4A4A"/>
          <w:sz w:val="21"/>
          <w:szCs w:val="21"/>
          <w:lang w:eastAsia="en-GB"/>
        </w:rPr>
        <w:t>defines</w:t>
      </w:r>
      <w:r w:rsidRPr="00645B6F">
        <w:rPr>
          <w:rFonts w:eastAsia="Times New Roman" w:cstheme="minorHAnsi"/>
          <w:color w:val="4A4A4A"/>
          <w:sz w:val="21"/>
          <w:szCs w:val="21"/>
          <w:lang w:eastAsia="en-GB"/>
        </w:rPr>
        <w:t xml:space="preserve"> large health expenditure </w:t>
      </w:r>
      <w:r w:rsidRPr="00645B6F">
        <w:rPr>
          <w:rFonts w:eastAsia="Times New Roman" w:cstheme="minorHAnsi"/>
          <w:color w:val="4A4A4A"/>
          <w:sz w:val="21"/>
          <w:szCs w:val="21"/>
          <w:lang w:eastAsia="en-GB"/>
        </w:rPr>
        <w:lastRenderedPageBreak/>
        <w:t>in relation to non-subsistence spending</w:t>
      </w:r>
      <w:r w:rsidRPr="00645B6F">
        <w:rPr>
          <w:rFonts w:eastAsia="Times New Roman" w:cstheme="minorHAnsi"/>
          <w:color w:val="4A4A4A"/>
          <w:sz w:val="21"/>
          <w:szCs w:val="21"/>
          <w:vertAlign w:val="superscript"/>
          <w:lang w:eastAsia="en-GB"/>
        </w:rPr>
        <w:footnoteReference w:id="8"/>
      </w:r>
      <w:r w:rsidRPr="00645B6F">
        <w:rPr>
          <w:rFonts w:eastAsia="Times New Roman" w:cstheme="minorHAnsi"/>
          <w:color w:val="4A4A4A"/>
          <w:sz w:val="21"/>
          <w:szCs w:val="21"/>
          <w:vertAlign w:val="superscript"/>
          <w:lang w:eastAsia="en-GB"/>
        </w:rPr>
        <w:t>,</w:t>
      </w:r>
      <w:r w:rsidRPr="00645B6F">
        <w:rPr>
          <w:rFonts w:eastAsia="Times New Roman" w:cstheme="minorHAnsi"/>
          <w:color w:val="4A4A4A"/>
          <w:sz w:val="21"/>
          <w:szCs w:val="21"/>
          <w:vertAlign w:val="superscript"/>
          <w:lang w:eastAsia="en-GB"/>
        </w:rPr>
        <w:footnoteReference w:id="9"/>
      </w:r>
      <w:r w:rsidRPr="00645B6F">
        <w:rPr>
          <w:rFonts w:eastAsia="Times New Roman" w:cstheme="minorHAnsi"/>
          <w:color w:val="4A4A4A"/>
          <w:sz w:val="21"/>
          <w:szCs w:val="21"/>
          <w:vertAlign w:val="superscript"/>
          <w:lang w:eastAsia="en-GB"/>
        </w:rPr>
        <w:t>,</w:t>
      </w:r>
      <w:r w:rsidRPr="00645B6F">
        <w:rPr>
          <w:rFonts w:eastAsia="Times New Roman" w:cstheme="minorHAnsi"/>
          <w:color w:val="4A4A4A"/>
          <w:sz w:val="21"/>
          <w:szCs w:val="21"/>
          <w:vertAlign w:val="superscript"/>
          <w:lang w:eastAsia="en-GB"/>
        </w:rPr>
        <w:footnoteReference w:id="10"/>
      </w:r>
      <w:r w:rsidRPr="00645B6F">
        <w:rPr>
          <w:rFonts w:eastAsia="Times New Roman" w:cstheme="minorHAnsi"/>
          <w:color w:val="4A4A4A"/>
          <w:sz w:val="21"/>
          <w:szCs w:val="21"/>
          <w:vertAlign w:val="superscript"/>
          <w:lang w:eastAsia="en-GB"/>
        </w:rPr>
        <w:t>,</w:t>
      </w:r>
      <w:r>
        <w:rPr>
          <w:rFonts w:eastAsia="Times New Roman" w:cstheme="minorHAnsi"/>
          <w:color w:val="4A4A4A"/>
          <w:sz w:val="21"/>
          <w:szCs w:val="21"/>
          <w:lang w:eastAsia="en-GB"/>
        </w:rPr>
        <w:t xml:space="preserve"> and both WHO and the World Bank use indicators of impoverishing health spending </w:t>
      </w:r>
      <w:r w:rsidRPr="00BB179E">
        <w:rPr>
          <w:rFonts w:eastAsia="Times New Roman" w:cstheme="minorHAnsi"/>
          <w:color w:val="4A4A4A"/>
          <w:sz w:val="21"/>
          <w:szCs w:val="21"/>
          <w:lang w:eastAsia="en-GB"/>
        </w:rPr>
        <w:t>to assess to</w:t>
      </w:r>
      <w:r>
        <w:rPr>
          <w:rFonts w:eastAsia="Times New Roman" w:cstheme="minorHAnsi"/>
          <w:color w:val="4A4A4A"/>
          <w:sz w:val="21"/>
          <w:szCs w:val="21"/>
          <w:lang w:eastAsia="en-GB"/>
        </w:rPr>
        <w:t xml:space="preserve"> </w:t>
      </w:r>
      <w:r w:rsidRPr="00BB179E">
        <w:rPr>
          <w:rFonts w:eastAsia="Times New Roman" w:cstheme="minorHAnsi"/>
          <w:color w:val="4A4A4A"/>
          <w:sz w:val="21"/>
          <w:szCs w:val="21"/>
          <w:lang w:eastAsia="en-GB"/>
        </w:rPr>
        <w:t>what extent OOP health spending deters efforts to “End poverty in all its form everywhere” (SDG 1).</w:t>
      </w:r>
      <w:r w:rsidR="007C0E61">
        <w:rPr>
          <w:rFonts w:eastAsia="Times New Roman" w:cstheme="minorHAnsi"/>
          <w:color w:val="4A4A4A"/>
          <w:sz w:val="21"/>
          <w:szCs w:val="21"/>
          <w:lang w:eastAsia="en-GB"/>
        </w:rPr>
        <w:t xml:space="preserve"> </w:t>
      </w:r>
    </w:p>
    <w:p w14:paraId="0344645F" w14:textId="09529D9A" w:rsidR="00BB179E" w:rsidRDefault="00BB179E" w:rsidP="00BB179E">
      <w:pPr>
        <w:shd w:val="clear" w:color="auto" w:fill="FFFFFF"/>
        <w:spacing w:after="0"/>
        <w:rPr>
          <w:rFonts w:eastAsia="Times New Roman" w:cstheme="minorHAnsi"/>
          <w:color w:val="4A4A4A"/>
          <w:sz w:val="21"/>
          <w:szCs w:val="21"/>
          <w:lang w:eastAsia="en-GB"/>
        </w:rPr>
      </w:pPr>
    </w:p>
    <w:p w14:paraId="7E2192DB" w14:textId="10A39D6C" w:rsidR="00B55A32" w:rsidRPr="00645B6F" w:rsidRDefault="00BB179E" w:rsidP="006F11B1">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F</w:t>
      </w:r>
      <w:r>
        <w:rPr>
          <w:rFonts w:eastAsia="Times New Roman" w:cstheme="minorHAnsi"/>
          <w:color w:val="4A4A4A"/>
          <w:sz w:val="21"/>
          <w:szCs w:val="21"/>
          <w:lang w:eastAsia="en-GB"/>
        </w:rPr>
        <w:t>ifth</w:t>
      </w:r>
      <w:r w:rsidR="00B55A32" w:rsidRPr="00645B6F">
        <w:rPr>
          <w:rFonts w:eastAsia="Times New Roman" w:cstheme="minorHAnsi"/>
          <w:color w:val="4A4A4A"/>
          <w:sz w:val="21"/>
          <w:szCs w:val="21"/>
          <w:lang w:eastAsia="en-GB"/>
        </w:rPr>
        <w:t xml:space="preserve">, </w:t>
      </w:r>
      <w:r w:rsidR="009B62BC" w:rsidRPr="00610278">
        <w:rPr>
          <w:rFonts w:eastAsia="Times New Roman" w:cstheme="minorHAnsi"/>
          <w:color w:val="4A4A4A"/>
          <w:sz w:val="21"/>
          <w:szCs w:val="21"/>
          <w:lang w:eastAsia="en-GB"/>
        </w:rPr>
        <w:t>SDG</w:t>
      </w:r>
      <w:r w:rsidR="009B62BC" w:rsidRPr="00645B6F">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indicator 3.8.2.</w:t>
      </w:r>
      <w:r w:rsidR="006F11B1">
        <w:rPr>
          <w:rFonts w:eastAsia="Times New Roman" w:cstheme="minorHAnsi"/>
          <w:color w:val="4A4A4A"/>
          <w:sz w:val="21"/>
          <w:szCs w:val="21"/>
          <w:lang w:eastAsia="en-GB"/>
        </w:rPr>
        <w:t xml:space="preserve"> needs to be tracked jointly with SDG indicator 3.8.1</w:t>
      </w:r>
      <w:r w:rsidR="009B62BC">
        <w:rPr>
          <w:rFonts w:eastAsia="Times New Roman" w:cstheme="minorHAnsi"/>
          <w:color w:val="4A4A4A"/>
          <w:sz w:val="21"/>
          <w:szCs w:val="21"/>
          <w:lang w:eastAsia="en-GB"/>
        </w:rPr>
        <w:t>,</w:t>
      </w:r>
      <w:r w:rsidR="006F11B1">
        <w:rPr>
          <w:rFonts w:eastAsia="Times New Roman" w:cstheme="minorHAnsi"/>
          <w:color w:val="4A4A4A"/>
          <w:sz w:val="21"/>
          <w:szCs w:val="21"/>
          <w:lang w:eastAsia="en-GB"/>
        </w:rPr>
        <w:t xml:space="preserve"> as well as indicators of barriers to access</w:t>
      </w:r>
      <w:r w:rsidR="009B62BC">
        <w:rPr>
          <w:rFonts w:eastAsia="Times New Roman" w:cstheme="minorHAnsi"/>
          <w:color w:val="4A4A4A"/>
          <w:sz w:val="21"/>
          <w:szCs w:val="21"/>
          <w:lang w:eastAsia="en-GB"/>
        </w:rPr>
        <w:t xml:space="preserve">. </w:t>
      </w:r>
      <w:r w:rsidR="006F11B1" w:rsidRPr="00645B6F" w:rsidDel="007D713B">
        <w:rPr>
          <w:rFonts w:eastAsia="Times New Roman" w:cstheme="minorHAnsi"/>
          <w:color w:val="4A4A4A"/>
          <w:sz w:val="21"/>
          <w:szCs w:val="21"/>
          <w:lang w:eastAsia="en-GB"/>
        </w:rPr>
        <w:t>Two indicators have been chosen to monitor target 3.8</w:t>
      </w:r>
      <w:r w:rsidR="006F11B1">
        <w:rPr>
          <w:rFonts w:eastAsia="Times New Roman" w:cstheme="minorHAnsi"/>
          <w:color w:val="4A4A4A"/>
          <w:sz w:val="21"/>
          <w:szCs w:val="21"/>
          <w:lang w:eastAsia="en-GB"/>
        </w:rPr>
        <w:t xml:space="preserve"> on Universal Health Coverage</w:t>
      </w:r>
      <w:r w:rsidR="006F11B1" w:rsidRPr="00645B6F" w:rsidDel="007D713B">
        <w:rPr>
          <w:rFonts w:eastAsia="Times New Roman" w:cstheme="minorHAnsi"/>
          <w:color w:val="4A4A4A"/>
          <w:sz w:val="21"/>
          <w:szCs w:val="21"/>
          <w:lang w:eastAsia="en-GB"/>
        </w:rPr>
        <w:t xml:space="preserve"> within the SDG framework. </w:t>
      </w:r>
      <w:r w:rsidR="009B62BC" w:rsidRPr="00610278">
        <w:rPr>
          <w:rFonts w:eastAsia="Times New Roman" w:cstheme="minorHAnsi"/>
          <w:color w:val="4A4A4A"/>
          <w:sz w:val="21"/>
          <w:szCs w:val="21"/>
          <w:lang w:eastAsia="en-GB"/>
        </w:rPr>
        <w:t>SDG</w:t>
      </w:r>
      <w:r w:rsidR="009B62BC" w:rsidRPr="00645B6F" w:rsidDel="007D713B">
        <w:rPr>
          <w:rFonts w:eastAsia="Times New Roman" w:cstheme="minorHAnsi"/>
          <w:color w:val="4A4A4A"/>
          <w:sz w:val="21"/>
          <w:szCs w:val="21"/>
          <w:lang w:eastAsia="en-GB"/>
        </w:rPr>
        <w:t xml:space="preserve"> </w:t>
      </w:r>
      <w:r w:rsidR="009B62BC">
        <w:rPr>
          <w:rFonts w:eastAsia="Times New Roman" w:cstheme="minorHAnsi"/>
          <w:color w:val="4A4A4A"/>
          <w:sz w:val="21"/>
          <w:szCs w:val="21"/>
          <w:lang w:eastAsia="en-GB"/>
        </w:rPr>
        <w:t>i</w:t>
      </w:r>
      <w:r w:rsidR="006F11B1" w:rsidRPr="00645B6F" w:rsidDel="007D713B">
        <w:rPr>
          <w:rFonts w:eastAsia="Times New Roman" w:cstheme="minorHAnsi"/>
          <w:color w:val="4A4A4A"/>
          <w:sz w:val="21"/>
          <w:szCs w:val="21"/>
          <w:lang w:eastAsia="en-GB"/>
        </w:rPr>
        <w:t xml:space="preserve">ndicator 3.8.1 is for </w:t>
      </w:r>
      <w:r w:rsidR="006F11B1">
        <w:rPr>
          <w:rFonts w:eastAsia="Times New Roman" w:cstheme="minorHAnsi"/>
          <w:color w:val="4A4A4A"/>
          <w:sz w:val="21"/>
          <w:szCs w:val="21"/>
          <w:lang w:eastAsia="en-GB"/>
        </w:rPr>
        <w:t xml:space="preserve">the </w:t>
      </w:r>
      <w:r w:rsidR="006F11B1" w:rsidRPr="00645B6F" w:rsidDel="007D713B">
        <w:rPr>
          <w:rFonts w:eastAsia="Times New Roman" w:cstheme="minorHAnsi"/>
          <w:color w:val="4A4A4A"/>
          <w:sz w:val="21"/>
          <w:szCs w:val="21"/>
          <w:lang w:eastAsia="en-GB"/>
        </w:rPr>
        <w:t>health service coverage</w:t>
      </w:r>
      <w:r w:rsidR="006F11B1">
        <w:rPr>
          <w:rFonts w:eastAsia="Times New Roman" w:cstheme="minorHAnsi"/>
          <w:color w:val="4A4A4A"/>
          <w:sz w:val="21"/>
          <w:szCs w:val="21"/>
          <w:lang w:eastAsia="en-GB"/>
        </w:rPr>
        <w:t xml:space="preserve"> dimension of </w:t>
      </w:r>
      <w:r w:rsidR="001F0E20">
        <w:rPr>
          <w:rFonts w:eastAsia="Times New Roman" w:cstheme="minorHAnsi"/>
          <w:color w:val="4A4A4A"/>
          <w:sz w:val="21"/>
          <w:szCs w:val="21"/>
          <w:lang w:eastAsia="en-GB"/>
        </w:rPr>
        <w:t>universal health coverage (</w:t>
      </w:r>
      <w:r w:rsidR="006F11B1">
        <w:rPr>
          <w:rFonts w:eastAsia="Times New Roman" w:cstheme="minorHAnsi"/>
          <w:color w:val="4A4A4A"/>
          <w:sz w:val="21"/>
          <w:szCs w:val="21"/>
          <w:lang w:eastAsia="en-GB"/>
        </w:rPr>
        <w:t>UHC</w:t>
      </w:r>
      <w:r w:rsidR="001F0E20">
        <w:rPr>
          <w:rFonts w:eastAsia="Times New Roman" w:cstheme="minorHAnsi"/>
          <w:color w:val="4A4A4A"/>
          <w:sz w:val="21"/>
          <w:szCs w:val="21"/>
          <w:lang w:eastAsia="en-GB"/>
        </w:rPr>
        <w:t>)</w:t>
      </w:r>
      <w:r w:rsidR="009B62BC">
        <w:rPr>
          <w:rFonts w:eastAsia="Times New Roman" w:cstheme="minorHAnsi"/>
          <w:color w:val="4A4A4A"/>
          <w:sz w:val="21"/>
          <w:szCs w:val="21"/>
          <w:lang w:eastAsia="en-GB"/>
        </w:rPr>
        <w:t>,</w:t>
      </w:r>
      <w:r w:rsidR="006F11B1">
        <w:rPr>
          <w:rFonts w:eastAsia="Times New Roman" w:cstheme="minorHAnsi"/>
          <w:color w:val="4A4A4A"/>
          <w:sz w:val="21"/>
          <w:szCs w:val="21"/>
          <w:lang w:eastAsia="en-GB"/>
        </w:rPr>
        <w:t xml:space="preserve"> and</w:t>
      </w:r>
      <w:r w:rsidR="006F11B1" w:rsidRPr="00645B6F" w:rsidDel="007D713B">
        <w:rPr>
          <w:rFonts w:eastAsia="Times New Roman" w:cstheme="minorHAnsi"/>
          <w:color w:val="4A4A4A"/>
          <w:sz w:val="21"/>
          <w:szCs w:val="21"/>
          <w:lang w:eastAsia="en-GB"/>
        </w:rPr>
        <w:t xml:space="preserve"> </w:t>
      </w:r>
      <w:r w:rsidR="009B62BC" w:rsidRPr="00610278">
        <w:rPr>
          <w:rFonts w:eastAsia="Times New Roman" w:cstheme="minorHAnsi"/>
          <w:color w:val="4A4A4A"/>
          <w:sz w:val="21"/>
          <w:szCs w:val="21"/>
          <w:lang w:eastAsia="en-GB"/>
        </w:rPr>
        <w:t>SDG</w:t>
      </w:r>
      <w:r w:rsidR="009B62BC">
        <w:rPr>
          <w:rFonts w:eastAsia="Times New Roman" w:cstheme="minorHAnsi"/>
          <w:color w:val="4A4A4A"/>
          <w:sz w:val="21"/>
          <w:szCs w:val="21"/>
          <w:lang w:eastAsia="en-GB"/>
        </w:rPr>
        <w:t xml:space="preserve"> i</w:t>
      </w:r>
      <w:r w:rsidR="006F11B1" w:rsidRPr="00645B6F" w:rsidDel="007D713B">
        <w:rPr>
          <w:rFonts w:eastAsia="Times New Roman" w:cstheme="minorHAnsi"/>
          <w:color w:val="4A4A4A"/>
          <w:sz w:val="21"/>
          <w:szCs w:val="21"/>
          <w:lang w:eastAsia="en-GB"/>
        </w:rPr>
        <w:t xml:space="preserve">ndicator 3.8.2 </w:t>
      </w:r>
      <w:r w:rsidR="006F11B1">
        <w:rPr>
          <w:rFonts w:eastAsia="Times New Roman" w:cstheme="minorHAnsi"/>
          <w:color w:val="4A4A4A"/>
          <w:sz w:val="21"/>
          <w:szCs w:val="21"/>
          <w:lang w:eastAsia="en-GB"/>
        </w:rPr>
        <w:t>t</w:t>
      </w:r>
      <w:r w:rsidR="000419E3">
        <w:rPr>
          <w:rFonts w:eastAsia="Times New Roman" w:cstheme="minorHAnsi"/>
          <w:color w:val="4A4A4A"/>
          <w:sz w:val="21"/>
          <w:szCs w:val="21"/>
          <w:lang w:eastAsia="en-GB"/>
        </w:rPr>
        <w:t>racks</w:t>
      </w:r>
      <w:r w:rsidR="006F11B1" w:rsidRPr="00645B6F" w:rsidDel="007D713B">
        <w:rPr>
          <w:rFonts w:eastAsia="Times New Roman" w:cstheme="minorHAnsi"/>
          <w:color w:val="4A4A4A"/>
          <w:sz w:val="21"/>
          <w:szCs w:val="21"/>
          <w:lang w:eastAsia="en-GB"/>
        </w:rPr>
        <w:t xml:space="preserve"> </w:t>
      </w:r>
      <w:r w:rsidR="006F11B1">
        <w:rPr>
          <w:rFonts w:eastAsia="Times New Roman" w:cstheme="minorHAnsi"/>
          <w:color w:val="4A4A4A"/>
          <w:sz w:val="21"/>
          <w:szCs w:val="21"/>
          <w:lang w:eastAsia="en-GB"/>
        </w:rPr>
        <w:t>the</w:t>
      </w:r>
      <w:r w:rsidR="006F11B1" w:rsidRPr="00645B6F" w:rsidDel="007D713B">
        <w:rPr>
          <w:rFonts w:eastAsia="Times New Roman" w:cstheme="minorHAnsi"/>
          <w:color w:val="4A4A4A"/>
          <w:sz w:val="21"/>
          <w:szCs w:val="21"/>
          <w:lang w:eastAsia="en-GB"/>
        </w:rPr>
        <w:t xml:space="preserve"> financial protection dimensions. These two indicators should </w:t>
      </w:r>
      <w:r w:rsidR="000419E3">
        <w:rPr>
          <w:rFonts w:eastAsia="Times New Roman" w:cstheme="minorHAnsi"/>
          <w:color w:val="4A4A4A"/>
          <w:sz w:val="21"/>
          <w:szCs w:val="21"/>
          <w:lang w:eastAsia="en-GB"/>
        </w:rPr>
        <w:t>always be</w:t>
      </w:r>
      <w:r w:rsidR="006F11B1" w:rsidRPr="00645B6F" w:rsidDel="007D713B">
        <w:rPr>
          <w:rFonts w:eastAsia="Times New Roman" w:cstheme="minorHAnsi"/>
          <w:color w:val="4A4A4A"/>
          <w:sz w:val="21"/>
          <w:szCs w:val="21"/>
          <w:lang w:eastAsia="en-GB"/>
        </w:rPr>
        <w:t xml:space="preserve"> monitored jointly.</w:t>
      </w:r>
      <w:r w:rsidR="006F11B1">
        <w:rPr>
          <w:rFonts w:eastAsia="Times New Roman" w:cstheme="minorHAnsi"/>
          <w:color w:val="4A4A4A"/>
          <w:sz w:val="21"/>
          <w:szCs w:val="21"/>
          <w:lang w:eastAsia="en-GB"/>
        </w:rPr>
        <w:t xml:space="preserve"> Indeed, s</w:t>
      </w:r>
      <w:r w:rsidR="00ED7CC0" w:rsidRPr="00ED7CC0">
        <w:rPr>
          <w:rFonts w:eastAsia="Times New Roman" w:cstheme="minorHAnsi"/>
          <w:color w:val="4A4A4A"/>
          <w:sz w:val="21"/>
          <w:szCs w:val="21"/>
          <w:lang w:eastAsia="en-GB"/>
        </w:rPr>
        <w:t>ome of the people seeking care face barriers to access related to</w:t>
      </w:r>
      <w:r w:rsidR="007C3F7E">
        <w:rPr>
          <w:rFonts w:eastAsia="Times New Roman" w:cstheme="minorHAnsi"/>
          <w:color w:val="4A4A4A"/>
          <w:sz w:val="21"/>
          <w:szCs w:val="21"/>
          <w:lang w:eastAsia="en-GB"/>
        </w:rPr>
        <w:t xml:space="preserve"> </w:t>
      </w:r>
      <w:r w:rsidR="00ED7CC0" w:rsidRPr="00ED7CC0">
        <w:rPr>
          <w:rFonts w:eastAsia="Times New Roman" w:cstheme="minorHAnsi"/>
          <w:color w:val="4A4A4A"/>
          <w:sz w:val="21"/>
          <w:szCs w:val="21"/>
          <w:lang w:eastAsia="en-GB"/>
        </w:rPr>
        <w:t xml:space="preserve">financial constraints, acceptability issues, unavailability of services, or accessibility. </w:t>
      </w:r>
      <w:r w:rsidR="002833AA">
        <w:rPr>
          <w:rFonts w:eastAsia="Times New Roman" w:cstheme="minorHAnsi"/>
          <w:color w:val="4A4A4A"/>
          <w:sz w:val="21"/>
          <w:szCs w:val="21"/>
          <w:lang w:eastAsia="en-GB"/>
        </w:rPr>
        <w:t>T</w:t>
      </w:r>
      <w:r w:rsidR="007C3F7E">
        <w:rPr>
          <w:rFonts w:eastAsia="Times New Roman" w:cstheme="minorHAnsi"/>
          <w:color w:val="4A4A4A"/>
          <w:sz w:val="21"/>
          <w:szCs w:val="21"/>
          <w:lang w:eastAsia="en-GB"/>
        </w:rPr>
        <w:t>hose unable to overcome such barrier</w:t>
      </w:r>
      <w:r w:rsidR="00897E74">
        <w:rPr>
          <w:rFonts w:eastAsia="Times New Roman" w:cstheme="minorHAnsi"/>
          <w:color w:val="4A4A4A"/>
          <w:sz w:val="21"/>
          <w:szCs w:val="21"/>
          <w:lang w:eastAsia="en-GB"/>
        </w:rPr>
        <w:t>s (financial and non-financial ones)</w:t>
      </w:r>
      <w:r w:rsidR="007C3F7E">
        <w:rPr>
          <w:rFonts w:eastAsia="Times New Roman" w:cstheme="minorHAnsi"/>
          <w:color w:val="4A4A4A"/>
          <w:sz w:val="21"/>
          <w:szCs w:val="21"/>
          <w:lang w:eastAsia="en-GB"/>
        </w:rPr>
        <w:t xml:space="preserve"> </w:t>
      </w:r>
      <w:r w:rsidR="008B0B6C">
        <w:rPr>
          <w:rFonts w:eastAsia="Times New Roman" w:cstheme="minorHAnsi"/>
          <w:color w:val="4A4A4A"/>
          <w:sz w:val="21"/>
          <w:szCs w:val="21"/>
          <w:lang w:eastAsia="en-GB"/>
        </w:rPr>
        <w:t xml:space="preserve">will not </w:t>
      </w:r>
      <w:r w:rsidR="007C3F7E">
        <w:rPr>
          <w:rFonts w:eastAsia="Times New Roman" w:cstheme="minorHAnsi"/>
          <w:color w:val="4A4A4A"/>
          <w:sz w:val="21"/>
          <w:szCs w:val="21"/>
          <w:lang w:eastAsia="en-GB"/>
        </w:rPr>
        <w:t>report any spending on health</w:t>
      </w:r>
      <w:r w:rsidR="000419E3">
        <w:rPr>
          <w:rFonts w:eastAsia="Times New Roman" w:cstheme="minorHAnsi"/>
          <w:color w:val="4A4A4A"/>
          <w:sz w:val="21"/>
          <w:szCs w:val="21"/>
          <w:lang w:eastAsia="en-GB"/>
        </w:rPr>
        <w:t>,</w:t>
      </w:r>
      <w:r w:rsidR="00897E74">
        <w:rPr>
          <w:rFonts w:eastAsia="Times New Roman" w:cstheme="minorHAnsi"/>
          <w:color w:val="4A4A4A"/>
          <w:sz w:val="21"/>
          <w:szCs w:val="21"/>
          <w:lang w:eastAsia="en-GB"/>
        </w:rPr>
        <w:t xml:space="preserve"> which</w:t>
      </w:r>
      <w:r w:rsidR="007D38A0">
        <w:rPr>
          <w:rFonts w:eastAsia="Times New Roman" w:cstheme="minorHAnsi"/>
          <w:color w:val="4A4A4A"/>
          <w:sz w:val="21"/>
          <w:szCs w:val="21"/>
          <w:lang w:eastAsia="en-GB"/>
        </w:rPr>
        <w:t xml:space="preserve"> </w:t>
      </w:r>
      <w:r w:rsidR="00E115C7">
        <w:rPr>
          <w:rFonts w:eastAsia="Times New Roman" w:cstheme="minorHAnsi"/>
          <w:color w:val="4A4A4A"/>
          <w:sz w:val="21"/>
          <w:szCs w:val="21"/>
          <w:lang w:eastAsia="en-GB"/>
        </w:rPr>
        <w:t>will tend to reduce</w:t>
      </w:r>
      <w:r w:rsidR="006F11B1">
        <w:rPr>
          <w:rFonts w:eastAsia="Times New Roman" w:cstheme="minorHAnsi"/>
          <w:color w:val="4A4A4A"/>
          <w:sz w:val="21"/>
          <w:szCs w:val="21"/>
          <w:lang w:eastAsia="en-GB"/>
        </w:rPr>
        <w:t xml:space="preserve"> SDG </w:t>
      </w:r>
      <w:r w:rsidR="00515212">
        <w:rPr>
          <w:rFonts w:eastAsia="Times New Roman" w:cstheme="minorHAnsi"/>
          <w:color w:val="4A4A4A"/>
          <w:sz w:val="21"/>
          <w:szCs w:val="21"/>
          <w:lang w:eastAsia="en-GB"/>
        </w:rPr>
        <w:t xml:space="preserve">indicator </w:t>
      </w:r>
      <w:r w:rsidR="006F11B1">
        <w:rPr>
          <w:rFonts w:eastAsia="Times New Roman" w:cstheme="minorHAnsi"/>
          <w:color w:val="4A4A4A"/>
          <w:sz w:val="21"/>
          <w:szCs w:val="21"/>
          <w:lang w:eastAsia="en-GB"/>
        </w:rPr>
        <w:t xml:space="preserve">3.8.2 rates. When this happens, SDG </w:t>
      </w:r>
      <w:r w:rsidR="00515212">
        <w:rPr>
          <w:rFonts w:eastAsia="Times New Roman" w:cstheme="minorHAnsi"/>
          <w:color w:val="4A4A4A"/>
          <w:sz w:val="21"/>
          <w:szCs w:val="21"/>
          <w:lang w:eastAsia="en-GB"/>
        </w:rPr>
        <w:t xml:space="preserve">indicator </w:t>
      </w:r>
      <w:r w:rsidR="006F11B1">
        <w:rPr>
          <w:rFonts w:eastAsia="Times New Roman" w:cstheme="minorHAnsi"/>
          <w:color w:val="4A4A4A"/>
          <w:sz w:val="21"/>
          <w:szCs w:val="21"/>
          <w:lang w:eastAsia="en-GB"/>
        </w:rPr>
        <w:t xml:space="preserve">3.8.1 levels should also be low as the tracer indicators of service coverage should reflect that large fractions of the population are unable to get the services they need. But specific indicators on barriers to access ought to be tracked to understand which type of barriers is precluding access to needed services. </w:t>
      </w:r>
    </w:p>
    <w:p w14:paraId="21B90D65" w14:textId="1492E87C" w:rsidR="00B55A32" w:rsidRPr="00645B6F" w:rsidRDefault="00B55A32" w:rsidP="00B55A32">
      <w:pPr>
        <w:pStyle w:val="MText"/>
        <w:rPr>
          <w:rFonts w:cstheme="minorHAnsi"/>
        </w:rPr>
      </w:pPr>
    </w:p>
    <w:p w14:paraId="79EEEE38" w14:textId="75AB172D" w:rsidR="00E1050F" w:rsidRPr="00645B6F" w:rsidRDefault="00E1050F" w:rsidP="00F719A8">
      <w:pPr>
        <w:pStyle w:val="MHeader2"/>
        <w:rPr>
          <w:rFonts w:cstheme="minorHAnsi"/>
        </w:rPr>
      </w:pPr>
      <w:r w:rsidRPr="00645B6F">
        <w:rPr>
          <w:rFonts w:cstheme="minorHAnsi"/>
        </w:rPr>
        <w:t xml:space="preserve">4.c. Method of computation </w:t>
      </w:r>
      <w:r>
        <w:rPr>
          <w:color w:val="B4B4B4"/>
          <w:sz w:val="20"/>
        </w:rPr>
      </w:r>
      <w:r>
        <w:rPr>
          <w:color w:val="B4B4B4"/>
          <w:sz w:val="20"/>
        </w:rPr>
        <w:t>(DATA_COMP)</w:t>
      </w:r>
    </w:p>
    <w:p w14:paraId="13AC2805" w14:textId="77777777" w:rsidR="00B55A32" w:rsidRPr="00645B6F" w:rsidRDefault="00B55A32" w:rsidP="00B55A32">
      <w:pPr>
        <w:shd w:val="clear" w:color="auto" w:fill="FFFFFF"/>
        <w:spacing w:after="0"/>
        <w:rPr>
          <w:rFonts w:eastAsia="TT15Ct00" w:cstheme="minorHAnsi"/>
          <w:color w:val="4A4A4A"/>
          <w:sz w:val="21"/>
          <w:szCs w:val="21"/>
          <w:lang w:eastAsia="en-GB"/>
        </w:rPr>
      </w:pPr>
      <w:r w:rsidRPr="00645B6F">
        <w:rPr>
          <w:rFonts w:eastAsia="TT15Ct00" w:cstheme="minorHAnsi"/>
          <w:color w:val="4A4A4A"/>
          <w:sz w:val="21"/>
          <w:szCs w:val="21"/>
          <w:lang w:eastAsia="en-GB"/>
        </w:rPr>
        <w:t>Population weighted average number of people with large household expenditure on health as a share of total household expenditure or income</w:t>
      </w:r>
    </w:p>
    <w:p w14:paraId="4E87F2D3" w14:textId="77777777" w:rsidR="00B55A32" w:rsidRPr="00645B6F" w:rsidRDefault="00B55A32" w:rsidP="00B55A32">
      <w:pPr>
        <w:shd w:val="clear" w:color="auto" w:fill="FFFFFF"/>
        <w:spacing w:after="0"/>
        <w:rPr>
          <w:rFonts w:eastAsia="TT15Ct00" w:cstheme="minorHAnsi"/>
          <w:color w:val="4A4A4A"/>
          <w:sz w:val="21"/>
          <w:szCs w:val="21"/>
          <w:lang w:eastAsia="en-GB"/>
        </w:rPr>
      </w:pPr>
      <w:r w:rsidRPr="00645B6F">
        <w:rPr>
          <w:rFonts w:eastAsia="TT15Ct00" w:cstheme="minorHAnsi"/>
          <w:color w:val="4A4A4A"/>
          <w:sz w:val="21"/>
          <w:szCs w:val="21"/>
          <w:lang w:eastAsia="en-GB"/>
        </w:rPr>
        <w:t xml:space="preserve"> </w:t>
      </w:r>
    </w:p>
    <w:p w14:paraId="507B6C88" w14:textId="77777777" w:rsidR="00B55A32" w:rsidRPr="00645B6F" w:rsidRDefault="003B7F16" w:rsidP="00B55A32">
      <w:pPr>
        <w:shd w:val="clear" w:color="auto" w:fill="FFFFFF"/>
        <w:spacing w:after="0"/>
        <w:rPr>
          <w:rFonts w:eastAsia="TT15Ct00" w:cstheme="minorHAnsi"/>
          <w:color w:val="4A4A4A"/>
          <w:sz w:val="20"/>
          <w:szCs w:val="20"/>
          <w:lang w:eastAsia="en-GB"/>
        </w:rPr>
      </w:pPr>
      <m:oMathPara>
        <m:oMath>
          <m:f>
            <m:fPr>
              <m:ctrlPr>
                <w:rPr>
                  <w:rFonts w:ascii="Cambria Math" w:eastAsia="Times New Roman" w:hAnsi="Cambria Math" w:cstheme="minorHAnsi"/>
                  <w:i/>
                  <w:noProof/>
                  <w:color w:val="4A4A4A"/>
                  <w:sz w:val="21"/>
                  <w:szCs w:val="21"/>
                  <w:lang w:eastAsia="en-GB"/>
                </w:rPr>
              </m:ctrlPr>
            </m:fPr>
            <m:num>
              <m:nary>
                <m:naryPr>
                  <m:chr m:val="∑"/>
                  <m:limLoc m:val="undOvr"/>
                  <m:supHide m:val="1"/>
                  <m:ctrlPr>
                    <w:rPr>
                      <w:rFonts w:ascii="Cambria Math" w:eastAsia="Times New Roman" w:hAnsi="Cambria Math" w:cstheme="minorHAnsi"/>
                      <w:i/>
                      <w:noProof/>
                      <w:color w:val="4A4A4A"/>
                      <w:sz w:val="21"/>
                      <w:szCs w:val="21"/>
                      <w:lang w:eastAsia="en-GB"/>
                    </w:rPr>
                  </m:ctrlPr>
                </m:naryPr>
                <m:sub>
                  <m:r>
                    <w:rPr>
                      <w:rFonts w:ascii="Cambria Math" w:eastAsia="Times New Roman" w:hAnsi="Cambria Math" w:cstheme="minorHAnsi"/>
                      <w:noProof/>
                      <w:color w:val="4A4A4A"/>
                      <w:sz w:val="21"/>
                      <w:szCs w:val="21"/>
                      <w:lang w:eastAsia="en-GB"/>
                    </w:rPr>
                    <m:t>i</m:t>
                  </m:r>
                </m:sub>
                <m:sup/>
                <m:e>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m</m:t>
                      </m:r>
                    </m:e>
                    <m:sub>
                      <m:r>
                        <w:rPr>
                          <w:rFonts w:ascii="Cambria Math" w:eastAsia="Times New Roman" w:hAnsi="Cambria Math" w:cstheme="minorHAnsi"/>
                          <w:noProof/>
                          <w:color w:val="4A4A4A"/>
                          <w:sz w:val="21"/>
                          <w:szCs w:val="21"/>
                          <w:lang w:eastAsia="en-GB"/>
                        </w:rPr>
                        <m:t>i</m:t>
                      </m:r>
                    </m:sub>
                  </m:sSub>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ω</m:t>
                      </m:r>
                    </m:e>
                    <m:sub>
                      <m:r>
                        <w:rPr>
                          <w:rFonts w:ascii="Cambria Math" w:eastAsia="Times New Roman" w:hAnsi="Cambria Math" w:cstheme="minorHAnsi"/>
                          <w:noProof/>
                          <w:color w:val="4A4A4A"/>
                          <w:sz w:val="21"/>
                          <w:szCs w:val="21"/>
                          <w:lang w:eastAsia="en-GB"/>
                        </w:rPr>
                        <m:t>i</m:t>
                      </m:r>
                    </m:sub>
                  </m:sSub>
                  <m:r>
                    <w:rPr>
                      <w:rFonts w:ascii="Cambria Math" w:eastAsia="Times New Roman" w:hAnsi="Cambria Math" w:cstheme="minorHAnsi"/>
                      <w:noProof/>
                      <w:color w:val="4A4A4A"/>
                      <w:sz w:val="21"/>
                      <w:szCs w:val="21"/>
                      <w:lang w:eastAsia="en-GB"/>
                    </w:rPr>
                    <m:t>1</m:t>
                  </m:r>
                  <m:d>
                    <m:dPr>
                      <m:ctrlPr>
                        <w:rPr>
                          <w:rFonts w:ascii="Cambria Math" w:eastAsia="Times New Roman" w:hAnsi="Cambria Math" w:cstheme="minorHAnsi"/>
                          <w:i/>
                          <w:noProof/>
                          <w:color w:val="4A4A4A"/>
                          <w:sz w:val="21"/>
                          <w:szCs w:val="21"/>
                          <w:lang w:eastAsia="en-GB"/>
                        </w:rPr>
                      </m:ctrlPr>
                    </m:dPr>
                    <m:e>
                      <m:f>
                        <m:fPr>
                          <m:ctrlPr>
                            <w:rPr>
                              <w:rFonts w:ascii="Cambria Math" w:eastAsia="Times New Roman" w:hAnsi="Cambria Math" w:cstheme="minorHAnsi"/>
                              <w:i/>
                              <w:noProof/>
                              <w:color w:val="4A4A4A"/>
                              <w:sz w:val="21"/>
                              <w:szCs w:val="21"/>
                              <w:lang w:eastAsia="en-GB"/>
                            </w:rPr>
                          </m:ctrlPr>
                        </m:fPr>
                        <m:num>
                          <m:r>
                            <w:rPr>
                              <w:rFonts w:ascii="Cambria Math" w:eastAsia="Times New Roman" w:hAnsi="Cambria Math" w:cstheme="minorHAnsi"/>
                              <w:noProof/>
                              <w:color w:val="4A4A4A"/>
                              <w:sz w:val="21"/>
                              <w:szCs w:val="21"/>
                              <w:lang w:eastAsia="en-GB"/>
                            </w:rPr>
                            <m:t>h</m:t>
                          </m:r>
                          <m:r>
                            <w:rPr>
                              <w:rFonts w:ascii="Cambria Math" w:eastAsia="Times New Roman" w:hAnsi="Cambria Math" w:cstheme="minorHAnsi"/>
                              <w:noProof/>
                              <w:color w:val="4A4A4A"/>
                              <w:sz w:val="21"/>
                              <w:szCs w:val="21"/>
                              <w:lang w:eastAsia="en-GB"/>
                            </w:rPr>
                            <m:t>ealt</m:t>
                          </m:r>
                          <m:r>
                            <w:rPr>
                              <w:rFonts w:ascii="Cambria Math" w:eastAsia="Times New Roman" w:hAnsi="Cambria Math" w:cstheme="minorHAnsi"/>
                              <w:noProof/>
                              <w:color w:val="4A4A4A"/>
                              <w:sz w:val="21"/>
                              <w:szCs w:val="21"/>
                              <w:lang w:eastAsia="en-GB"/>
                            </w:rPr>
                            <m:t>h</m:t>
                          </m:r>
                          <m:r>
                            <w:rPr>
                              <w:rFonts w:ascii="Cambria Math" w:eastAsia="Times New Roman" w:hAnsi="Cambria Math" w:cstheme="minorHAnsi"/>
                              <w:noProof/>
                              <w:color w:val="4A4A4A"/>
                              <w:sz w:val="21"/>
                              <w:szCs w:val="21"/>
                              <w:lang w:eastAsia="en-GB"/>
                            </w:rPr>
                            <m:t xml:space="preserve"> </m:t>
                          </m:r>
                          <m:r>
                            <w:rPr>
                              <w:rFonts w:ascii="Cambria Math" w:eastAsia="Times New Roman" w:hAnsi="Cambria Math" w:cstheme="minorHAnsi"/>
                              <w:noProof/>
                              <w:color w:val="4A4A4A"/>
                              <w:sz w:val="21"/>
                              <w:szCs w:val="21"/>
                              <w:lang w:eastAsia="en-GB"/>
                            </w:rPr>
                            <m:t>expenditure</m:t>
                          </m:r>
                          <m:r>
                            <w:rPr>
                              <w:rFonts w:ascii="Cambria Math" w:eastAsia="Times New Roman" w:hAnsi="Cambria Math" w:cstheme="minorHAnsi"/>
                              <w:noProof/>
                              <w:color w:val="4A4A4A"/>
                              <w:sz w:val="21"/>
                              <w:szCs w:val="21"/>
                              <w:lang w:eastAsia="en-GB"/>
                            </w:rPr>
                            <m:t xml:space="preserve"> </m:t>
                          </m:r>
                          <m:r>
                            <w:rPr>
                              <w:rFonts w:ascii="Cambria Math" w:eastAsia="Times New Roman" w:hAnsi="Cambria Math" w:cstheme="minorHAnsi"/>
                              <w:noProof/>
                              <w:color w:val="4A4A4A"/>
                              <w:sz w:val="21"/>
                              <w:szCs w:val="21"/>
                              <w:lang w:eastAsia="en-GB"/>
                            </w:rPr>
                            <m:t>of</m:t>
                          </m:r>
                          <m:r>
                            <w:rPr>
                              <w:rFonts w:ascii="Cambria Math" w:eastAsia="Times New Roman" w:hAnsi="Cambria Math" w:cstheme="minorHAnsi"/>
                              <w:noProof/>
                              <w:color w:val="4A4A4A"/>
                              <w:sz w:val="21"/>
                              <w:szCs w:val="21"/>
                              <w:lang w:eastAsia="en-GB"/>
                            </w:rPr>
                            <m:t xml:space="preserve"> </m:t>
                          </m:r>
                          <m:r>
                            <w:rPr>
                              <w:rFonts w:ascii="Cambria Math" w:eastAsia="Times New Roman" w:hAnsi="Cambria Math" w:cstheme="minorHAnsi"/>
                              <w:noProof/>
                              <w:color w:val="4A4A4A"/>
                              <w:sz w:val="21"/>
                              <w:szCs w:val="21"/>
                              <w:lang w:eastAsia="en-GB"/>
                            </w:rPr>
                            <m:t>t</m:t>
                          </m:r>
                          <m:r>
                            <w:rPr>
                              <w:rFonts w:ascii="Cambria Math" w:eastAsia="Times New Roman" w:hAnsi="Cambria Math" w:cstheme="minorHAnsi"/>
                              <w:noProof/>
                              <w:color w:val="4A4A4A"/>
                              <w:sz w:val="21"/>
                              <w:szCs w:val="21"/>
                              <w:lang w:eastAsia="en-GB"/>
                            </w:rPr>
                            <m:t>h</m:t>
                          </m:r>
                          <m:r>
                            <w:rPr>
                              <w:rFonts w:ascii="Cambria Math" w:eastAsia="Times New Roman" w:hAnsi="Cambria Math" w:cstheme="minorHAnsi"/>
                              <w:noProof/>
                              <w:color w:val="4A4A4A"/>
                              <w:sz w:val="21"/>
                              <w:szCs w:val="21"/>
                              <w:lang w:eastAsia="en-GB"/>
                            </w:rPr>
                            <m:t>e</m:t>
                          </m:r>
                          <m:r>
                            <w:rPr>
                              <w:rFonts w:ascii="Cambria Math" w:eastAsia="Times New Roman" w:hAnsi="Cambria Math" w:cstheme="minorHAnsi"/>
                              <w:noProof/>
                              <w:color w:val="4A4A4A"/>
                              <w:sz w:val="21"/>
                              <w:szCs w:val="21"/>
                              <w:lang w:eastAsia="en-GB"/>
                            </w:rPr>
                            <m:t xml:space="preserve"> h</m:t>
                          </m:r>
                          <m:r>
                            <w:rPr>
                              <w:rFonts w:ascii="Cambria Math" w:eastAsia="Times New Roman" w:hAnsi="Cambria Math" w:cstheme="minorHAnsi"/>
                              <w:noProof/>
                              <w:color w:val="4A4A4A"/>
                              <w:sz w:val="21"/>
                              <w:szCs w:val="21"/>
                              <w:lang w:eastAsia="en-GB"/>
                            </w:rPr>
                            <m:t>ouse</m:t>
                          </m:r>
                          <m:r>
                            <w:rPr>
                              <w:rFonts w:ascii="Cambria Math" w:eastAsia="Times New Roman" w:hAnsi="Cambria Math" w:cstheme="minorHAnsi"/>
                              <w:noProof/>
                              <w:color w:val="4A4A4A"/>
                              <w:sz w:val="21"/>
                              <w:szCs w:val="21"/>
                              <w:lang w:eastAsia="en-GB"/>
                            </w:rPr>
                            <m:t>h</m:t>
                          </m:r>
                          <m:r>
                            <w:rPr>
                              <w:rFonts w:ascii="Cambria Math" w:eastAsia="Times New Roman" w:hAnsi="Cambria Math" w:cstheme="minorHAnsi"/>
                              <w:noProof/>
                              <w:color w:val="4A4A4A"/>
                              <w:sz w:val="21"/>
                              <w:szCs w:val="21"/>
                              <w:lang w:eastAsia="en-GB"/>
                            </w:rPr>
                            <m:t>old</m:t>
                          </m:r>
                          <m:r>
                            <w:rPr>
                              <w:rFonts w:ascii="Cambria Math" w:eastAsia="Times New Roman" w:hAnsi="Cambria Math" w:cstheme="minorHAnsi"/>
                              <w:noProof/>
                              <w:color w:val="4A4A4A"/>
                              <w:sz w:val="21"/>
                              <w:szCs w:val="21"/>
                              <w:lang w:eastAsia="en-GB"/>
                            </w:rPr>
                            <m:t xml:space="preserve"> </m:t>
                          </m:r>
                          <m:r>
                            <w:rPr>
                              <w:rFonts w:ascii="Cambria Math" w:eastAsia="Times New Roman" w:hAnsi="Cambria Math" w:cstheme="minorHAnsi"/>
                              <w:noProof/>
                              <w:color w:val="4A4A4A"/>
                              <w:sz w:val="21"/>
                              <w:szCs w:val="21"/>
                              <w:lang w:eastAsia="en-GB"/>
                            </w:rPr>
                            <m:t>i</m:t>
                          </m:r>
                        </m:num>
                        <m:den>
                          <m:r>
                            <w:rPr>
                              <w:rFonts w:ascii="Cambria Math" w:eastAsia="Times New Roman" w:hAnsi="Cambria Math" w:cstheme="minorHAnsi"/>
                              <w:noProof/>
                              <w:color w:val="4A4A4A"/>
                              <w:sz w:val="21"/>
                              <w:szCs w:val="21"/>
                              <w:lang w:eastAsia="en-GB"/>
                            </w:rPr>
                            <m:t>total</m:t>
                          </m:r>
                          <m:r>
                            <w:rPr>
                              <w:rFonts w:ascii="Cambria Math" w:eastAsia="Times New Roman" w:hAnsi="Cambria Math" w:cstheme="minorHAnsi"/>
                              <w:noProof/>
                              <w:color w:val="4A4A4A"/>
                              <w:sz w:val="21"/>
                              <w:szCs w:val="21"/>
                              <w:lang w:eastAsia="en-GB"/>
                            </w:rPr>
                            <m:t xml:space="preserve"> </m:t>
                          </m:r>
                          <m:r>
                            <w:rPr>
                              <w:rFonts w:ascii="Cambria Math" w:eastAsia="Times New Roman" w:hAnsi="Cambria Math" w:cstheme="minorHAnsi"/>
                              <w:noProof/>
                              <w:color w:val="4A4A4A"/>
                              <w:sz w:val="21"/>
                              <w:szCs w:val="21"/>
                              <w:lang w:eastAsia="en-GB"/>
                            </w:rPr>
                            <m:t>expenditure</m:t>
                          </m:r>
                          <m:r>
                            <w:rPr>
                              <w:rFonts w:ascii="Cambria Math" w:eastAsia="Times New Roman" w:hAnsi="Cambria Math" w:cstheme="minorHAnsi"/>
                              <w:noProof/>
                              <w:color w:val="4A4A4A"/>
                              <w:sz w:val="21"/>
                              <w:szCs w:val="21"/>
                              <w:lang w:eastAsia="en-GB"/>
                            </w:rPr>
                            <m:t xml:space="preserve"> </m:t>
                          </m:r>
                          <m:r>
                            <w:rPr>
                              <w:rFonts w:ascii="Cambria Math" w:eastAsia="Times New Roman" w:hAnsi="Cambria Math" w:cstheme="minorHAnsi"/>
                              <w:noProof/>
                              <w:color w:val="4A4A4A"/>
                              <w:sz w:val="21"/>
                              <w:szCs w:val="21"/>
                              <w:lang w:eastAsia="en-GB"/>
                            </w:rPr>
                            <m:t>of</m:t>
                          </m:r>
                          <m:r>
                            <w:rPr>
                              <w:rFonts w:ascii="Cambria Math" w:eastAsia="Times New Roman" w:hAnsi="Cambria Math" w:cstheme="minorHAnsi"/>
                              <w:noProof/>
                              <w:color w:val="4A4A4A"/>
                              <w:sz w:val="21"/>
                              <w:szCs w:val="21"/>
                              <w:lang w:eastAsia="en-GB"/>
                            </w:rPr>
                            <m:t xml:space="preserve"> </m:t>
                          </m:r>
                          <m:r>
                            <w:rPr>
                              <w:rFonts w:ascii="Cambria Math" w:eastAsia="Times New Roman" w:hAnsi="Cambria Math" w:cstheme="minorHAnsi"/>
                              <w:noProof/>
                              <w:color w:val="4A4A4A"/>
                              <w:sz w:val="21"/>
                              <w:szCs w:val="21"/>
                              <w:lang w:eastAsia="en-GB"/>
                            </w:rPr>
                            <m:t>t</m:t>
                          </m:r>
                          <m:r>
                            <w:rPr>
                              <w:rFonts w:ascii="Cambria Math" w:eastAsia="Times New Roman" w:hAnsi="Cambria Math" w:cstheme="minorHAnsi"/>
                              <w:noProof/>
                              <w:color w:val="4A4A4A"/>
                              <w:sz w:val="21"/>
                              <w:szCs w:val="21"/>
                              <w:lang w:eastAsia="en-GB"/>
                            </w:rPr>
                            <m:t>h</m:t>
                          </m:r>
                          <m:r>
                            <w:rPr>
                              <w:rFonts w:ascii="Cambria Math" w:eastAsia="Times New Roman" w:hAnsi="Cambria Math" w:cstheme="minorHAnsi"/>
                              <w:noProof/>
                              <w:color w:val="4A4A4A"/>
                              <w:sz w:val="21"/>
                              <w:szCs w:val="21"/>
                              <w:lang w:eastAsia="en-GB"/>
                            </w:rPr>
                            <m:t>e</m:t>
                          </m:r>
                          <m:r>
                            <w:rPr>
                              <w:rFonts w:ascii="Cambria Math" w:eastAsia="Times New Roman" w:hAnsi="Cambria Math" w:cstheme="minorHAnsi"/>
                              <w:noProof/>
                              <w:color w:val="4A4A4A"/>
                              <w:sz w:val="21"/>
                              <w:szCs w:val="21"/>
                              <w:lang w:eastAsia="en-GB"/>
                            </w:rPr>
                            <m:t xml:space="preserve"> h</m:t>
                          </m:r>
                          <m:r>
                            <w:rPr>
                              <w:rFonts w:ascii="Cambria Math" w:eastAsia="Times New Roman" w:hAnsi="Cambria Math" w:cstheme="minorHAnsi"/>
                              <w:noProof/>
                              <w:color w:val="4A4A4A"/>
                              <w:sz w:val="21"/>
                              <w:szCs w:val="21"/>
                              <w:lang w:eastAsia="en-GB"/>
                            </w:rPr>
                            <m:t>ouse</m:t>
                          </m:r>
                          <m:r>
                            <w:rPr>
                              <w:rFonts w:ascii="Cambria Math" w:eastAsia="Times New Roman" w:hAnsi="Cambria Math" w:cstheme="minorHAnsi"/>
                              <w:noProof/>
                              <w:color w:val="4A4A4A"/>
                              <w:sz w:val="21"/>
                              <w:szCs w:val="21"/>
                              <w:lang w:eastAsia="en-GB"/>
                            </w:rPr>
                            <m:t>h</m:t>
                          </m:r>
                          <m:r>
                            <w:rPr>
                              <w:rFonts w:ascii="Cambria Math" w:eastAsia="Times New Roman" w:hAnsi="Cambria Math" w:cstheme="minorHAnsi"/>
                              <w:noProof/>
                              <w:color w:val="4A4A4A"/>
                              <w:sz w:val="21"/>
                              <w:szCs w:val="21"/>
                              <w:lang w:eastAsia="en-GB"/>
                            </w:rPr>
                            <m:t>old</m:t>
                          </m:r>
                          <m:r>
                            <w:rPr>
                              <w:rFonts w:ascii="Cambria Math" w:eastAsia="Times New Roman" w:hAnsi="Cambria Math" w:cstheme="minorHAnsi"/>
                              <w:noProof/>
                              <w:color w:val="4A4A4A"/>
                              <w:sz w:val="21"/>
                              <w:szCs w:val="21"/>
                              <w:lang w:eastAsia="en-GB"/>
                            </w:rPr>
                            <m:t xml:space="preserve"> </m:t>
                          </m:r>
                          <m:r>
                            <w:rPr>
                              <w:rFonts w:ascii="Cambria Math" w:eastAsia="Times New Roman" w:hAnsi="Cambria Math" w:cstheme="minorHAnsi"/>
                              <w:noProof/>
                              <w:color w:val="4A4A4A"/>
                              <w:sz w:val="21"/>
                              <w:szCs w:val="21"/>
                              <w:lang w:eastAsia="en-GB"/>
                            </w:rPr>
                            <m:t>i</m:t>
                          </m:r>
                        </m:den>
                      </m:f>
                      <m:r>
                        <w:rPr>
                          <w:rFonts w:ascii="Cambria Math" w:eastAsia="Times New Roman" w:hAnsi="Cambria Math" w:cstheme="minorHAnsi"/>
                          <w:noProof/>
                          <w:color w:val="4A4A4A"/>
                          <w:sz w:val="21"/>
                          <w:szCs w:val="21"/>
                          <w:lang w:eastAsia="en-GB"/>
                        </w:rPr>
                        <m:t>&gt;</m:t>
                      </m:r>
                      <m:r>
                        <w:rPr>
                          <w:rFonts w:ascii="Cambria Math" w:eastAsia="Times New Roman" w:hAnsi="Cambria Math" w:cstheme="minorHAnsi"/>
                          <w:noProof/>
                          <w:color w:val="4A4A4A"/>
                          <w:sz w:val="21"/>
                          <w:szCs w:val="21"/>
                          <w:lang w:eastAsia="en-GB"/>
                        </w:rPr>
                        <m:t>τ</m:t>
                      </m:r>
                    </m:e>
                  </m:d>
                </m:e>
              </m:nary>
            </m:num>
            <m:den>
              <m:nary>
                <m:naryPr>
                  <m:chr m:val="∑"/>
                  <m:limLoc m:val="undOvr"/>
                  <m:supHide m:val="1"/>
                  <m:ctrlPr>
                    <w:rPr>
                      <w:rFonts w:ascii="Cambria Math" w:eastAsia="Times New Roman" w:hAnsi="Cambria Math" w:cstheme="minorHAnsi"/>
                      <w:i/>
                      <w:noProof/>
                      <w:color w:val="4A4A4A"/>
                      <w:sz w:val="21"/>
                      <w:szCs w:val="21"/>
                      <w:lang w:eastAsia="en-GB"/>
                    </w:rPr>
                  </m:ctrlPr>
                </m:naryPr>
                <m:sub>
                  <m:r>
                    <w:rPr>
                      <w:rFonts w:ascii="Cambria Math" w:eastAsia="Times New Roman" w:hAnsi="Cambria Math" w:cstheme="minorHAnsi"/>
                      <w:noProof/>
                      <w:color w:val="4A4A4A"/>
                      <w:sz w:val="21"/>
                      <w:szCs w:val="21"/>
                      <w:lang w:eastAsia="en-GB"/>
                    </w:rPr>
                    <m:t>i</m:t>
                  </m:r>
                </m:sub>
                <m:sup/>
                <m:e>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m</m:t>
                      </m:r>
                    </m:e>
                    <m:sub>
                      <m:r>
                        <w:rPr>
                          <w:rFonts w:ascii="Cambria Math" w:eastAsia="Times New Roman" w:hAnsi="Cambria Math" w:cstheme="minorHAnsi"/>
                          <w:noProof/>
                          <w:color w:val="4A4A4A"/>
                          <w:sz w:val="21"/>
                          <w:szCs w:val="21"/>
                          <w:lang w:eastAsia="en-GB"/>
                        </w:rPr>
                        <m:t>i</m:t>
                      </m:r>
                    </m:sub>
                  </m:sSub>
                </m:e>
              </m:nary>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ω</m:t>
                  </m:r>
                </m:e>
                <m:sub>
                  <m:r>
                    <w:rPr>
                      <w:rFonts w:ascii="Cambria Math" w:eastAsia="Times New Roman" w:hAnsi="Cambria Math" w:cstheme="minorHAnsi"/>
                      <w:noProof/>
                      <w:color w:val="4A4A4A"/>
                      <w:sz w:val="21"/>
                      <w:szCs w:val="21"/>
                      <w:lang w:eastAsia="en-GB"/>
                    </w:rPr>
                    <m:t>i</m:t>
                  </m:r>
                </m:sub>
              </m:sSub>
            </m:den>
          </m:f>
        </m:oMath>
      </m:oMathPara>
    </w:p>
    <w:p w14:paraId="29FF7C1E" w14:textId="77777777" w:rsidR="00B55A32" w:rsidRPr="00645B6F" w:rsidRDefault="00B55A32" w:rsidP="00B55A32">
      <w:pPr>
        <w:shd w:val="clear" w:color="auto" w:fill="FFFFFF"/>
        <w:spacing w:after="0"/>
        <w:rPr>
          <w:rFonts w:eastAsia="TT15Ct00" w:cstheme="minorHAnsi"/>
          <w:color w:val="4A4A4A"/>
          <w:sz w:val="20"/>
          <w:szCs w:val="20"/>
          <w:lang w:eastAsia="en-GB"/>
        </w:rPr>
      </w:pPr>
    </w:p>
    <w:p w14:paraId="49495527" w14:textId="2CBF8F7D" w:rsidR="00B55A32" w:rsidRPr="00645B6F" w:rsidRDefault="00B55A32" w:rsidP="00B55A32">
      <w:pPr>
        <w:shd w:val="clear" w:color="auto" w:fill="FFFFFF"/>
        <w:spacing w:after="0"/>
        <w:rPr>
          <w:rFonts w:eastAsia="Times New Roman" w:cstheme="minorHAnsi"/>
          <w:noProof/>
          <w:color w:val="4A4A4A"/>
          <w:sz w:val="21"/>
          <w:szCs w:val="21"/>
          <w:lang w:eastAsia="en-GB"/>
        </w:rPr>
      </w:pPr>
      <w:r w:rsidRPr="00645B6F">
        <w:rPr>
          <w:rFonts w:eastAsia="Times New Roman" w:cstheme="minorHAnsi"/>
          <w:noProof/>
          <w:color w:val="4A4A4A"/>
          <w:sz w:val="21"/>
          <w:szCs w:val="21"/>
          <w:lang w:eastAsia="en-GB"/>
        </w:rPr>
        <w:t xml:space="preserve">where </w:t>
      </w:r>
      <w:r w:rsidRPr="00645B6F">
        <w:rPr>
          <w:rFonts w:eastAsia="Times New Roman" w:cstheme="minorHAnsi"/>
          <w:i/>
          <w:noProof/>
          <w:color w:val="4A4A4A"/>
          <w:sz w:val="21"/>
          <w:szCs w:val="21"/>
          <w:lang w:eastAsia="en-GB"/>
        </w:rPr>
        <w:t xml:space="preserve">i </w:t>
      </w:r>
      <w:r w:rsidRPr="00645B6F">
        <w:rPr>
          <w:rFonts w:eastAsia="Times New Roman" w:cstheme="minorHAnsi"/>
          <w:noProof/>
          <w:color w:val="4A4A4A"/>
          <w:sz w:val="21"/>
          <w:szCs w:val="21"/>
          <w:lang w:eastAsia="en-GB"/>
        </w:rPr>
        <w:t>denotes a household,</w:t>
      </w:r>
      <w:r w:rsidRPr="00645B6F">
        <w:rPr>
          <w:rFonts w:eastAsia="Times New Roman" w:cstheme="minorHAnsi"/>
          <w:i/>
          <w:noProof/>
          <w:color w:val="4A4A4A"/>
          <w:sz w:val="21"/>
          <w:szCs w:val="21"/>
          <w:lang w:eastAsia="en-GB"/>
        </w:rPr>
        <w:t xml:space="preserve"> 1()</w:t>
      </w:r>
      <w:r w:rsidRPr="00645B6F">
        <w:rPr>
          <w:rFonts w:eastAsia="Times New Roman" w:cstheme="minorHAnsi"/>
          <w:noProof/>
          <w:color w:val="4A4A4A"/>
          <w:sz w:val="21"/>
          <w:szCs w:val="21"/>
          <w:lang w:eastAsia="en-GB"/>
        </w:rPr>
        <w:t xml:space="preserve"> is the indicator function that takes on the value 1 if the bracketed expression is true, and 0 otherwise, </w:t>
      </w:r>
      <w:r w:rsidRPr="00645B6F">
        <w:rPr>
          <w:rFonts w:eastAsia="Times New Roman" w:cstheme="minorHAnsi"/>
          <w:i/>
          <w:noProof/>
          <w:color w:val="4A4A4A"/>
          <w:sz w:val="21"/>
          <w:szCs w:val="21"/>
          <w:lang w:eastAsia="en-GB"/>
        </w:rPr>
        <w:t>m</w:t>
      </w:r>
      <w:r w:rsidRPr="00645B6F">
        <w:rPr>
          <w:rFonts w:eastAsia="Times New Roman" w:cstheme="minorHAnsi"/>
          <w:i/>
          <w:noProof/>
          <w:color w:val="4A4A4A"/>
          <w:sz w:val="21"/>
          <w:szCs w:val="21"/>
          <w:vertAlign w:val="subscript"/>
          <w:lang w:eastAsia="en-GB"/>
        </w:rPr>
        <w:t>i</w:t>
      </w:r>
      <w:r w:rsidRPr="00645B6F">
        <w:rPr>
          <w:rFonts w:eastAsia="Times New Roman" w:cstheme="minorHAnsi"/>
          <w:noProof/>
          <w:color w:val="4A4A4A"/>
          <w:sz w:val="21"/>
          <w:szCs w:val="21"/>
          <w:lang w:eastAsia="en-GB"/>
        </w:rPr>
        <w:t xml:space="preserve"> corresponds to the number of household members of </w:t>
      </w:r>
      <w:r w:rsidRPr="00645B6F">
        <w:rPr>
          <w:rFonts w:eastAsia="Times New Roman" w:cstheme="minorHAnsi"/>
          <w:i/>
          <w:iCs/>
          <w:noProof/>
          <w:color w:val="4A4A4A"/>
          <w:sz w:val="21"/>
          <w:szCs w:val="21"/>
          <w:lang w:eastAsia="en-GB"/>
        </w:rPr>
        <w:t>i</w:t>
      </w:r>
      <w:r w:rsidRPr="00645B6F">
        <w:rPr>
          <w:rFonts w:eastAsia="Times New Roman" w:cstheme="minorHAnsi"/>
          <w:noProof/>
          <w:color w:val="4A4A4A"/>
          <w:sz w:val="21"/>
          <w:szCs w:val="21"/>
          <w:lang w:eastAsia="en-GB"/>
        </w:rPr>
        <w:t>,</w:t>
      </w:r>
      <m:oMath>
        <m:r>
          <w:rPr>
            <w:rFonts w:ascii="Cambria Math" w:eastAsia="Times New Roman" w:hAnsi="Cambria Math" w:cstheme="minorHAnsi"/>
            <w:noProof/>
            <w:color w:val="4A4A4A"/>
            <w:sz w:val="21"/>
            <w:szCs w:val="21"/>
            <w:lang w:eastAsia="en-GB"/>
          </w:rPr>
          <m:t xml:space="preserve"> </m:t>
        </m:r>
        <m:sSub>
          <m:sSubPr>
            <m:ctrlPr>
              <w:rPr>
                <w:rFonts w:ascii="Cambria Math" w:eastAsia="Times New Roman" w:hAnsi="Cambria Math" w:cstheme="minorHAnsi"/>
                <w:i/>
                <w:noProof/>
                <w:color w:val="4A4A4A"/>
                <w:sz w:val="21"/>
                <w:szCs w:val="21"/>
                <w:lang w:eastAsia="en-GB"/>
              </w:rPr>
            </m:ctrlPr>
          </m:sSubPr>
          <m:e>
            <m:r>
              <w:rPr>
                <w:rFonts w:ascii="Cambria Math" w:eastAsia="Times New Roman" w:hAnsi="Cambria Math" w:cstheme="minorHAnsi"/>
                <w:noProof/>
                <w:color w:val="4A4A4A"/>
                <w:sz w:val="21"/>
                <w:szCs w:val="21"/>
                <w:lang w:eastAsia="en-GB"/>
              </w:rPr>
              <m:t>ω</m:t>
            </m:r>
          </m:e>
          <m:sub>
            <m:r>
              <w:rPr>
                <w:rFonts w:ascii="Cambria Math" w:eastAsia="Times New Roman" w:hAnsi="Cambria Math" w:cstheme="minorHAnsi"/>
                <w:noProof/>
                <w:color w:val="4A4A4A"/>
                <w:sz w:val="21"/>
                <w:szCs w:val="21"/>
                <w:lang w:eastAsia="en-GB"/>
              </w:rPr>
              <m:t>i</m:t>
            </m:r>
          </m:sub>
        </m:sSub>
      </m:oMath>
      <w:r w:rsidRPr="00645B6F">
        <w:rPr>
          <w:rFonts w:eastAsia="Times New Roman" w:cstheme="minorHAnsi"/>
          <w:noProof/>
          <w:color w:val="4A4A4A"/>
          <w:sz w:val="21"/>
          <w:szCs w:val="21"/>
          <w:lang w:eastAsia="en-GB"/>
        </w:rPr>
        <w:t xml:space="preserve"> corresponds to the sampling weight of household </w:t>
      </w:r>
      <w:r w:rsidRPr="00645B6F">
        <w:rPr>
          <w:rFonts w:eastAsia="Times New Roman" w:cstheme="minorHAnsi"/>
          <w:i/>
          <w:iCs/>
          <w:noProof/>
          <w:color w:val="4A4A4A"/>
          <w:sz w:val="21"/>
          <w:szCs w:val="21"/>
          <w:lang w:eastAsia="en-GB"/>
        </w:rPr>
        <w:t>i</w:t>
      </w:r>
      <w:r w:rsidRPr="00645B6F">
        <w:rPr>
          <w:rFonts w:eastAsia="Times New Roman" w:cstheme="minorHAnsi"/>
          <w:noProof/>
          <w:color w:val="4A4A4A"/>
          <w:sz w:val="21"/>
          <w:szCs w:val="21"/>
          <w:lang w:eastAsia="en-GB"/>
        </w:rPr>
        <w:t xml:space="preserve">, </w:t>
      </w:r>
      <m:oMath>
        <m:r>
          <m:rPr>
            <m:sty m:val="p"/>
          </m:rPr>
          <w:rPr>
            <w:rFonts w:ascii="Cambria Math" w:eastAsia="Times New Roman" w:hAnsi="Cambria Math" w:cstheme="minorHAnsi"/>
            <w:noProof/>
            <w:color w:val="4A4A4A"/>
            <w:sz w:val="21"/>
            <w:szCs w:val="21"/>
            <w:lang w:eastAsia="en-GB"/>
          </w:rPr>
          <m:t>τ</m:t>
        </m:r>
      </m:oMath>
      <w:r w:rsidRPr="00645B6F">
        <w:rPr>
          <w:rFonts w:eastAsia="Times New Roman" w:cstheme="minorHAnsi"/>
          <w:noProof/>
          <w:color w:val="4A4A4A"/>
          <w:sz w:val="21"/>
          <w:szCs w:val="21"/>
          <w:lang w:eastAsia="en-GB"/>
        </w:rPr>
        <w:t xml:space="preserve"> is a threshold identifying large household expenditure on health as a share of total household consumption or income (i.e.</w:t>
      </w:r>
      <w:r w:rsidR="00515212">
        <w:rPr>
          <w:rFonts w:eastAsia="Times New Roman" w:cstheme="minorHAnsi"/>
          <w:noProof/>
          <w:color w:val="4A4A4A"/>
          <w:sz w:val="21"/>
          <w:szCs w:val="21"/>
          <w:lang w:eastAsia="en-GB"/>
        </w:rPr>
        <w:t>,</w:t>
      </w:r>
      <w:r w:rsidRPr="00645B6F">
        <w:rPr>
          <w:rFonts w:eastAsia="Times New Roman" w:cstheme="minorHAnsi"/>
          <w:noProof/>
          <w:color w:val="4A4A4A"/>
          <w:sz w:val="21"/>
          <w:szCs w:val="21"/>
          <w:lang w:eastAsia="en-GB"/>
        </w:rPr>
        <w:t xml:space="preserve"> 10% and 25%). </w:t>
      </w:r>
    </w:p>
    <w:p w14:paraId="1D54933C" w14:textId="3CA5A440" w:rsidR="00B55A32" w:rsidRPr="00645B6F" w:rsidRDefault="00B55A32" w:rsidP="00B55A32">
      <w:pPr>
        <w:shd w:val="clear" w:color="auto" w:fill="FFFFFF"/>
        <w:spacing w:after="0"/>
        <w:rPr>
          <w:rFonts w:eastAsia="TT15Ct00" w:cstheme="minorHAnsi"/>
          <w:color w:val="4A4A4A"/>
          <w:sz w:val="21"/>
          <w:szCs w:val="21"/>
          <w:lang w:eastAsia="en-GB"/>
        </w:rPr>
      </w:pPr>
      <w:r w:rsidRPr="00645B6F">
        <w:rPr>
          <w:rFonts w:eastAsia="TT15Ct00" w:cstheme="minorHAnsi"/>
          <w:color w:val="4A4A4A"/>
          <w:sz w:val="21"/>
          <w:szCs w:val="21"/>
          <w:lang w:eastAsia="en-GB"/>
        </w:rPr>
        <w:t xml:space="preserve">Household health expenditure and household expenditure or income are defined as explained in the </w:t>
      </w:r>
      <w:r w:rsidR="00CC4C44">
        <w:rPr>
          <w:rFonts w:eastAsia="TT15Ct00" w:cstheme="minorHAnsi"/>
          <w:color w:val="4A4A4A"/>
          <w:sz w:val="21"/>
          <w:szCs w:val="21"/>
          <w:lang w:eastAsia="en-GB"/>
        </w:rPr>
        <w:t>2.a Definitions and concepts</w:t>
      </w:r>
      <w:r w:rsidRPr="00645B6F">
        <w:rPr>
          <w:rFonts w:eastAsia="TT15Ct00" w:cstheme="minorHAnsi"/>
          <w:color w:val="4A4A4A"/>
          <w:sz w:val="21"/>
          <w:szCs w:val="21"/>
          <w:lang w:eastAsia="en-GB"/>
        </w:rPr>
        <w:t xml:space="preserve"> section. For more information about the methodology</w:t>
      </w:r>
      <w:r w:rsidR="00515212">
        <w:rPr>
          <w:rFonts w:eastAsia="TT15Ct00" w:cstheme="minorHAnsi"/>
          <w:color w:val="4A4A4A"/>
          <w:sz w:val="21"/>
          <w:szCs w:val="21"/>
          <w:lang w:eastAsia="en-GB"/>
        </w:rPr>
        <w:t>,</w:t>
      </w:r>
      <w:r w:rsidRPr="00645B6F">
        <w:rPr>
          <w:rFonts w:eastAsia="TT15Ct00" w:cstheme="minorHAnsi"/>
          <w:color w:val="4A4A4A"/>
          <w:sz w:val="21"/>
          <w:szCs w:val="21"/>
          <w:lang w:eastAsia="en-GB"/>
        </w:rPr>
        <w:t xml:space="preserve"> please refer to Wagstaff et al</w:t>
      </w:r>
      <w:r w:rsidR="00515212">
        <w:rPr>
          <w:rFonts w:eastAsia="TT15Ct00" w:cstheme="minorHAnsi"/>
          <w:color w:val="4A4A4A"/>
          <w:sz w:val="21"/>
          <w:szCs w:val="21"/>
          <w:lang w:eastAsia="en-GB"/>
        </w:rPr>
        <w:t>.</w:t>
      </w:r>
      <w:r w:rsidRPr="00645B6F">
        <w:rPr>
          <w:rFonts w:eastAsia="TT15Ct00" w:cstheme="minorHAnsi"/>
          <w:color w:val="4A4A4A"/>
          <w:sz w:val="21"/>
          <w:szCs w:val="21"/>
          <w:lang w:eastAsia="en-GB"/>
        </w:rPr>
        <w:t xml:space="preserve"> (2018) and </w:t>
      </w:r>
      <w:r w:rsidR="00515212">
        <w:rPr>
          <w:rFonts w:eastAsia="TT15Ct00" w:cstheme="minorHAnsi"/>
          <w:color w:val="4A4A4A"/>
          <w:sz w:val="21"/>
          <w:szCs w:val="21"/>
          <w:lang w:eastAsia="en-GB"/>
        </w:rPr>
        <w:t>C</w:t>
      </w:r>
      <w:r w:rsidR="00515212" w:rsidRPr="00645B6F">
        <w:rPr>
          <w:rFonts w:eastAsia="TT15Ct00" w:cstheme="minorHAnsi"/>
          <w:color w:val="4A4A4A"/>
          <w:sz w:val="21"/>
          <w:szCs w:val="21"/>
          <w:lang w:eastAsia="en-GB"/>
        </w:rPr>
        <w:t xml:space="preserve">hapter </w:t>
      </w:r>
      <w:r w:rsidRPr="00645B6F">
        <w:rPr>
          <w:rFonts w:eastAsia="TT15Ct00" w:cstheme="minorHAnsi"/>
          <w:color w:val="4A4A4A"/>
          <w:sz w:val="21"/>
          <w:szCs w:val="21"/>
          <w:lang w:eastAsia="en-GB"/>
        </w:rPr>
        <w:t>2 in the WHO and World Bank 2017 report on tracking universal health coverage.</w:t>
      </w:r>
    </w:p>
    <w:p w14:paraId="6A89839E" w14:textId="77777777" w:rsidR="00576CFA" w:rsidRPr="00645B6F" w:rsidRDefault="00576CFA" w:rsidP="00576CFA">
      <w:pPr>
        <w:pStyle w:val="MText"/>
        <w:rPr>
          <w:rFonts w:cstheme="minorHAnsi"/>
        </w:rPr>
      </w:pPr>
    </w:p>
    <w:p w14:paraId="514CE3C0" w14:textId="3F3F7A53" w:rsidR="00E1050F" w:rsidRPr="00645B6F" w:rsidRDefault="00576CFA" w:rsidP="00F719A8">
      <w:pPr>
        <w:pStyle w:val="MHeader2"/>
        <w:rPr>
          <w:rFonts w:cstheme="minorHAnsi"/>
        </w:rPr>
      </w:pPr>
      <w:r w:rsidRPr="00645B6F">
        <w:rPr>
          <w:rFonts w:cstheme="minorHAnsi"/>
        </w:rPr>
        <w:t xml:space="preserve">4.d. Validation </w:t>
      </w:r>
      <w:r>
        <w:rPr>
          <w:color w:val="B4B4B4"/>
          <w:sz w:val="20"/>
        </w:rPr>
      </w:r>
      <w:r>
        <w:rPr>
          <w:color w:val="B4B4B4"/>
          <w:sz w:val="20"/>
        </w:rPr>
        <w:t>(DATA_VALIDATION)</w:t>
      </w:r>
    </w:p>
    <w:p w14:paraId="746FA91F" w14:textId="1B534B89" w:rsidR="00F719A8" w:rsidRDefault="004A6AB5" w:rsidP="0070713B">
      <w:pPr>
        <w:pStyle w:val="MText"/>
        <w:rPr>
          <w:rFonts w:cstheme="minorHAnsi"/>
        </w:rPr>
      </w:pPr>
      <w:r>
        <w:rPr>
          <w:rFonts w:cstheme="minorHAnsi"/>
        </w:rPr>
        <w:t>The microdata obtained by WHO is requested</w:t>
      </w:r>
      <w:r w:rsidR="00695D71">
        <w:rPr>
          <w:rFonts w:cstheme="minorHAnsi"/>
        </w:rPr>
        <w:t xml:space="preserve"> to National Statistical Offices</w:t>
      </w:r>
      <w:r>
        <w:rPr>
          <w:rFonts w:cstheme="minorHAnsi"/>
        </w:rPr>
        <w:t xml:space="preserve"> with </w:t>
      </w:r>
      <w:r w:rsidR="00C63F7D">
        <w:rPr>
          <w:rFonts w:cstheme="minorHAnsi"/>
        </w:rPr>
        <w:t xml:space="preserve">the </w:t>
      </w:r>
      <w:r w:rsidR="00695D71">
        <w:rPr>
          <w:rFonts w:cstheme="minorHAnsi"/>
        </w:rPr>
        <w:t>denominator</w:t>
      </w:r>
      <w:r w:rsidR="00C63F7D">
        <w:rPr>
          <w:rFonts w:cstheme="minorHAnsi"/>
        </w:rPr>
        <w:t xml:space="preserve"> (household total consumption expenditure) already constructed </w:t>
      </w:r>
      <w:r w:rsidR="00C63F7D" w:rsidRPr="00645B6F">
        <w:rPr>
          <w:rFonts w:cstheme="minorHAnsi"/>
        </w:rPr>
        <w:t>following their own guidelines</w:t>
      </w:r>
      <w:r w:rsidR="00C40A35">
        <w:rPr>
          <w:rFonts w:cstheme="minorHAnsi"/>
        </w:rPr>
        <w:t xml:space="preserve"> and </w:t>
      </w:r>
      <w:r w:rsidR="00C40A35">
        <w:rPr>
          <w:rFonts w:cstheme="minorHAnsi"/>
        </w:rPr>
        <w:lastRenderedPageBreak/>
        <w:t>follows those guidelines when the denominator is not provided</w:t>
      </w:r>
      <w:r w:rsidR="00695D71">
        <w:rPr>
          <w:rFonts w:cstheme="minorHAnsi"/>
        </w:rPr>
        <w:t>.</w:t>
      </w:r>
      <w:r w:rsidR="00777904">
        <w:rPr>
          <w:rFonts w:cstheme="minorHAnsi"/>
        </w:rPr>
        <w:t xml:space="preserve"> WHO </w:t>
      </w:r>
      <w:r w:rsidR="001507D6">
        <w:rPr>
          <w:rFonts w:cstheme="minorHAnsi"/>
        </w:rPr>
        <w:t xml:space="preserve">generates </w:t>
      </w:r>
      <w:r w:rsidR="00777904">
        <w:rPr>
          <w:rFonts w:cstheme="minorHAnsi"/>
        </w:rPr>
        <w:t xml:space="preserve">the numerator </w:t>
      </w:r>
      <w:r w:rsidR="001507D6">
        <w:rPr>
          <w:rFonts w:cstheme="minorHAnsi"/>
        </w:rPr>
        <w:t>(hou</w:t>
      </w:r>
      <w:r w:rsidR="00777904">
        <w:rPr>
          <w:rFonts w:cstheme="minorHAnsi"/>
        </w:rPr>
        <w:t>sehold total health spending)</w:t>
      </w:r>
      <w:r w:rsidR="002E187F">
        <w:rPr>
          <w:rFonts w:cstheme="minorHAnsi"/>
        </w:rPr>
        <w:t xml:space="preserve"> following the definitions and classifications described in 2.a and 2.c.</w:t>
      </w:r>
      <w:r w:rsidR="0073361C">
        <w:rPr>
          <w:rFonts w:cstheme="minorHAnsi"/>
        </w:rPr>
        <w:t xml:space="preserve"> </w:t>
      </w:r>
    </w:p>
    <w:p w14:paraId="65857872" w14:textId="4C6A97A9" w:rsidR="00486CE3" w:rsidRDefault="00486CE3" w:rsidP="0070713B">
      <w:pPr>
        <w:pStyle w:val="MText"/>
        <w:rPr>
          <w:rFonts w:cstheme="minorHAnsi"/>
        </w:rPr>
      </w:pPr>
    </w:p>
    <w:p w14:paraId="30491DF7" w14:textId="664DFD8F" w:rsidR="00486CE3" w:rsidRDefault="00486CE3" w:rsidP="0070713B">
      <w:pPr>
        <w:pStyle w:val="MText"/>
        <w:rPr>
          <w:rFonts w:cstheme="minorHAnsi"/>
        </w:rPr>
      </w:pPr>
      <w:r>
        <w:rPr>
          <w:rFonts w:cstheme="minorHAnsi"/>
        </w:rPr>
        <w:t xml:space="preserve">The microdata obtained by the </w:t>
      </w:r>
      <w:r w:rsidR="00C33129">
        <w:rPr>
          <w:rFonts w:cstheme="minorHAnsi"/>
        </w:rPr>
        <w:t>World Bank</w:t>
      </w:r>
      <w:r w:rsidR="00182CD4">
        <w:rPr>
          <w:rFonts w:cstheme="minorHAnsi"/>
        </w:rPr>
        <w:t xml:space="preserve"> </w:t>
      </w:r>
      <w:r w:rsidR="007025E2">
        <w:rPr>
          <w:rFonts w:cstheme="minorHAnsi"/>
        </w:rPr>
        <w:t xml:space="preserve">is </w:t>
      </w:r>
      <w:r w:rsidR="00DD6235">
        <w:rPr>
          <w:rFonts w:cstheme="minorHAnsi"/>
        </w:rPr>
        <w:t>provided by country governments</w:t>
      </w:r>
      <w:r w:rsidR="007025E2">
        <w:rPr>
          <w:rFonts w:cstheme="minorHAnsi"/>
        </w:rPr>
        <w:t xml:space="preserve"> </w:t>
      </w:r>
      <w:r w:rsidR="00E53D2E">
        <w:rPr>
          <w:rFonts w:cstheme="minorHAnsi"/>
        </w:rPr>
        <w:t>and</w:t>
      </w:r>
      <w:r w:rsidR="007025E2">
        <w:rPr>
          <w:rFonts w:cstheme="minorHAnsi"/>
        </w:rPr>
        <w:t xml:space="preserve"> typically</w:t>
      </w:r>
      <w:r w:rsidR="00DD6235">
        <w:rPr>
          <w:rFonts w:cstheme="minorHAnsi"/>
        </w:rPr>
        <w:t xml:space="preserve"> </w:t>
      </w:r>
      <w:r w:rsidR="00182CD4">
        <w:rPr>
          <w:rFonts w:cstheme="minorHAnsi"/>
        </w:rPr>
        <w:t xml:space="preserve">includes the denominator and the </w:t>
      </w:r>
      <w:r w:rsidR="00CA0D1B">
        <w:rPr>
          <w:rFonts w:cstheme="minorHAnsi"/>
        </w:rPr>
        <w:t xml:space="preserve">numerator </w:t>
      </w:r>
      <w:r w:rsidR="007025E2">
        <w:rPr>
          <w:rFonts w:cstheme="minorHAnsi"/>
        </w:rPr>
        <w:t>already</w:t>
      </w:r>
      <w:r w:rsidR="00232615">
        <w:rPr>
          <w:rFonts w:cstheme="minorHAnsi"/>
        </w:rPr>
        <w:t xml:space="preserve"> constructed</w:t>
      </w:r>
      <w:r w:rsidR="007025E2">
        <w:rPr>
          <w:rFonts w:cstheme="minorHAnsi"/>
        </w:rPr>
        <w:t>.</w:t>
      </w:r>
      <w:r w:rsidR="00E53D2E" w:rsidRPr="00E53D2E">
        <w:t xml:space="preserve"> </w:t>
      </w:r>
      <w:r w:rsidR="00E53D2E" w:rsidRPr="00E53D2E">
        <w:rPr>
          <w:rFonts w:cstheme="minorHAnsi"/>
        </w:rPr>
        <w:t>Sometimes, the World Bank has to construct the welfare aggregate or adjust the aggregate provided by the country.</w:t>
      </w:r>
    </w:p>
    <w:p w14:paraId="59053B94" w14:textId="38CB746F" w:rsidR="00530E58" w:rsidRDefault="00530E58" w:rsidP="0070713B">
      <w:pPr>
        <w:pStyle w:val="MText"/>
        <w:rPr>
          <w:rFonts w:cstheme="minorHAnsi"/>
        </w:rPr>
      </w:pPr>
    </w:p>
    <w:p w14:paraId="703E8DBA" w14:textId="50DA36CC" w:rsidR="00530E58" w:rsidRDefault="00530E58" w:rsidP="00471B87">
      <w:pPr>
        <w:pStyle w:val="MText"/>
        <w:rPr>
          <w:rFonts w:cstheme="minorHAnsi"/>
        </w:rPr>
      </w:pPr>
      <w:r>
        <w:rPr>
          <w:rFonts w:cstheme="minorHAnsi"/>
        </w:rPr>
        <w:t>The microdata obtained by both institutions</w:t>
      </w:r>
      <w:r w:rsidR="00762C0C">
        <w:rPr>
          <w:rFonts w:cstheme="minorHAnsi"/>
        </w:rPr>
        <w:t xml:space="preserve"> to track SDG indicator 3.8.2</w:t>
      </w:r>
      <w:r w:rsidR="000C1381">
        <w:rPr>
          <w:rFonts w:cstheme="minorHAnsi"/>
        </w:rPr>
        <w:t xml:space="preserve"> has</w:t>
      </w:r>
      <w:r w:rsidR="00762C0C">
        <w:rPr>
          <w:rFonts w:cstheme="minorHAnsi"/>
        </w:rPr>
        <w:t xml:space="preserve"> typically</w:t>
      </w:r>
      <w:r w:rsidR="000C1381">
        <w:rPr>
          <w:rFonts w:cstheme="minorHAnsi"/>
        </w:rPr>
        <w:t xml:space="preserve"> already been </w:t>
      </w:r>
      <w:r>
        <w:rPr>
          <w:rFonts w:cstheme="minorHAnsi"/>
        </w:rPr>
        <w:t>checked for quality</w:t>
      </w:r>
      <w:r w:rsidR="00762C0C">
        <w:rPr>
          <w:rFonts w:cstheme="minorHAnsi"/>
        </w:rPr>
        <w:t xml:space="preserve"> to track other important indicators (e.g. SDG indicator 1.1.1). </w:t>
      </w:r>
      <w:r w:rsidR="004A6B0F">
        <w:rPr>
          <w:rFonts w:cstheme="minorHAnsi"/>
        </w:rPr>
        <w:t>A quality assessment is performed before consulting countries on SDG 3.8.2 estimates (see section 4.k).</w:t>
      </w:r>
    </w:p>
    <w:p w14:paraId="5E7505D3" w14:textId="4A6D6810" w:rsidR="00412FE1" w:rsidRDefault="00412FE1" w:rsidP="00471B87">
      <w:pPr>
        <w:pStyle w:val="MText"/>
        <w:rPr>
          <w:rFonts w:cstheme="minorHAnsi"/>
        </w:rPr>
      </w:pPr>
    </w:p>
    <w:p w14:paraId="623E03AE" w14:textId="399B113A" w:rsidR="00412FE1" w:rsidRPr="00645B6F" w:rsidRDefault="00412FE1" w:rsidP="00471B87">
      <w:pPr>
        <w:pStyle w:val="MText"/>
        <w:rPr>
          <w:rFonts w:cstheme="minorHAnsi"/>
        </w:rPr>
      </w:pPr>
      <w:r>
        <w:rPr>
          <w:rFonts w:cstheme="minorHAnsi"/>
        </w:rPr>
        <w:t xml:space="preserve">The estimates produced by both organizations are included in </w:t>
      </w:r>
      <w:r w:rsidR="0092485E">
        <w:rPr>
          <w:rFonts w:cstheme="minorHAnsi"/>
        </w:rPr>
        <w:t>a</w:t>
      </w:r>
      <w:r>
        <w:rPr>
          <w:rFonts w:cstheme="minorHAnsi"/>
        </w:rPr>
        <w:t xml:space="preserve"> consultation to obtain </w:t>
      </w:r>
      <w:r w:rsidR="007B18BC">
        <w:rPr>
          <w:rFonts w:cstheme="minorHAnsi"/>
        </w:rPr>
        <w:t xml:space="preserve">the </w:t>
      </w:r>
      <w:r>
        <w:rPr>
          <w:rFonts w:cstheme="minorHAnsi"/>
        </w:rPr>
        <w:t>country’s feedback</w:t>
      </w:r>
      <w:r w:rsidR="0092485E">
        <w:rPr>
          <w:rFonts w:cstheme="minorHAnsi"/>
        </w:rPr>
        <w:t xml:space="preserve"> </w:t>
      </w:r>
      <w:r w:rsidR="00F334D9">
        <w:rPr>
          <w:rFonts w:cstheme="minorHAnsi"/>
        </w:rPr>
        <w:t xml:space="preserve">and revise </w:t>
      </w:r>
      <w:r w:rsidR="008C1FB0">
        <w:rPr>
          <w:rFonts w:cstheme="minorHAnsi"/>
        </w:rPr>
        <w:t>as needed.</w:t>
      </w:r>
    </w:p>
    <w:p w14:paraId="0025F830" w14:textId="77777777" w:rsidR="00F719A8" w:rsidRPr="00645B6F" w:rsidRDefault="00F719A8" w:rsidP="00576CFA">
      <w:pPr>
        <w:pStyle w:val="MText"/>
        <w:rPr>
          <w:rFonts w:cstheme="minorHAnsi"/>
        </w:rPr>
      </w:pPr>
    </w:p>
    <w:p w14:paraId="2CF2A343" w14:textId="0A7F0CBE" w:rsidR="00E1050F" w:rsidRPr="00645B6F" w:rsidRDefault="00E1050F" w:rsidP="00F719A8">
      <w:pPr>
        <w:pStyle w:val="MHeader2"/>
        <w:rPr>
          <w:rFonts w:cstheme="minorHAnsi"/>
        </w:rPr>
      </w:pPr>
      <w:r w:rsidRPr="00645B6F">
        <w:rPr>
          <w:rFonts w:cstheme="minorHAnsi"/>
        </w:rPr>
        <w:t xml:space="preserve">4.e. Adjustments </w:t>
      </w:r>
      <w:r>
        <w:rPr>
          <w:color w:val="B4B4B4"/>
          <w:sz w:val="20"/>
        </w:rPr>
      </w:r>
      <w:r>
        <w:rPr>
          <w:color w:val="B4B4B4"/>
          <w:sz w:val="20"/>
        </w:rPr>
        <w:t>(ADJUSTMENT)</w:t>
      </w:r>
    </w:p>
    <w:p w14:paraId="5032CC5E" w14:textId="19F5BFDD" w:rsidR="00576CFA" w:rsidRPr="00645B6F" w:rsidRDefault="0093286F" w:rsidP="00576CFA">
      <w:pPr>
        <w:pStyle w:val="MText"/>
        <w:rPr>
          <w:rFonts w:cstheme="minorHAnsi"/>
        </w:rPr>
      </w:pPr>
      <w:r>
        <w:t>Not applicable</w:t>
      </w:r>
    </w:p>
    <w:p w14:paraId="7FBAEBBA" w14:textId="77777777" w:rsidR="00EC2915" w:rsidRPr="00645B6F" w:rsidRDefault="00EC2915" w:rsidP="00576CFA">
      <w:pPr>
        <w:pStyle w:val="MText"/>
        <w:rPr>
          <w:rFonts w:cstheme="minorHAnsi"/>
        </w:rPr>
      </w:pPr>
    </w:p>
    <w:p w14:paraId="17735630" w14:textId="3387C27D" w:rsidR="00E1050F" w:rsidRPr="00645B6F" w:rsidRDefault="00576CFA" w:rsidP="00F719A8">
      <w:pPr>
        <w:pStyle w:val="MHeader2"/>
        <w:rPr>
          <w:rFonts w:cstheme="minorHAnsi"/>
        </w:rPr>
      </w:pPr>
      <w:r w:rsidRPr="00645B6F">
        <w:rPr>
          <w:rFonts w:cstheme="minorHAnsi"/>
        </w:rPr>
        <w:t xml:space="preserve">4.f. Treatment of missing values (i) at country level and (ii) at regional level </w:t>
      </w:r>
      <w:r>
        <w:rPr>
          <w:color w:val="B4B4B4"/>
          <w:sz w:val="20"/>
        </w:rPr>
      </w:r>
      <w:r>
        <w:rPr>
          <w:color w:val="B4B4B4"/>
          <w:sz w:val="20"/>
        </w:rPr>
        <w:t>(IMPUTATION)</w:t>
      </w:r>
    </w:p>
    <w:p w14:paraId="38E73556" w14:textId="68AF10C2" w:rsidR="00B97AAB" w:rsidRPr="003D6A3E" w:rsidRDefault="00B97AAB" w:rsidP="003D6A3E">
      <w:pPr>
        <w:pStyle w:val="ListParagraph"/>
        <w:numPr>
          <w:ilvl w:val="0"/>
          <w:numId w:val="9"/>
        </w:numPr>
        <w:shd w:val="clear" w:color="auto" w:fill="FFFFFF"/>
        <w:spacing w:after="0"/>
        <w:rPr>
          <w:rFonts w:eastAsia="Times New Roman" w:cstheme="minorHAnsi"/>
          <w:b/>
          <w:bCs/>
          <w:color w:val="4A4A4A"/>
          <w:sz w:val="21"/>
          <w:szCs w:val="21"/>
          <w:lang w:eastAsia="en-GB"/>
        </w:rPr>
      </w:pPr>
      <w:r w:rsidRPr="003D6A3E">
        <w:rPr>
          <w:rFonts w:eastAsia="Times New Roman" w:cstheme="minorHAnsi"/>
          <w:b/>
          <w:bCs/>
          <w:color w:val="4A4A4A"/>
          <w:sz w:val="21"/>
          <w:szCs w:val="21"/>
          <w:lang w:eastAsia="en-GB"/>
        </w:rPr>
        <w:t>At country level</w:t>
      </w:r>
    </w:p>
    <w:p w14:paraId="3D298E44" w14:textId="2E5C9F09" w:rsidR="00B55A32"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At the country level</w:t>
      </w:r>
      <w:r w:rsidR="005A5032">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no imputation is attempted to produce estimates. The proportion of the population with large household expenditure on health as a share of total household expenditure or income is estimated for all years for which a nationally representative survey on </w:t>
      </w:r>
      <w:r w:rsidR="005A5032">
        <w:rPr>
          <w:rFonts w:eastAsia="Times New Roman" w:cstheme="minorHAnsi"/>
          <w:color w:val="4A4A4A"/>
          <w:sz w:val="21"/>
          <w:szCs w:val="21"/>
          <w:lang w:eastAsia="en-GB"/>
        </w:rPr>
        <w:t xml:space="preserve">the </w:t>
      </w:r>
      <w:r w:rsidRPr="00645B6F">
        <w:rPr>
          <w:rFonts w:eastAsia="Times New Roman" w:cstheme="minorHAnsi"/>
          <w:color w:val="4A4A4A"/>
          <w:sz w:val="21"/>
          <w:szCs w:val="21"/>
          <w:lang w:eastAsia="en-GB"/>
        </w:rPr>
        <w:t>household budget, household income and expenditure, socio-economic conditions or living standards is available with information on both total household expenditure or income and total household expenditure on health. When there are multiple surveys over time for the same country</w:t>
      </w:r>
      <w:r w:rsidR="004C3921">
        <w:rPr>
          <w:rFonts w:eastAsia="Times New Roman" w:cstheme="minorHAnsi"/>
          <w:color w:val="4A4A4A"/>
          <w:sz w:val="21"/>
          <w:szCs w:val="21"/>
          <w:lang w:eastAsia="en-GB"/>
        </w:rPr>
        <w:t xml:space="preserve"> from different collections</w:t>
      </w:r>
      <w:r w:rsidR="005A5032">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a preference is given to estimates produced based on the same</w:t>
      </w:r>
      <w:r w:rsidR="003B3B81">
        <w:rPr>
          <w:rFonts w:eastAsia="Times New Roman" w:cstheme="minorHAnsi"/>
          <w:color w:val="4A4A4A"/>
          <w:sz w:val="21"/>
          <w:szCs w:val="21"/>
          <w:lang w:eastAsia="en-GB"/>
        </w:rPr>
        <w:t xml:space="preserve"> type of</w:t>
      </w:r>
      <w:r w:rsidRPr="00645B6F">
        <w:rPr>
          <w:rFonts w:eastAsia="Times New Roman" w:cstheme="minorHAnsi"/>
          <w:color w:val="4A4A4A"/>
          <w:sz w:val="21"/>
          <w:szCs w:val="21"/>
          <w:lang w:eastAsia="en-GB"/>
        </w:rPr>
        <w:t xml:space="preserve"> survey. A series of tests is performed to retain the best performing series (see </w:t>
      </w:r>
      <w:r w:rsidR="005D263C">
        <w:rPr>
          <w:rFonts w:eastAsia="Times New Roman" w:cstheme="minorHAnsi"/>
          <w:color w:val="4A4A4A"/>
          <w:sz w:val="21"/>
          <w:szCs w:val="21"/>
          <w:lang w:eastAsia="en-GB"/>
        </w:rPr>
        <w:t>4.k</w:t>
      </w:r>
      <w:r w:rsidRPr="00645B6F">
        <w:rPr>
          <w:rFonts w:eastAsia="Times New Roman" w:cstheme="minorHAnsi"/>
          <w:color w:val="4A4A4A"/>
          <w:sz w:val="21"/>
          <w:szCs w:val="21"/>
          <w:lang w:eastAsia="en-GB"/>
        </w:rPr>
        <w:t>).</w:t>
      </w:r>
    </w:p>
    <w:p w14:paraId="7DE52D62" w14:textId="5C0AFC48" w:rsidR="006A0215" w:rsidRDefault="006A0215" w:rsidP="00B55A32">
      <w:pPr>
        <w:shd w:val="clear" w:color="auto" w:fill="FFFFFF"/>
        <w:spacing w:after="0"/>
        <w:rPr>
          <w:rFonts w:eastAsia="Times New Roman" w:cstheme="minorHAnsi"/>
          <w:color w:val="4A4A4A"/>
          <w:sz w:val="21"/>
          <w:szCs w:val="21"/>
          <w:lang w:eastAsia="en-GB"/>
        </w:rPr>
      </w:pPr>
    </w:p>
    <w:p w14:paraId="59FD576D" w14:textId="2228D494" w:rsidR="006A0215" w:rsidRPr="00FB5543" w:rsidRDefault="006A0215" w:rsidP="006A0215">
      <w:pPr>
        <w:pStyle w:val="MText"/>
        <w:rPr>
          <w:b/>
          <w:bCs/>
        </w:rPr>
      </w:pPr>
      <w:r w:rsidRPr="00FB5543">
        <w:rPr>
          <w:b/>
          <w:bCs/>
        </w:rPr>
        <w:t>•</w:t>
      </w:r>
      <w:r w:rsidRPr="00FB5543">
        <w:rPr>
          <w:b/>
          <w:bCs/>
        </w:rPr>
        <w:tab/>
        <w:t>At regional levels</w:t>
      </w:r>
    </w:p>
    <w:p w14:paraId="15B2D4EE" w14:textId="16FC1BB3" w:rsidR="003B5C94" w:rsidRPr="00C244A2" w:rsidRDefault="008A2311" w:rsidP="00D35867">
      <w:pPr>
        <w:pStyle w:val="MText"/>
      </w:pPr>
      <w:r w:rsidRPr="008A2311">
        <w:t xml:space="preserve">Because surveys are not conducted </w:t>
      </w:r>
      <w:r w:rsidR="002E7137">
        <w:t>yearly</w:t>
      </w:r>
      <w:r w:rsidRPr="008A2311">
        <w:t xml:space="preserve"> in most countries</w:t>
      </w:r>
      <w:r>
        <w:t xml:space="preserve">, </w:t>
      </w:r>
      <w:r w:rsidR="003E7288">
        <w:t>SDG 3.8.2 estimates</w:t>
      </w:r>
      <w:r w:rsidR="003B5C94">
        <w:t xml:space="preserve"> across countries</w:t>
      </w:r>
      <w:r w:rsidR="00B80043">
        <w:t xml:space="preserve"> are computed for different years. </w:t>
      </w:r>
      <w:r w:rsidR="00B80043" w:rsidRPr="00C244A2">
        <w:t xml:space="preserve">To </w:t>
      </w:r>
      <w:r w:rsidR="003B5C94">
        <w:t>compute</w:t>
      </w:r>
      <w:r w:rsidR="003B5C94" w:rsidRPr="00C244A2">
        <w:t xml:space="preserve"> regional</w:t>
      </w:r>
      <w:r w:rsidR="00504600" w:rsidRPr="00C244A2">
        <w:t xml:space="preserve"> and global</w:t>
      </w:r>
      <w:r w:rsidR="003B5C94" w:rsidRPr="00C244A2">
        <w:t xml:space="preserve"> </w:t>
      </w:r>
      <w:r w:rsidR="003B5C94">
        <w:t>aggregates</w:t>
      </w:r>
      <w:r w:rsidR="0019033C">
        <w:t xml:space="preserve"> for a common reference year</w:t>
      </w:r>
      <w:r w:rsidR="00913A6A" w:rsidRPr="00645B6F">
        <w:rPr>
          <w:rFonts w:cstheme="minorHAnsi"/>
        </w:rPr>
        <w:t xml:space="preserve"> </w:t>
      </w:r>
      <w:r w:rsidR="00913A6A">
        <w:rPr>
          <w:rFonts w:cstheme="minorHAnsi"/>
        </w:rPr>
        <w:t>(</w:t>
      </w:r>
      <w:r w:rsidR="0071333E">
        <w:rPr>
          <w:rFonts w:cstheme="minorHAnsi"/>
        </w:rPr>
        <w:t xml:space="preserve">i.e. every five years between </w:t>
      </w:r>
      <w:r w:rsidR="00913A6A" w:rsidRPr="00645B6F">
        <w:rPr>
          <w:rFonts w:cstheme="minorHAnsi"/>
        </w:rPr>
        <w:t>2000</w:t>
      </w:r>
      <w:r w:rsidR="0071333E">
        <w:rPr>
          <w:rFonts w:cstheme="minorHAnsi"/>
        </w:rPr>
        <w:t xml:space="preserve"> and </w:t>
      </w:r>
      <w:r w:rsidR="00913A6A">
        <w:rPr>
          <w:rFonts w:cstheme="minorHAnsi"/>
        </w:rPr>
        <w:t>2015</w:t>
      </w:r>
      <w:r w:rsidR="0071333E">
        <w:rPr>
          <w:rFonts w:cstheme="minorHAnsi"/>
        </w:rPr>
        <w:t>; every two years from 2015</w:t>
      </w:r>
      <w:r w:rsidR="002E7137">
        <w:rPr>
          <w:rFonts w:cstheme="minorHAnsi"/>
        </w:rPr>
        <w:t>.</w:t>
      </w:r>
      <w:r w:rsidR="00913A6A">
        <w:rPr>
          <w:rFonts w:cstheme="minorHAnsi"/>
        </w:rPr>
        <w:t>)</w:t>
      </w:r>
      <w:r w:rsidR="00973669">
        <w:rPr>
          <w:rFonts w:cstheme="minorHAnsi"/>
        </w:rPr>
        <w:t xml:space="preserve">, </w:t>
      </w:r>
      <w:r w:rsidR="0019033C" w:rsidRPr="00C244A2">
        <w:t xml:space="preserve">survey-based </w:t>
      </w:r>
      <w:r w:rsidR="0019033C">
        <w:rPr>
          <w:rFonts w:cstheme="minorHAnsi"/>
        </w:rPr>
        <w:t xml:space="preserve">country </w:t>
      </w:r>
      <w:r w:rsidR="0019033C" w:rsidRPr="00C244A2">
        <w:t xml:space="preserve">estimates </w:t>
      </w:r>
      <w:r w:rsidR="00973669" w:rsidRPr="00C244A2">
        <w:t xml:space="preserve">are </w:t>
      </w:r>
      <w:r w:rsidR="00973669">
        <w:rPr>
          <w:rFonts w:cstheme="minorHAnsi"/>
        </w:rPr>
        <w:t xml:space="preserve"> </w:t>
      </w:r>
      <w:r w:rsidR="00973669" w:rsidRPr="00C244A2">
        <w:t>“lined-up</w:t>
      </w:r>
      <w:r w:rsidR="008F15A1" w:rsidRPr="00C244A2">
        <w:t xml:space="preserve">” </w:t>
      </w:r>
      <w:r w:rsidR="00985CD7" w:rsidRPr="00985CD7">
        <w:t>using</w:t>
      </w:r>
      <w:r w:rsidR="00EB69A8">
        <w:t xml:space="preserve"> one of the following</w:t>
      </w:r>
      <w:r w:rsidR="00985CD7" w:rsidRPr="00985CD7">
        <w:t xml:space="preserve"> different methods depending upon the availability of information for that country around or at the reference year (T*)</w:t>
      </w:r>
      <w:r w:rsidR="00BE77B4">
        <w:t xml:space="preserve">: </w:t>
      </w:r>
      <w:r w:rsidR="00985CD7" w:rsidRPr="00985CD7">
        <w:t xml:space="preserve"> In countries for which there is an observed incidence rate of the SDG indicator 3.8.2 in the reference year T*, this point is used. When there are at least two observed incidence rates of the SDG indicator 3.8.2 around the reference over a 5-year window around the reference year [T*–5; T*+5], linear interpolation is used to project the value of </w:t>
      </w:r>
      <w:r w:rsidR="00B94B12">
        <w:t>SDG indicator 3.8.2</w:t>
      </w:r>
      <w:r w:rsidR="00985CD7" w:rsidRPr="00985CD7">
        <w:t xml:space="preserve"> in the reference year. If these conditions are not met but there </w:t>
      </w:r>
      <w:r w:rsidR="00797DF6">
        <w:t>are</w:t>
      </w:r>
      <w:r w:rsidR="00985CD7" w:rsidRPr="00985CD7">
        <w:t xml:space="preserve"> at least </w:t>
      </w:r>
      <w:r w:rsidR="00797DF6">
        <w:t>two</w:t>
      </w:r>
      <w:r w:rsidR="00985CD7" w:rsidRPr="00985CD7">
        <w:t xml:space="preserve"> observed incidence</w:t>
      </w:r>
      <w:r w:rsidR="00797DF6">
        <w:t>s</w:t>
      </w:r>
      <w:r w:rsidR="00985CD7" w:rsidRPr="00985CD7">
        <w:t xml:space="preserve"> rate</w:t>
      </w:r>
      <w:r w:rsidR="00797DF6">
        <w:t>s</w:t>
      </w:r>
      <w:r w:rsidR="00985CD7" w:rsidRPr="00985CD7">
        <w:t xml:space="preserve"> of the SDG indicator 3.8.2, a multilevel model is estimated using the aggregate share of </w:t>
      </w:r>
      <w:r w:rsidR="009E5994">
        <w:t>out-of-pocket health spending</w:t>
      </w:r>
      <w:r w:rsidR="00985CD7" w:rsidRPr="00985CD7">
        <w:t xml:space="preserve"> over total consumption expenditure as the explanatory variable if that information is available. If such information is not available or there </w:t>
      </w:r>
      <w:r w:rsidR="00797DF6">
        <w:t>are</w:t>
      </w:r>
      <w:r w:rsidR="00985CD7" w:rsidRPr="00985CD7">
        <w:t xml:space="preserve">n’t </w:t>
      </w:r>
      <w:r w:rsidR="00797DF6">
        <w:t xml:space="preserve">two </w:t>
      </w:r>
      <w:r w:rsidR="00985CD7" w:rsidRPr="00985CD7">
        <w:t>incidence rate</w:t>
      </w:r>
      <w:r w:rsidR="00797DF6">
        <w:t>s</w:t>
      </w:r>
      <w:r w:rsidR="00985CD7" w:rsidRPr="00985CD7">
        <w:t xml:space="preserve"> of the SDG indicator 3.8.2, the incidence rate is imputed in the reference year with the median incidence in that year among countries within the same income group (low, lower-middle, upper-middle, or high) as classified by the World Bank. If such classification is missing,  the regional median value of the SDG indicator 3.8.2 at the 10% threshold is used. The regional classification used for the imputation is M49 </w:t>
      </w:r>
      <w:r w:rsidR="00985CD7" w:rsidRPr="00985CD7">
        <w:lastRenderedPageBreak/>
        <w:t>level 1. The country estimates for the reference year are then aggregated up to the regional and global levels to compute the “Total population with household expenditures on health greater than 10% of total household income or expenditure” in millions. The proportion of the total population at the global and regional levels is then calculated by expressing these numbers as a share of the relevant population, equivalent to taking a population-weighted average of the relevant country rates.</w:t>
      </w:r>
      <w:r w:rsidR="00311247">
        <w:rPr>
          <w:rFonts w:cstheme="minorHAnsi"/>
        </w:rPr>
        <w:t xml:space="preserve"> </w:t>
      </w:r>
      <w:r w:rsidR="000722F7">
        <w:rPr>
          <w:rFonts w:cstheme="minorHAnsi"/>
        </w:rPr>
        <w:t>For more</w:t>
      </w:r>
      <w:r w:rsidR="00DA7865">
        <w:rPr>
          <w:rFonts w:cstheme="minorHAnsi"/>
        </w:rPr>
        <w:t xml:space="preserve"> information,</w:t>
      </w:r>
      <w:r w:rsidR="000722F7">
        <w:rPr>
          <w:rFonts w:cstheme="minorHAnsi"/>
        </w:rPr>
        <w:t xml:space="preserve"> </w:t>
      </w:r>
      <w:r w:rsidR="00953535">
        <w:rPr>
          <w:rFonts w:cstheme="minorHAnsi"/>
        </w:rPr>
        <w:t xml:space="preserve">pleas consult the </w:t>
      </w:r>
      <w:r w:rsidR="00913A6A" w:rsidRPr="00C244A2">
        <w:t xml:space="preserve"> </w:t>
      </w:r>
      <w:hyperlink r:id="rId16" w:history="1">
        <w:r w:rsidR="000377D6" w:rsidRPr="000377D6">
          <w:rPr>
            <w:rStyle w:val="Hyperlink"/>
          </w:rPr>
          <w:t>WHO Global Health Observatory metadata registry</w:t>
        </w:r>
        <w:r w:rsidR="001C6561">
          <w:rPr>
            <w:rStyle w:val="Hyperlink"/>
          </w:rPr>
          <w:t xml:space="preserve"> (</w:t>
        </w:r>
        <w:r w:rsidR="001C6561" w:rsidRPr="004812A6">
          <w:t>https://www.who.int/data/gho/indicator-metadata-registry/imr-details/4844</w:t>
        </w:r>
        <w:r w:rsidR="001C6561">
          <w:rPr>
            <w:rStyle w:val="Hyperlink"/>
          </w:rPr>
          <w:t>)</w:t>
        </w:r>
        <w:r w:rsidR="00913A6A" w:rsidRPr="000377D6">
          <w:rPr>
            <w:rStyle w:val="Hyperlink"/>
            <w:rFonts w:cstheme="minorHAnsi"/>
          </w:rPr>
          <w:t>.</w:t>
        </w:r>
      </w:hyperlink>
    </w:p>
    <w:p w14:paraId="64BDCF5A" w14:textId="60C8A388" w:rsidR="004B7F23" w:rsidRDefault="004B7F23" w:rsidP="000722F7">
      <w:pPr>
        <w:pStyle w:val="MText"/>
        <w:rPr>
          <w:rFonts w:cstheme="minorHAnsi"/>
        </w:rPr>
      </w:pPr>
    </w:p>
    <w:p w14:paraId="5E7CFD24" w14:textId="29E784A6" w:rsidR="002923FA" w:rsidRDefault="002923FA" w:rsidP="003F2AA0">
      <w:pPr>
        <w:pStyle w:val="MText"/>
      </w:pPr>
      <w:r>
        <w:t>The aggregate p</w:t>
      </w:r>
      <w:r w:rsidRPr="002923FA">
        <w:t>roportion of the population with large household expenditure on health as a share of total household expenditure or income</w:t>
      </w:r>
      <w:r>
        <w:t xml:space="preserve"> for a region </w:t>
      </w:r>
      <w:r w:rsidR="00330EB7">
        <w:t xml:space="preserve">corresponds to the total number of people </w:t>
      </w:r>
      <w:r w:rsidR="00173EA9">
        <w:t>across all the countries in that region with such large expenditures divided by the total number of people in that regio</w:t>
      </w:r>
      <w:r w:rsidR="002A5BFC">
        <w:t>n.</w:t>
      </w:r>
      <w:r w:rsidR="00173EA9">
        <w:t xml:space="preserve"> </w:t>
      </w:r>
    </w:p>
    <w:p w14:paraId="378E7800" w14:textId="77777777" w:rsidR="00786630" w:rsidRPr="00645B6F" w:rsidRDefault="00786630" w:rsidP="00576CFA">
      <w:pPr>
        <w:pStyle w:val="MText"/>
        <w:rPr>
          <w:rFonts w:cstheme="minorHAnsi"/>
        </w:rPr>
      </w:pPr>
    </w:p>
    <w:p w14:paraId="51FCD280" w14:textId="0DAB30E3" w:rsidR="00E1050F" w:rsidRPr="00645B6F" w:rsidRDefault="00E1050F" w:rsidP="00F719A8">
      <w:pPr>
        <w:pStyle w:val="MHeader2"/>
        <w:rPr>
          <w:rFonts w:cstheme="minorHAnsi"/>
        </w:rPr>
      </w:pPr>
      <w:r w:rsidRPr="00645B6F">
        <w:rPr>
          <w:rFonts w:cstheme="minorHAnsi"/>
        </w:rPr>
        <w:t xml:space="preserve">4.g. Regional aggregations </w:t>
      </w:r>
      <w:r>
        <w:rPr>
          <w:color w:val="B4B4B4"/>
          <w:sz w:val="20"/>
        </w:rPr>
      </w:r>
      <w:r>
        <w:rPr>
          <w:color w:val="B4B4B4"/>
          <w:sz w:val="20"/>
        </w:rPr>
        <w:t>(REG_AGG)</w:t>
      </w:r>
    </w:p>
    <w:p w14:paraId="6E9DF97C" w14:textId="60BF51D4" w:rsidR="00B55A32" w:rsidRPr="00645B6F" w:rsidRDefault="00922F43" w:rsidP="00B55A32">
      <w:pPr>
        <w:shd w:val="clear" w:color="auto" w:fill="FFFFFF"/>
        <w:spacing w:after="0"/>
        <w:rPr>
          <w:rFonts w:eastAsia="Times New Roman" w:cstheme="minorHAnsi"/>
          <w:color w:val="4A4A4A"/>
          <w:sz w:val="21"/>
          <w:szCs w:val="21"/>
          <w:lang w:eastAsia="en-GB"/>
        </w:rPr>
      </w:pPr>
      <w:r>
        <w:rPr>
          <w:rFonts w:eastAsia="Times New Roman" w:cstheme="minorHAnsi"/>
          <w:color w:val="4A4A4A"/>
          <w:sz w:val="21"/>
          <w:szCs w:val="21"/>
          <w:lang w:eastAsia="en-GB"/>
        </w:rPr>
        <w:t xml:space="preserve">Regional and global aggregates correspond to </w:t>
      </w:r>
      <w:r w:rsidR="00CC25BC">
        <w:rPr>
          <w:rFonts w:eastAsia="Times New Roman" w:cstheme="minorHAnsi"/>
          <w:color w:val="4A4A4A"/>
          <w:sz w:val="21"/>
          <w:szCs w:val="21"/>
          <w:lang w:eastAsia="en-GB"/>
        </w:rPr>
        <w:t>population-</w:t>
      </w:r>
      <w:r>
        <w:rPr>
          <w:rFonts w:eastAsia="Times New Roman" w:cstheme="minorHAnsi"/>
          <w:color w:val="4A4A4A"/>
          <w:sz w:val="21"/>
          <w:szCs w:val="21"/>
          <w:lang w:eastAsia="en-GB"/>
        </w:rPr>
        <w:t xml:space="preserve">weighted averages of the </w:t>
      </w:r>
      <w:r w:rsidR="0058731A">
        <w:rPr>
          <w:rFonts w:eastAsia="Times New Roman" w:cstheme="minorHAnsi"/>
          <w:color w:val="4A4A4A"/>
          <w:sz w:val="21"/>
          <w:szCs w:val="21"/>
          <w:lang w:eastAsia="en-GB"/>
        </w:rPr>
        <w:t>“lined-up” country estimates (see 4.</w:t>
      </w:r>
      <w:r w:rsidR="00762588">
        <w:rPr>
          <w:rFonts w:eastAsia="Times New Roman" w:cstheme="minorHAnsi"/>
          <w:color w:val="4A4A4A"/>
          <w:sz w:val="21"/>
          <w:szCs w:val="21"/>
          <w:lang w:eastAsia="en-GB"/>
        </w:rPr>
        <w:t>f</w:t>
      </w:r>
      <w:r w:rsidR="0058731A">
        <w:rPr>
          <w:rFonts w:eastAsia="Times New Roman" w:cstheme="minorHAnsi"/>
          <w:color w:val="4A4A4A"/>
          <w:sz w:val="21"/>
          <w:szCs w:val="21"/>
          <w:lang w:eastAsia="en-GB"/>
        </w:rPr>
        <w:t>)</w:t>
      </w:r>
      <w:r w:rsidR="00762588">
        <w:rPr>
          <w:rFonts w:eastAsia="Times New Roman" w:cstheme="minorHAnsi"/>
          <w:color w:val="4A4A4A"/>
          <w:sz w:val="21"/>
          <w:szCs w:val="21"/>
          <w:lang w:eastAsia="en-GB"/>
        </w:rPr>
        <w:t>.</w:t>
      </w:r>
    </w:p>
    <w:p w14:paraId="3D790F45" w14:textId="77777777" w:rsidR="00B55A32" w:rsidRPr="00645B6F" w:rsidRDefault="00B55A32" w:rsidP="00B55A32">
      <w:pPr>
        <w:shd w:val="clear" w:color="auto" w:fill="FFFFFF"/>
        <w:spacing w:after="0"/>
        <w:rPr>
          <w:rFonts w:eastAsia="Times New Roman" w:cstheme="minorHAnsi"/>
          <w:color w:val="4A4A4A"/>
          <w:sz w:val="21"/>
          <w:szCs w:val="21"/>
          <w:lang w:eastAsia="en-GB"/>
        </w:rPr>
      </w:pPr>
    </w:p>
    <w:p w14:paraId="684BA268" w14:textId="26B32DE0"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The World Bank and the World Health Organization use their own regional grouping in addition to the regional breakdown </w:t>
      </w:r>
      <w:r w:rsidR="00762588">
        <w:rPr>
          <w:rFonts w:eastAsia="Times New Roman" w:cstheme="minorHAnsi"/>
          <w:color w:val="4A4A4A"/>
          <w:sz w:val="21"/>
          <w:szCs w:val="21"/>
          <w:lang w:eastAsia="en-GB"/>
        </w:rPr>
        <w:t xml:space="preserve">used for </w:t>
      </w:r>
      <w:r w:rsidRPr="00645B6F">
        <w:rPr>
          <w:rFonts w:eastAsia="Times New Roman" w:cstheme="minorHAnsi"/>
          <w:color w:val="4A4A4A"/>
          <w:sz w:val="21"/>
          <w:szCs w:val="21"/>
          <w:lang w:eastAsia="en-GB"/>
        </w:rPr>
        <w:t>SDG</w:t>
      </w:r>
      <w:r w:rsidR="00762588">
        <w:rPr>
          <w:rFonts w:eastAsia="Times New Roman" w:cstheme="minorHAnsi"/>
          <w:color w:val="4A4A4A"/>
          <w:sz w:val="21"/>
          <w:szCs w:val="21"/>
          <w:lang w:eastAsia="en-GB"/>
        </w:rPr>
        <w:t xml:space="preserve"> reporting</w:t>
      </w:r>
      <w:r w:rsidRPr="00645B6F">
        <w:rPr>
          <w:rFonts w:eastAsia="Times New Roman" w:cstheme="minorHAnsi"/>
          <w:color w:val="4A4A4A"/>
          <w:sz w:val="21"/>
          <w:szCs w:val="21"/>
          <w:lang w:eastAsia="en-GB"/>
        </w:rPr>
        <w:t xml:space="preserve">. </w:t>
      </w:r>
    </w:p>
    <w:p w14:paraId="2EA010B7" w14:textId="77777777" w:rsidR="00EC2915" w:rsidRPr="00645B6F" w:rsidRDefault="00EC2915" w:rsidP="00576CFA">
      <w:pPr>
        <w:pStyle w:val="MText"/>
        <w:rPr>
          <w:rFonts w:cstheme="minorHAnsi"/>
        </w:rPr>
      </w:pPr>
    </w:p>
    <w:p w14:paraId="71213FF2" w14:textId="52980C15" w:rsidR="00E1050F" w:rsidRPr="00645B6F" w:rsidRDefault="00576CFA" w:rsidP="00F719A8">
      <w:pPr>
        <w:pStyle w:val="MHeader2"/>
        <w:rPr>
          <w:rFonts w:cstheme="minorHAnsi"/>
        </w:rPr>
      </w:pPr>
      <w:r w:rsidRPr="00645B6F">
        <w:rPr>
          <w:rFonts w:cstheme="minorHAnsi"/>
        </w:rPr>
        <w:t xml:space="preserve">4.h. Methods and guidance available to countries for the compilation of the data at the national level </w:t>
      </w:r>
      <w:r>
        <w:rPr>
          <w:color w:val="B4B4B4"/>
          <w:sz w:val="20"/>
        </w:rPr>
      </w:r>
      <w:r>
        <w:rPr>
          <w:color w:val="B4B4B4"/>
          <w:sz w:val="20"/>
        </w:rPr>
        <w:t>(DOC_METHOD)</w:t>
      </w:r>
    </w:p>
    <w:p w14:paraId="61C749EB" w14:textId="42F3A784" w:rsidR="00576CFA" w:rsidRPr="00645B6F" w:rsidRDefault="00BB179E" w:rsidP="007B28E0">
      <w:pPr>
        <w:pStyle w:val="MText"/>
        <w:rPr>
          <w:rFonts w:cstheme="minorHAnsi"/>
        </w:rPr>
      </w:pPr>
      <w:r>
        <w:rPr>
          <w:rFonts w:cstheme="minorHAnsi"/>
        </w:rPr>
        <w:lastRenderedPageBreak/>
        <w:t xml:space="preserve">All documentation needed to compile the data at the national level </w:t>
      </w:r>
      <w:r w:rsidR="007B28E0">
        <w:rPr>
          <w:rFonts w:cstheme="minorHAnsi"/>
        </w:rPr>
        <w:t xml:space="preserve">is shared with nominated focal points every two years. It can be requested </w:t>
      </w:r>
      <w:r>
        <w:rPr>
          <w:rFonts w:cstheme="minorHAnsi"/>
        </w:rPr>
        <w:t>by National Statistical Offices as well as Ministries of Health</w:t>
      </w:r>
      <w:r w:rsidR="005B5C16">
        <w:rPr>
          <w:rFonts w:cstheme="minorHAnsi"/>
        </w:rPr>
        <w:t xml:space="preserve"> along with </w:t>
      </w:r>
      <w:r w:rsidR="004D42A9">
        <w:rPr>
          <w:rFonts w:cstheme="minorHAnsi"/>
        </w:rPr>
        <w:t xml:space="preserve">Stata </w:t>
      </w:r>
      <w:r w:rsidR="005B5C16">
        <w:rPr>
          <w:rFonts w:cstheme="minorHAnsi"/>
        </w:rPr>
        <w:t>codes,</w:t>
      </w:r>
      <w:r>
        <w:rPr>
          <w:rFonts w:cstheme="minorHAnsi"/>
        </w:rPr>
        <w:t xml:space="preserve"> to </w:t>
      </w:r>
      <w:hyperlink r:id="rId17" w:history="1">
        <w:r w:rsidRPr="00DF6107">
          <w:rPr>
            <w:rStyle w:val="Hyperlink"/>
            <w:rFonts w:cstheme="minorHAnsi"/>
          </w:rPr>
          <w:t>uhc_stats@who.int</w:t>
        </w:r>
      </w:hyperlink>
      <w:r w:rsidR="0009410C">
        <w:rPr>
          <w:rFonts w:cstheme="minorHAnsi"/>
        </w:rPr>
        <w:t>,</w:t>
      </w:r>
      <w:r>
        <w:rPr>
          <w:rFonts w:cstheme="minorHAnsi"/>
        </w:rPr>
        <w:t xml:space="preserve">  subject: package to produce SDG indicator 3.8.2.  </w:t>
      </w:r>
    </w:p>
    <w:p w14:paraId="2939895F" w14:textId="77777777" w:rsidR="00EC2915" w:rsidRPr="00645B6F" w:rsidRDefault="00EC2915" w:rsidP="00576CFA">
      <w:pPr>
        <w:pStyle w:val="MText"/>
        <w:rPr>
          <w:rFonts w:cstheme="minorHAnsi"/>
        </w:rPr>
      </w:pPr>
    </w:p>
    <w:p w14:paraId="494C36E8" w14:textId="22C3CD05" w:rsidR="00E1050F" w:rsidRPr="00645B6F" w:rsidRDefault="00576CFA" w:rsidP="00F719A8">
      <w:pPr>
        <w:pStyle w:val="MHeader2"/>
        <w:rPr>
          <w:rFonts w:cstheme="minorHAnsi"/>
        </w:rPr>
      </w:pPr>
      <w:r w:rsidRPr="00645B6F">
        <w:rPr>
          <w:rFonts w:cstheme="minorHAnsi"/>
        </w:rPr>
        <w:t xml:space="preserve">4.i. Quality management </w:t>
      </w:r>
      <w:r>
        <w:rPr>
          <w:color w:val="B4B4B4"/>
          <w:sz w:val="20"/>
        </w:rPr>
      </w:r>
      <w:r>
        <w:rPr>
          <w:color w:val="B4B4B4"/>
          <w:sz w:val="20"/>
        </w:rPr>
        <w:t>(QUALITY_MGMNT)</w:t>
      </w:r>
    </w:p>
    <w:p w14:paraId="5484B16D" w14:textId="74640B03" w:rsidR="00EC2915" w:rsidRPr="00645B6F" w:rsidRDefault="00C26B5C" w:rsidP="00576CFA">
      <w:pPr>
        <w:pStyle w:val="MText"/>
        <w:rPr>
          <w:rFonts w:cstheme="minorHAnsi"/>
        </w:rPr>
      </w:pPr>
      <w:r>
        <w:t>The quality of the estimates is managed through WHO</w:t>
      </w:r>
      <w:r w:rsidR="00263D19">
        <w:t xml:space="preserve"> </w:t>
      </w:r>
      <w:r w:rsidR="00AB2652">
        <w:t>H</w:t>
      </w:r>
      <w:r w:rsidR="00263D19">
        <w:t xml:space="preserve">ealth </w:t>
      </w:r>
      <w:r w:rsidR="00AB2652">
        <w:t>F</w:t>
      </w:r>
      <w:r w:rsidR="00263D19">
        <w:t xml:space="preserve">inancing </w:t>
      </w:r>
      <w:r w:rsidR="009E0D81">
        <w:t xml:space="preserve">and </w:t>
      </w:r>
      <w:r w:rsidR="00AB2652">
        <w:t>E</w:t>
      </w:r>
      <w:r w:rsidR="009E0D81">
        <w:t>conomics unit</w:t>
      </w:r>
      <w:r w:rsidR="00263D19">
        <w:t xml:space="preserve"> and the World Bank</w:t>
      </w:r>
      <w:r w:rsidR="000544D2">
        <w:t xml:space="preserve"> </w:t>
      </w:r>
      <w:r w:rsidR="00A74A94" w:rsidRPr="00A74A94">
        <w:t>Health, Nutrition and Population Global Practice, Global Engagement Unit</w:t>
      </w:r>
    </w:p>
    <w:p w14:paraId="17B979CA" w14:textId="449C0153" w:rsidR="00E1050F" w:rsidRPr="00645B6F" w:rsidRDefault="00E1050F" w:rsidP="00F719A8">
      <w:pPr>
        <w:pStyle w:val="MHeader2"/>
        <w:rPr>
          <w:rFonts w:cstheme="minorHAnsi"/>
        </w:rPr>
      </w:pPr>
      <w:r w:rsidRPr="00645B6F">
        <w:rPr>
          <w:rFonts w:cstheme="minorHAnsi"/>
        </w:rPr>
        <w:t xml:space="preserve">4.j Quality assurance </w:t>
      </w:r>
      <w:r>
        <w:rPr>
          <w:color w:val="B4B4B4"/>
          <w:sz w:val="20"/>
        </w:rPr>
      </w:r>
      <w:r>
        <w:rPr>
          <w:color w:val="B4B4B4"/>
          <w:sz w:val="20"/>
        </w:rPr>
        <w:t>(QUALITY_ASSURE)</w:t>
      </w:r>
    </w:p>
    <w:p w14:paraId="7E6B04E3" w14:textId="5AE3EE1A" w:rsidR="00576CFA" w:rsidRPr="00645B6F" w:rsidRDefault="00576CFA" w:rsidP="00576CFA">
      <w:pPr>
        <w:pStyle w:val="MText"/>
        <w:rPr>
          <w:rFonts w:cstheme="minorHAnsi"/>
        </w:rPr>
      </w:pPr>
    </w:p>
    <w:p w14:paraId="03EF3244" w14:textId="01EF6A56" w:rsidR="00EC2915" w:rsidRDefault="000E5AEF" w:rsidP="00576CFA">
      <w:pPr>
        <w:pStyle w:val="MText"/>
      </w:pPr>
      <w:r>
        <w:t xml:space="preserve">The estimates released by the World Health Organization and the World Bank are quality checked by members of the </w:t>
      </w:r>
      <w:r w:rsidR="00AB2652">
        <w:t xml:space="preserve">WHO Health Financing and Economics unit and the World Bank </w:t>
      </w:r>
      <w:r w:rsidR="00AB2652" w:rsidRPr="00A74A94">
        <w:t>Health, Nutrition and Population Global Practice, Global Engagement Unit</w:t>
      </w:r>
      <w:r w:rsidR="00AB2652">
        <w:t xml:space="preserve">  and submitted to a country consultation </w:t>
      </w:r>
      <w:r w:rsidR="00A2745C">
        <w:t xml:space="preserve">composed of </w:t>
      </w:r>
      <w:r>
        <w:t>members of the relevant National Statistical Offices</w:t>
      </w:r>
      <w:r w:rsidR="00A2745C">
        <w:t xml:space="preserve"> and Ministry of health every two years.</w:t>
      </w:r>
    </w:p>
    <w:p w14:paraId="1B5BC360" w14:textId="77777777" w:rsidR="00A2745C" w:rsidRPr="00645B6F" w:rsidRDefault="00A2745C" w:rsidP="00576CFA">
      <w:pPr>
        <w:pStyle w:val="MText"/>
        <w:rPr>
          <w:rFonts w:cstheme="minorHAnsi"/>
        </w:rPr>
      </w:pPr>
    </w:p>
    <w:p w14:paraId="34ADD322" w14:textId="1A21C057" w:rsidR="00E1050F" w:rsidRPr="00645B6F" w:rsidRDefault="00576CFA" w:rsidP="00F719A8">
      <w:pPr>
        <w:pStyle w:val="MHeader2"/>
        <w:rPr>
          <w:rFonts w:cstheme="minorHAnsi"/>
        </w:rPr>
      </w:pPr>
      <w:r w:rsidRPr="00645B6F">
        <w:rPr>
          <w:rFonts w:cstheme="minorHAnsi"/>
        </w:rPr>
        <w:t xml:space="preserve">4.k Quality assessment </w:t>
      </w:r>
      <w:r>
        <w:rPr>
          <w:color w:val="B4B4B4"/>
          <w:sz w:val="20"/>
        </w:rPr>
      </w:r>
      <w:r>
        <w:rPr>
          <w:color w:val="B4B4B4"/>
          <w:sz w:val="20"/>
        </w:rPr>
        <w:t>(QUALITY_ASSMNT)</w:t>
      </w:r>
    </w:p>
    <w:p w14:paraId="350CE923" w14:textId="6084E6C1" w:rsidR="002569DD" w:rsidRDefault="002569DD" w:rsidP="002569DD">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The World Health Organization and the World Bank generate indicator 3.8.2 following the </w:t>
      </w:r>
      <w:r w:rsidR="007F7A1B">
        <w:rPr>
          <w:rFonts w:eastAsia="Times New Roman" w:cstheme="minorHAnsi"/>
          <w:color w:val="4A4A4A"/>
          <w:sz w:val="21"/>
          <w:szCs w:val="21"/>
          <w:lang w:eastAsia="en-GB"/>
        </w:rPr>
        <w:t>methods, validation</w:t>
      </w:r>
      <w:r w:rsidR="00B2160E">
        <w:rPr>
          <w:rFonts w:eastAsia="Times New Roman" w:cstheme="minorHAnsi"/>
          <w:color w:val="4A4A4A"/>
          <w:sz w:val="21"/>
          <w:szCs w:val="21"/>
          <w:lang w:eastAsia="en-GB"/>
        </w:rPr>
        <w:t xml:space="preserve"> and treatment of missing values described in sections 4.c. to 4.d</w:t>
      </w:r>
      <w:r w:rsidRPr="00645B6F">
        <w:rPr>
          <w:rFonts w:eastAsia="Times New Roman" w:cstheme="minorHAnsi"/>
          <w:color w:val="4A4A4A"/>
          <w:sz w:val="21"/>
          <w:szCs w:val="21"/>
          <w:lang w:eastAsia="en-GB"/>
        </w:rPr>
        <w:t xml:space="preserve">. Both institutions combine estimates at the meso-level. Eligibility of the estimates included in a joint global database </w:t>
      </w:r>
      <w:r>
        <w:rPr>
          <w:rFonts w:eastAsia="Times New Roman" w:cstheme="minorHAnsi"/>
          <w:color w:val="4A4A4A"/>
          <w:sz w:val="21"/>
          <w:szCs w:val="21"/>
          <w:lang w:eastAsia="en-GB"/>
        </w:rPr>
        <w:t xml:space="preserve">at </w:t>
      </w:r>
      <w:r w:rsidR="004451DD">
        <w:rPr>
          <w:rFonts w:eastAsia="Times New Roman" w:cstheme="minorHAnsi"/>
          <w:color w:val="4A4A4A"/>
          <w:sz w:val="21"/>
          <w:szCs w:val="21"/>
          <w:lang w:eastAsia="en-GB"/>
        </w:rPr>
        <w:t xml:space="preserve">a </w:t>
      </w:r>
      <w:r>
        <w:rPr>
          <w:rFonts w:eastAsia="Times New Roman" w:cstheme="minorHAnsi"/>
          <w:color w:val="4A4A4A"/>
          <w:sz w:val="21"/>
          <w:szCs w:val="21"/>
          <w:lang w:eastAsia="en-GB"/>
        </w:rPr>
        <w:t xml:space="preserve">country level and used </w:t>
      </w:r>
      <w:r w:rsidRPr="00645B6F">
        <w:rPr>
          <w:rFonts w:eastAsia="Times New Roman" w:cstheme="minorHAnsi"/>
          <w:color w:val="4A4A4A"/>
          <w:sz w:val="21"/>
          <w:szCs w:val="21"/>
          <w:lang w:eastAsia="en-GB"/>
        </w:rPr>
        <w:t xml:space="preserve">to produce regional and global estimates is based on the following quality </w:t>
      </w:r>
      <w:r>
        <w:rPr>
          <w:rFonts w:eastAsia="Times New Roman" w:cstheme="minorHAnsi"/>
          <w:color w:val="4A4A4A"/>
          <w:sz w:val="21"/>
          <w:szCs w:val="21"/>
          <w:lang w:eastAsia="en-GB"/>
        </w:rPr>
        <w:t>assessment</w:t>
      </w:r>
      <w:r w:rsidRPr="00645B6F">
        <w:rPr>
          <w:rFonts w:eastAsia="Times New Roman" w:cstheme="minorHAnsi"/>
          <w:color w:val="4A4A4A"/>
          <w:sz w:val="21"/>
          <w:szCs w:val="21"/>
          <w:lang w:eastAsia="en-GB"/>
        </w:rPr>
        <w:t>:</w:t>
      </w:r>
    </w:p>
    <w:p w14:paraId="1D79DAD8" w14:textId="66CD5686" w:rsidR="002811CF" w:rsidRDefault="002811CF" w:rsidP="002569DD">
      <w:pPr>
        <w:shd w:val="clear" w:color="auto" w:fill="FFFFFF"/>
        <w:spacing w:after="0"/>
        <w:rPr>
          <w:rFonts w:eastAsia="Times New Roman" w:cstheme="minorHAnsi"/>
          <w:color w:val="4A4A4A"/>
          <w:sz w:val="21"/>
          <w:szCs w:val="21"/>
          <w:lang w:eastAsia="en-GB"/>
        </w:rPr>
      </w:pPr>
    </w:p>
    <w:p w14:paraId="57ED24C4" w14:textId="77777777" w:rsidR="002811CF" w:rsidRPr="00645B6F" w:rsidRDefault="002811CF" w:rsidP="002811CF">
      <w:pPr>
        <w:shd w:val="clear" w:color="auto" w:fill="FFFFFF"/>
        <w:spacing w:after="0"/>
        <w:rPr>
          <w:rFonts w:eastAsia="Times New Roman" w:cstheme="minorHAnsi"/>
          <w:i/>
          <w:iCs/>
          <w:color w:val="4A4A4A"/>
          <w:sz w:val="21"/>
          <w:szCs w:val="21"/>
          <w:lang w:eastAsia="en-GB"/>
        </w:rPr>
      </w:pPr>
      <w:r w:rsidRPr="00645B6F">
        <w:rPr>
          <w:rFonts w:eastAsia="Times New Roman" w:cstheme="minorHAnsi"/>
          <w:i/>
          <w:iCs/>
          <w:color w:val="4A4A4A"/>
          <w:sz w:val="21"/>
          <w:szCs w:val="21"/>
          <w:lang w:eastAsia="en-GB"/>
        </w:rPr>
        <w:t>For the denominator of the health expenditure ratio</w:t>
      </w:r>
    </w:p>
    <w:p w14:paraId="3FA851B0" w14:textId="0D4028F2" w:rsidR="002811CF" w:rsidRPr="00645B6F" w:rsidRDefault="002811CF" w:rsidP="002811CF">
      <w:pPr>
        <w:numPr>
          <w:ilvl w:val="0"/>
          <w:numId w:val="6"/>
        </w:numPr>
        <w:shd w:val="clear" w:color="auto" w:fill="FFFFFF"/>
        <w:spacing w:after="0" w:line="240" w:lineRule="auto"/>
        <w:rPr>
          <w:rFonts w:eastAsia="Times New Roman" w:cstheme="minorHAnsi"/>
          <w:color w:val="4A4A4A"/>
          <w:sz w:val="21"/>
          <w:szCs w:val="21"/>
          <w:lang w:eastAsia="en-GB"/>
        </w:rPr>
      </w:pPr>
      <w:r w:rsidRPr="00645B6F">
        <w:rPr>
          <w:rFonts w:eastAsia="Times New Roman" w:cstheme="minorHAnsi"/>
          <w:color w:val="4A4A4A"/>
          <w:sz w:val="21"/>
          <w:szCs w:val="21"/>
          <w:lang w:eastAsia="en-GB"/>
        </w:rPr>
        <w:t>Compare the</w:t>
      </w:r>
      <w:r>
        <w:rPr>
          <w:rFonts w:eastAsia="Times New Roman" w:cstheme="minorHAnsi"/>
          <w:color w:val="4A4A4A"/>
          <w:sz w:val="21"/>
          <w:szCs w:val="21"/>
          <w:lang w:eastAsia="en-GB"/>
        </w:rPr>
        <w:t xml:space="preserve"> average monthly</w:t>
      </w:r>
      <w:r w:rsidRPr="00645B6F">
        <w:rPr>
          <w:rFonts w:eastAsia="Times New Roman" w:cstheme="minorHAnsi"/>
          <w:color w:val="4A4A4A"/>
          <w:sz w:val="21"/>
          <w:szCs w:val="21"/>
          <w:lang w:eastAsia="en-GB"/>
        </w:rPr>
        <w:t xml:space="preserve"> total</w:t>
      </w:r>
      <w:r>
        <w:rPr>
          <w:rFonts w:eastAsia="Times New Roman" w:cstheme="minorHAnsi"/>
          <w:color w:val="4A4A4A"/>
          <w:sz w:val="21"/>
          <w:szCs w:val="21"/>
          <w:lang w:eastAsia="en-GB"/>
        </w:rPr>
        <w:t xml:space="preserve"> household</w:t>
      </w:r>
      <w:r w:rsidRPr="00645B6F">
        <w:rPr>
          <w:rFonts w:eastAsia="Times New Roman" w:cstheme="minorHAnsi"/>
          <w:color w:val="4A4A4A"/>
          <w:sz w:val="21"/>
          <w:szCs w:val="21"/>
          <w:lang w:eastAsia="en-GB"/>
        </w:rPr>
        <w:t xml:space="preserve"> per capita consumption</w:t>
      </w:r>
      <w:r>
        <w:rPr>
          <w:rFonts w:eastAsia="Times New Roman" w:cstheme="minorHAnsi"/>
          <w:color w:val="4A4A4A"/>
          <w:sz w:val="21"/>
          <w:szCs w:val="21"/>
          <w:lang w:eastAsia="en-GB"/>
        </w:rPr>
        <w:t xml:space="preserve"> or income</w:t>
      </w:r>
      <w:r w:rsidRPr="00645B6F">
        <w:rPr>
          <w:rFonts w:eastAsia="Times New Roman" w:cstheme="minorHAnsi"/>
          <w:color w:val="4A4A4A"/>
          <w:sz w:val="21"/>
          <w:szCs w:val="21"/>
          <w:lang w:eastAsia="en-GB"/>
        </w:rPr>
        <w:t xml:space="preserve"> in a benchmark source with the </w:t>
      </w:r>
      <w:r>
        <w:rPr>
          <w:rFonts w:eastAsia="Times New Roman" w:cstheme="minorHAnsi"/>
          <w:color w:val="4A4A4A"/>
          <w:sz w:val="21"/>
          <w:szCs w:val="21"/>
          <w:lang w:eastAsia="en-GB"/>
        </w:rPr>
        <w:t>average monthly</w:t>
      </w:r>
      <w:r w:rsidRPr="00645B6F">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 xml:space="preserve">value </w:t>
      </w:r>
      <w:r w:rsidRPr="00645B6F">
        <w:rPr>
          <w:rFonts w:eastAsia="Times New Roman" w:cstheme="minorHAnsi"/>
          <w:color w:val="4A4A4A"/>
          <w:sz w:val="21"/>
          <w:szCs w:val="21"/>
          <w:lang w:eastAsia="en-GB"/>
        </w:rPr>
        <w:t>estimated from the survey.</w:t>
      </w:r>
      <w:r>
        <w:rPr>
          <w:rFonts w:eastAsia="Times New Roman" w:cstheme="minorHAnsi"/>
          <w:color w:val="4A4A4A"/>
          <w:sz w:val="21"/>
          <w:szCs w:val="21"/>
          <w:lang w:eastAsia="en-GB"/>
        </w:rPr>
        <w:t xml:space="preserve"> </w:t>
      </w:r>
      <w:r w:rsidR="00093E1B">
        <w:rPr>
          <w:rFonts w:eastAsia="Times New Roman" w:cstheme="minorHAnsi"/>
          <w:color w:val="4A4A4A"/>
          <w:sz w:val="21"/>
          <w:szCs w:val="21"/>
          <w:lang w:eastAsia="en-GB"/>
        </w:rPr>
        <w:t xml:space="preserve">The comparison is based on the ratio of both averages (benchmark source to the survey-based estimate). If the ratio </w:t>
      </w:r>
      <w:r w:rsidR="00093E1B" w:rsidRPr="00645B6F">
        <w:rPr>
          <w:rFonts w:eastAsia="Times New Roman" w:cstheme="minorHAnsi"/>
          <w:color w:val="4A4A4A"/>
          <w:sz w:val="21"/>
          <w:szCs w:val="21"/>
          <w:lang w:eastAsia="en-GB"/>
        </w:rPr>
        <w:t xml:space="preserve">is greater than </w:t>
      </w:r>
      <w:r w:rsidR="00093E1B">
        <w:rPr>
          <w:rFonts w:eastAsia="Times New Roman" w:cstheme="minorHAnsi"/>
          <w:color w:val="4A4A4A"/>
          <w:sz w:val="21"/>
          <w:szCs w:val="21"/>
          <w:lang w:eastAsia="en-GB"/>
        </w:rPr>
        <w:t>2</w:t>
      </w:r>
      <w:r w:rsidR="00093E1B" w:rsidRPr="00645B6F">
        <w:rPr>
          <w:rFonts w:eastAsia="Times New Roman" w:cstheme="minorHAnsi"/>
          <w:color w:val="4A4A4A"/>
          <w:sz w:val="21"/>
          <w:szCs w:val="21"/>
          <w:lang w:eastAsia="en-GB"/>
        </w:rPr>
        <w:t>0%</w:t>
      </w:r>
      <w:r w:rsidR="00093E1B">
        <w:rPr>
          <w:rFonts w:eastAsia="Times New Roman" w:cstheme="minorHAnsi"/>
          <w:color w:val="4A4A4A"/>
          <w:sz w:val="21"/>
          <w:szCs w:val="21"/>
          <w:lang w:eastAsia="en-GB"/>
        </w:rPr>
        <w:t xml:space="preserve"> (when both averages are based on consumption) or</w:t>
      </w:r>
      <w:r w:rsidR="00093E1B" w:rsidRPr="00645B6F">
        <w:rPr>
          <w:rFonts w:eastAsia="Times New Roman" w:cstheme="minorHAnsi"/>
          <w:color w:val="4A4A4A"/>
          <w:sz w:val="21"/>
          <w:szCs w:val="21"/>
          <w:lang w:eastAsia="en-GB"/>
        </w:rPr>
        <w:t xml:space="preserve"> </w:t>
      </w:r>
      <w:r w:rsidR="00093E1B">
        <w:rPr>
          <w:rFonts w:eastAsia="Times New Roman" w:cstheme="minorHAnsi"/>
          <w:color w:val="4A4A4A"/>
          <w:sz w:val="21"/>
          <w:szCs w:val="21"/>
          <w:lang w:eastAsia="en-GB"/>
        </w:rPr>
        <w:t>30</w:t>
      </w:r>
      <w:r w:rsidR="00093E1B" w:rsidRPr="00645B6F">
        <w:rPr>
          <w:rFonts w:eastAsia="Times New Roman" w:cstheme="minorHAnsi"/>
          <w:color w:val="4A4A4A"/>
          <w:sz w:val="21"/>
          <w:szCs w:val="21"/>
          <w:lang w:eastAsia="en-GB"/>
        </w:rPr>
        <w:t xml:space="preserve">% </w:t>
      </w:r>
      <w:r w:rsidR="00093E1B">
        <w:rPr>
          <w:rFonts w:eastAsia="Times New Roman" w:cstheme="minorHAnsi"/>
          <w:color w:val="4A4A4A"/>
          <w:sz w:val="21"/>
          <w:szCs w:val="21"/>
          <w:lang w:eastAsia="en-GB"/>
        </w:rPr>
        <w:t>(when the benchmark source estimate is based on income and the survey-based one on consumption),</w:t>
      </w:r>
      <w:r w:rsidR="00093E1B" w:rsidRPr="00645B6F">
        <w:rPr>
          <w:rFonts w:eastAsia="Times New Roman" w:cstheme="minorHAnsi"/>
          <w:color w:val="4A4A4A"/>
          <w:sz w:val="21"/>
          <w:szCs w:val="21"/>
          <w:lang w:eastAsia="en-GB"/>
        </w:rPr>
        <w:t xml:space="preserve"> the survey point is identified as an outlier in terms of consumption per capita</w:t>
      </w:r>
      <w:r w:rsidR="00093E1B">
        <w:rPr>
          <w:rFonts w:eastAsia="Times New Roman" w:cstheme="minorHAnsi"/>
          <w:color w:val="4A4A4A"/>
          <w:sz w:val="21"/>
          <w:szCs w:val="21"/>
          <w:lang w:eastAsia="en-GB"/>
        </w:rPr>
        <w:t xml:space="preserve"> and flagged for possible exclusion. </w:t>
      </w:r>
      <w:r w:rsidR="0038529D">
        <w:rPr>
          <w:rFonts w:eastAsia="Times New Roman" w:cstheme="minorHAnsi"/>
          <w:color w:val="4A4A4A"/>
          <w:sz w:val="21"/>
          <w:szCs w:val="21"/>
          <w:lang w:eastAsia="en-GB"/>
        </w:rPr>
        <w:t xml:space="preserve">Both averages are expressed in interntional dollars. </w:t>
      </w:r>
      <w:r w:rsidRPr="00645B6F">
        <w:rPr>
          <w:rFonts w:eastAsia="Times New Roman" w:cstheme="minorHAnsi"/>
          <w:color w:val="4A4A4A"/>
          <w:sz w:val="21"/>
          <w:szCs w:val="21"/>
          <w:lang w:eastAsia="en-GB"/>
        </w:rPr>
        <w:t>The</w:t>
      </w:r>
      <w:r w:rsidR="006A5BEC">
        <w:rPr>
          <w:rFonts w:eastAsia="Times New Roman" w:cstheme="minorHAnsi"/>
          <w:color w:val="4A4A4A"/>
          <w:sz w:val="21"/>
          <w:szCs w:val="21"/>
          <w:lang w:eastAsia="en-GB"/>
        </w:rPr>
        <w:t xml:space="preserve"> source for the</w:t>
      </w:r>
      <w:r w:rsidRPr="00645B6F">
        <w:rPr>
          <w:rFonts w:eastAsia="Times New Roman" w:cstheme="minorHAnsi"/>
          <w:color w:val="4A4A4A"/>
          <w:sz w:val="21"/>
          <w:szCs w:val="21"/>
          <w:lang w:eastAsia="en-GB"/>
        </w:rPr>
        <w:t xml:space="preserve"> benchmark </w:t>
      </w:r>
      <w:r w:rsidR="006A5BEC">
        <w:rPr>
          <w:rFonts w:eastAsia="Times New Roman" w:cstheme="minorHAnsi"/>
          <w:color w:val="4A4A4A"/>
          <w:sz w:val="21"/>
          <w:szCs w:val="21"/>
          <w:lang w:eastAsia="en-GB"/>
        </w:rPr>
        <w:t>average</w:t>
      </w:r>
      <w:r w:rsidRPr="00645B6F">
        <w:rPr>
          <w:rFonts w:eastAsia="Times New Roman" w:cstheme="minorHAnsi"/>
          <w:color w:val="4A4A4A"/>
          <w:sz w:val="21"/>
          <w:szCs w:val="21"/>
          <w:lang w:eastAsia="en-GB"/>
        </w:rPr>
        <w:t xml:space="preserve"> is </w:t>
      </w:r>
      <w:r w:rsidR="00E264AE">
        <w:rPr>
          <w:rFonts w:eastAsia="Times New Roman" w:cstheme="minorHAnsi"/>
          <w:color w:val="4A4A4A"/>
          <w:sz w:val="21"/>
          <w:szCs w:val="21"/>
          <w:lang w:eastAsia="en-GB"/>
        </w:rPr>
        <w:t>either</w:t>
      </w:r>
      <w:r w:rsidRPr="00645B6F">
        <w:rPr>
          <w:rFonts w:eastAsia="Times New Roman" w:cstheme="minorHAnsi"/>
          <w:color w:val="4A4A4A"/>
          <w:sz w:val="21"/>
          <w:szCs w:val="21"/>
          <w:lang w:eastAsia="en-GB"/>
        </w:rPr>
        <w:t xml:space="preserve"> </w:t>
      </w:r>
      <w:r w:rsidR="00EA2494">
        <w:rPr>
          <w:rFonts w:eastAsia="Times New Roman" w:cstheme="minorHAnsi"/>
          <w:color w:val="4A4A4A"/>
          <w:sz w:val="21"/>
          <w:szCs w:val="21"/>
          <w:lang w:eastAsia="en-GB"/>
        </w:rPr>
        <w:t>the Poverty and Inequality Platform</w:t>
      </w:r>
      <w:r w:rsidRPr="00645B6F">
        <w:rPr>
          <w:rFonts w:eastAsia="Times New Roman" w:cstheme="minorHAnsi"/>
          <w:color w:val="4A4A4A"/>
          <w:sz w:val="21"/>
          <w:szCs w:val="21"/>
          <w:vertAlign w:val="superscript"/>
          <w:lang w:eastAsia="en-GB"/>
        </w:rPr>
        <w:footnoteReference w:id="11"/>
      </w:r>
      <w:r w:rsidRPr="00645B6F">
        <w:rPr>
          <w:rFonts w:eastAsia="Times New Roman" w:cstheme="minorHAnsi"/>
          <w:color w:val="4A4A4A"/>
          <w:sz w:val="21"/>
          <w:szCs w:val="21"/>
          <w:lang w:eastAsia="en-GB"/>
        </w:rPr>
        <w:t xml:space="preserve"> </w:t>
      </w:r>
      <w:r w:rsidR="006A5BEC">
        <w:rPr>
          <w:rFonts w:eastAsia="Times New Roman" w:cstheme="minorHAnsi"/>
          <w:color w:val="4A4A4A"/>
          <w:sz w:val="21"/>
          <w:szCs w:val="21"/>
          <w:lang w:eastAsia="en-GB"/>
        </w:rPr>
        <w:t>(already expressed in international dollars)</w:t>
      </w:r>
      <w:r w:rsidR="00EA2494">
        <w:rPr>
          <w:rFonts w:eastAsia="Times New Roman" w:cstheme="minorHAnsi"/>
          <w:color w:val="4A4A4A"/>
          <w:sz w:val="21"/>
          <w:szCs w:val="21"/>
          <w:lang w:eastAsia="en-GB"/>
        </w:rPr>
        <w:t xml:space="preserve">, </w:t>
      </w:r>
      <w:r w:rsidR="00E264AE">
        <w:rPr>
          <w:rFonts w:eastAsia="Times New Roman" w:cstheme="minorHAnsi"/>
          <w:color w:val="4A4A4A"/>
          <w:sz w:val="21"/>
          <w:szCs w:val="21"/>
          <w:lang w:eastAsia="en-GB"/>
        </w:rPr>
        <w:t>or</w:t>
      </w:r>
      <w:r w:rsidR="00B33790">
        <w:rPr>
          <w:rFonts w:eastAsia="Times New Roman" w:cstheme="minorHAnsi"/>
          <w:color w:val="4A4A4A"/>
          <w:sz w:val="21"/>
          <w:szCs w:val="21"/>
          <w:lang w:eastAsia="en-GB"/>
        </w:rPr>
        <w:t xml:space="preserve"> derived from</w:t>
      </w:r>
      <w:r w:rsidRPr="00645B6F">
        <w:rPr>
          <w:rFonts w:eastAsia="Times New Roman" w:cstheme="minorHAnsi"/>
          <w:color w:val="4A4A4A"/>
          <w:sz w:val="21"/>
          <w:szCs w:val="21"/>
          <w:lang w:eastAsia="en-GB"/>
        </w:rPr>
        <w:t xml:space="preserve"> the World Development Indicators (WDI)</w:t>
      </w:r>
      <w:r w:rsidRPr="00645B6F">
        <w:rPr>
          <w:rFonts w:eastAsia="Times New Roman" w:cstheme="minorHAnsi"/>
          <w:color w:val="4A4A4A"/>
          <w:sz w:val="21"/>
          <w:szCs w:val="21"/>
          <w:vertAlign w:val="superscript"/>
          <w:lang w:eastAsia="en-GB"/>
        </w:rPr>
        <w:footnoteReference w:id="12"/>
      </w:r>
      <w:r w:rsidR="00EF4DC3">
        <w:rPr>
          <w:rFonts w:eastAsia="Times New Roman" w:cstheme="minorHAnsi"/>
          <w:color w:val="4A4A4A"/>
          <w:sz w:val="21"/>
          <w:szCs w:val="21"/>
          <w:lang w:eastAsia="en-GB"/>
        </w:rPr>
        <w:t xml:space="preserve"> and</w:t>
      </w:r>
      <w:r w:rsidRPr="00645B6F">
        <w:rPr>
          <w:rFonts w:eastAsia="Times New Roman" w:cstheme="minorHAnsi"/>
          <w:color w:val="4A4A4A"/>
          <w:sz w:val="21"/>
          <w:szCs w:val="21"/>
          <w:lang w:eastAsia="en-GB"/>
        </w:rPr>
        <w:t xml:space="preserve">computed as the household final consumption expenditures in constant international </w:t>
      </w:r>
      <w:r w:rsidR="00EA2494">
        <w:rPr>
          <w:rFonts w:eastAsia="Times New Roman" w:cstheme="minorHAnsi"/>
          <w:color w:val="4A4A4A"/>
          <w:sz w:val="21"/>
          <w:szCs w:val="21"/>
          <w:lang w:eastAsia="en-GB"/>
        </w:rPr>
        <w:t xml:space="preserve">dollars </w:t>
      </w:r>
      <w:r w:rsidRPr="00645B6F">
        <w:rPr>
          <w:rFonts w:eastAsia="Times New Roman" w:cstheme="minorHAnsi"/>
          <w:color w:val="4A4A4A"/>
          <w:sz w:val="21"/>
          <w:szCs w:val="21"/>
          <w:lang w:eastAsia="en-GB"/>
        </w:rPr>
        <w:t xml:space="preserve">divided by </w:t>
      </w:r>
      <w:r w:rsidR="00EA2494">
        <w:rPr>
          <w:rFonts w:eastAsia="Times New Roman" w:cstheme="minorHAnsi"/>
          <w:color w:val="4A4A4A"/>
          <w:sz w:val="21"/>
          <w:szCs w:val="21"/>
          <w:lang w:eastAsia="en-GB"/>
        </w:rPr>
        <w:t xml:space="preserve">the </w:t>
      </w:r>
      <w:r w:rsidRPr="00645B6F">
        <w:rPr>
          <w:rFonts w:eastAsia="Times New Roman" w:cstheme="minorHAnsi"/>
          <w:color w:val="4A4A4A"/>
          <w:sz w:val="21"/>
          <w:szCs w:val="21"/>
          <w:lang w:eastAsia="en-GB"/>
        </w:rPr>
        <w:t xml:space="preserve">total population. </w:t>
      </w:r>
      <w:r w:rsidR="00EF4DC3">
        <w:rPr>
          <w:rFonts w:eastAsia="Times New Roman" w:cstheme="minorHAnsi"/>
          <w:color w:val="4A4A4A"/>
          <w:sz w:val="21"/>
          <w:szCs w:val="21"/>
          <w:lang w:eastAsia="en-GB"/>
        </w:rPr>
        <w:t xml:space="preserve">The average estimated from the survey is </w:t>
      </w:r>
      <w:r w:rsidR="009647D3">
        <w:rPr>
          <w:rFonts w:eastAsia="Times New Roman" w:cstheme="minorHAnsi"/>
          <w:color w:val="4A4A4A"/>
          <w:sz w:val="21"/>
          <w:szCs w:val="21"/>
          <w:lang w:eastAsia="en-GB"/>
        </w:rPr>
        <w:t>available in local nominal currency units. It is</w:t>
      </w:r>
      <w:r w:rsidR="00E36869">
        <w:rPr>
          <w:rFonts w:eastAsia="Times New Roman" w:cstheme="minorHAnsi"/>
          <w:color w:val="4A4A4A"/>
          <w:sz w:val="21"/>
          <w:szCs w:val="21"/>
          <w:lang w:eastAsia="en-GB"/>
        </w:rPr>
        <w:t xml:space="preserve"> converted into internation dollars using purchasing power parities</w:t>
      </w:r>
      <w:r w:rsidR="00946331">
        <w:rPr>
          <w:rFonts w:eastAsia="Times New Roman" w:cstheme="minorHAnsi"/>
          <w:color w:val="4A4A4A"/>
          <w:sz w:val="21"/>
          <w:szCs w:val="21"/>
          <w:lang w:eastAsia="en-GB"/>
        </w:rPr>
        <w:t xml:space="preserve"> (PPP)</w:t>
      </w:r>
      <w:r w:rsidR="00422A61">
        <w:rPr>
          <w:rFonts w:eastAsia="Times New Roman" w:cstheme="minorHAnsi"/>
          <w:color w:val="4A4A4A"/>
          <w:sz w:val="21"/>
          <w:szCs w:val="21"/>
          <w:lang w:eastAsia="en-GB"/>
        </w:rPr>
        <w:t xml:space="preserve"> for private consumption</w:t>
      </w:r>
      <w:r w:rsidR="005C7531">
        <w:rPr>
          <w:rFonts w:eastAsia="Times New Roman" w:cstheme="minorHAnsi"/>
          <w:color w:val="4A4A4A"/>
          <w:sz w:val="21"/>
          <w:szCs w:val="21"/>
          <w:lang w:eastAsia="en-GB"/>
        </w:rPr>
        <w:t xml:space="preserve"> and consumer index prices</w:t>
      </w:r>
      <w:r w:rsidR="00E36869">
        <w:rPr>
          <w:rFonts w:eastAsia="Times New Roman" w:cstheme="minorHAnsi"/>
          <w:color w:val="4A4A4A"/>
          <w:sz w:val="21"/>
          <w:szCs w:val="21"/>
          <w:lang w:eastAsia="en-GB"/>
        </w:rPr>
        <w:t xml:space="preserve">. </w:t>
      </w:r>
      <w:r w:rsidR="00A43A93" w:rsidRPr="00A43A93">
        <w:rPr>
          <w:rFonts w:eastAsia="Times New Roman" w:cstheme="minorHAnsi"/>
          <w:color w:val="4A4A4A"/>
          <w:sz w:val="21"/>
          <w:szCs w:val="21"/>
          <w:lang w:eastAsia="en-GB"/>
        </w:rPr>
        <w:t xml:space="preserve">PPP data are downloadable from the World Bank’s (WDI) data website14 and the Poverty and Inequality Platform (PIP). Data on CPIs is also downloadable from the Poverty and Inequality Platform (PIP). PIP is the preferred data source for both CPIs and PPPs. </w:t>
      </w:r>
    </w:p>
    <w:p w14:paraId="1B4621A8" w14:textId="5EAA8A22" w:rsidR="00A14ED3" w:rsidRPr="005656EF" w:rsidRDefault="002811CF" w:rsidP="005656EF">
      <w:pPr>
        <w:numPr>
          <w:ilvl w:val="0"/>
          <w:numId w:val="6"/>
        </w:numPr>
        <w:shd w:val="clear" w:color="auto" w:fill="FFFFFF"/>
        <w:spacing w:after="0" w:line="240" w:lineRule="auto"/>
        <w:rPr>
          <w:rFonts w:eastAsia="Times New Roman" w:cstheme="minorHAnsi"/>
          <w:color w:val="4A4A4A"/>
          <w:sz w:val="21"/>
          <w:szCs w:val="21"/>
          <w:lang w:eastAsia="en-GB"/>
        </w:rPr>
      </w:pPr>
      <w:r w:rsidRPr="00631013">
        <w:rPr>
          <w:rFonts w:eastAsia="Times New Roman" w:cstheme="minorHAnsi"/>
          <w:color w:val="4A4A4A"/>
          <w:sz w:val="21"/>
          <w:szCs w:val="21"/>
          <w:lang w:eastAsia="en-GB"/>
        </w:rPr>
        <w:lastRenderedPageBreak/>
        <w:t xml:space="preserve">Compare the poverty headcount estimated from the survey </w:t>
      </w:r>
      <w:r w:rsidR="00B473E0">
        <w:rPr>
          <w:rFonts w:eastAsia="Times New Roman" w:cstheme="minorHAnsi"/>
          <w:color w:val="4A4A4A"/>
          <w:sz w:val="21"/>
          <w:szCs w:val="21"/>
          <w:lang w:eastAsia="en-GB"/>
        </w:rPr>
        <w:t>using</w:t>
      </w:r>
      <w:r w:rsidR="001C731F" w:rsidRPr="00A14ED3">
        <w:rPr>
          <w:rFonts w:eastAsia="Times New Roman" w:cstheme="minorHAnsi"/>
          <w:color w:val="4A4A4A"/>
          <w:sz w:val="21"/>
          <w:szCs w:val="21"/>
          <w:lang w:eastAsia="en-GB"/>
        </w:rPr>
        <w:t xml:space="preserve"> international </w:t>
      </w:r>
      <w:r w:rsidRPr="00A14ED3">
        <w:rPr>
          <w:rFonts w:eastAsia="Times New Roman" w:cstheme="minorHAnsi"/>
          <w:color w:val="4A4A4A"/>
          <w:sz w:val="21"/>
          <w:szCs w:val="21"/>
          <w:lang w:eastAsia="en-GB"/>
        </w:rPr>
        <w:t>poverty line</w:t>
      </w:r>
      <w:r w:rsidR="00BE2CEC">
        <w:rPr>
          <w:rFonts w:eastAsia="Times New Roman" w:cstheme="minorHAnsi"/>
          <w:color w:val="4A4A4A"/>
          <w:sz w:val="21"/>
          <w:szCs w:val="21"/>
          <w:lang w:eastAsia="en-GB"/>
        </w:rPr>
        <w:t>s</w:t>
      </w:r>
      <w:r w:rsidRPr="00A14ED3">
        <w:rPr>
          <w:rFonts w:eastAsia="Times New Roman" w:cstheme="minorHAnsi"/>
          <w:color w:val="4A4A4A"/>
          <w:sz w:val="21"/>
          <w:szCs w:val="21"/>
          <w:lang w:eastAsia="en-GB"/>
        </w:rPr>
        <w:t xml:space="preserve"> with the poverty incidence reported in </w:t>
      </w:r>
      <w:r w:rsidR="0054064B" w:rsidRPr="00A14ED3">
        <w:rPr>
          <w:rFonts w:eastAsia="Times New Roman" w:cstheme="minorHAnsi"/>
          <w:color w:val="4A4A4A"/>
          <w:sz w:val="21"/>
          <w:szCs w:val="21"/>
          <w:lang w:eastAsia="en-GB"/>
        </w:rPr>
        <w:t>Poverty and Inequality Platform</w:t>
      </w:r>
      <w:r w:rsidRPr="00A14ED3">
        <w:rPr>
          <w:rFonts w:eastAsia="Times New Roman" w:cstheme="minorHAnsi"/>
          <w:color w:val="4A4A4A"/>
          <w:sz w:val="21"/>
          <w:szCs w:val="21"/>
          <w:lang w:eastAsia="en-GB"/>
        </w:rPr>
        <w:t xml:space="preserve"> at the same poverty line</w:t>
      </w:r>
      <w:r w:rsidR="00EC3D27">
        <w:rPr>
          <w:rFonts w:eastAsia="Times New Roman" w:cstheme="minorHAnsi"/>
          <w:color w:val="4A4A4A"/>
          <w:sz w:val="21"/>
          <w:szCs w:val="21"/>
          <w:lang w:eastAsia="en-GB"/>
        </w:rPr>
        <w:t>s</w:t>
      </w:r>
      <w:r w:rsidRPr="00A14ED3">
        <w:rPr>
          <w:rFonts w:eastAsia="Times New Roman" w:cstheme="minorHAnsi"/>
          <w:color w:val="4A4A4A"/>
          <w:sz w:val="21"/>
          <w:szCs w:val="21"/>
          <w:lang w:eastAsia="en-GB"/>
        </w:rPr>
        <w:t xml:space="preserve"> (benchmark value). When the absolute difference between the benchmark value and the survey-based estimate exceeds 10 percentage points</w:t>
      </w:r>
      <w:r w:rsidR="00BC53B0" w:rsidRPr="00A14ED3">
        <w:rPr>
          <w:rFonts w:eastAsia="Times New Roman" w:cstheme="minorHAnsi"/>
          <w:color w:val="4A4A4A"/>
          <w:sz w:val="21"/>
          <w:szCs w:val="21"/>
          <w:lang w:eastAsia="en-GB"/>
        </w:rPr>
        <w:t>,</w:t>
      </w:r>
      <w:r w:rsidRPr="00A14ED3">
        <w:rPr>
          <w:rFonts w:eastAsia="Times New Roman" w:cstheme="minorHAnsi"/>
          <w:color w:val="4A4A4A"/>
          <w:sz w:val="21"/>
          <w:szCs w:val="21"/>
          <w:lang w:eastAsia="en-GB"/>
        </w:rPr>
        <w:t xml:space="preserve"> the survey-based point is identified as an outlier to track poverty </w:t>
      </w:r>
      <w:r w:rsidR="00555B15">
        <w:rPr>
          <w:rFonts w:eastAsia="Times New Roman" w:cstheme="minorHAnsi"/>
          <w:color w:val="4A4A4A"/>
          <w:sz w:val="21"/>
          <w:szCs w:val="21"/>
          <w:lang w:eastAsia="en-GB"/>
        </w:rPr>
        <w:t xml:space="preserve">using international poverty lines </w:t>
      </w:r>
      <w:r w:rsidRPr="00A14ED3">
        <w:rPr>
          <w:rFonts w:eastAsia="Times New Roman" w:cstheme="minorHAnsi"/>
          <w:color w:val="4A4A4A"/>
          <w:sz w:val="21"/>
          <w:szCs w:val="21"/>
          <w:lang w:eastAsia="en-GB"/>
        </w:rPr>
        <w:t xml:space="preserve">and flagged for possible exclusion. </w:t>
      </w:r>
      <w:r w:rsidR="009F27FA">
        <w:rPr>
          <w:rFonts w:eastAsia="Times New Roman" w:cstheme="minorHAnsi"/>
          <w:color w:val="4A4A4A"/>
          <w:sz w:val="21"/>
          <w:szCs w:val="21"/>
          <w:lang w:eastAsia="en-GB"/>
        </w:rPr>
        <w:t xml:space="preserve"> </w:t>
      </w:r>
      <w:r w:rsidR="009E3974">
        <w:rPr>
          <w:rFonts w:eastAsia="Times New Roman" w:cstheme="minorHAnsi"/>
          <w:color w:val="4A4A4A"/>
          <w:sz w:val="21"/>
          <w:szCs w:val="21"/>
          <w:lang w:eastAsia="en-GB"/>
        </w:rPr>
        <w:t>An extreme and moderate poverty line are used for this assessment.</w:t>
      </w:r>
      <w:r w:rsidR="00A14ED3" w:rsidRPr="00A14ED3">
        <w:rPr>
          <w:rFonts w:eastAsia="Times New Roman" w:cstheme="minorHAnsi"/>
          <w:color w:val="4A4A4A"/>
          <w:sz w:val="21"/>
          <w:szCs w:val="21"/>
          <w:lang w:eastAsia="en-GB"/>
        </w:rPr>
        <w:t xml:space="preserve"> </w:t>
      </w:r>
      <w:r w:rsidR="00A14ED3" w:rsidRPr="00631013">
        <w:rPr>
          <w:rFonts w:eastAsia="Times New Roman" w:cstheme="minorHAnsi"/>
          <w:color w:val="4A4A4A"/>
          <w:sz w:val="21"/>
          <w:szCs w:val="21"/>
          <w:lang w:eastAsia="en-GB"/>
        </w:rPr>
        <w:t>T</w:t>
      </w:r>
      <w:r w:rsidR="00A14ED3" w:rsidRPr="005656EF">
        <w:rPr>
          <w:rFonts w:eastAsia="Times New Roman" w:cstheme="minorHAnsi"/>
          <w:color w:val="4A4A4A"/>
          <w:sz w:val="21"/>
          <w:szCs w:val="21"/>
          <w:lang w:eastAsia="en-GB"/>
        </w:rPr>
        <w:t xml:space="preserve">he </w:t>
      </w:r>
      <w:r w:rsidR="00A14ED3" w:rsidRPr="00BE2CEC">
        <w:rPr>
          <w:rFonts w:eastAsia="Times New Roman" w:cstheme="minorHAnsi"/>
          <w:color w:val="4A4A4A"/>
          <w:sz w:val="21"/>
          <w:szCs w:val="21"/>
          <w:lang w:eastAsia="en-GB"/>
        </w:rPr>
        <w:t xml:space="preserve">latest  value of international </w:t>
      </w:r>
      <w:r w:rsidR="00A14ED3" w:rsidRPr="0028419E">
        <w:rPr>
          <w:rFonts w:eastAsia="Times New Roman" w:cstheme="minorHAnsi"/>
          <w:color w:val="4A4A4A"/>
          <w:sz w:val="21"/>
          <w:szCs w:val="21"/>
          <w:lang w:eastAsia="en-GB"/>
        </w:rPr>
        <w:t xml:space="preserve">extreme poverty </w:t>
      </w:r>
      <w:r w:rsidR="00971EF8" w:rsidRPr="002B42CE">
        <w:rPr>
          <w:rFonts w:eastAsia="Times New Roman" w:cstheme="minorHAnsi"/>
          <w:color w:val="4A4A4A"/>
          <w:sz w:val="21"/>
          <w:szCs w:val="21"/>
          <w:lang w:eastAsia="en-GB"/>
        </w:rPr>
        <w:t>line is</w:t>
      </w:r>
      <w:r w:rsidR="00A14ED3" w:rsidRPr="002B42CE">
        <w:rPr>
          <w:rFonts w:eastAsia="Times New Roman" w:cstheme="minorHAnsi"/>
          <w:color w:val="4A4A4A"/>
          <w:sz w:val="21"/>
          <w:szCs w:val="21"/>
          <w:lang w:eastAsia="en-GB"/>
        </w:rPr>
        <w:t xml:space="preserve"> $2.15 per day per capita using 2017 purchasing power parities (PPPs) for private consumption </w:t>
      </w:r>
      <w:r w:rsidR="00971EF8" w:rsidRPr="00555B15">
        <w:rPr>
          <w:rFonts w:eastAsia="Times New Roman" w:cstheme="minorHAnsi"/>
          <w:color w:val="4A4A4A"/>
          <w:sz w:val="21"/>
          <w:szCs w:val="21"/>
          <w:lang w:eastAsia="en-GB"/>
        </w:rPr>
        <w:t>and</w:t>
      </w:r>
      <w:r w:rsidR="00A14ED3" w:rsidRPr="00555B15">
        <w:rPr>
          <w:rFonts w:eastAsia="Times New Roman" w:cstheme="minorHAnsi"/>
          <w:color w:val="4A4A4A"/>
          <w:sz w:val="21"/>
          <w:szCs w:val="21"/>
          <w:lang w:eastAsia="en-GB"/>
        </w:rPr>
        <w:t xml:space="preserve"> replaces the $1.90 poverty line based on 2011 PPPs.</w:t>
      </w:r>
      <w:r w:rsidR="0028419E" w:rsidRPr="0028419E">
        <w:t xml:space="preserve"> </w:t>
      </w:r>
      <w:r w:rsidR="0028419E" w:rsidRPr="0028419E">
        <w:rPr>
          <w:rFonts w:eastAsia="Times New Roman" w:cstheme="minorHAnsi"/>
          <w:color w:val="4A4A4A"/>
          <w:sz w:val="21"/>
          <w:szCs w:val="21"/>
          <w:lang w:eastAsia="en-GB"/>
        </w:rPr>
        <w:t xml:space="preserve">The </w:t>
      </w:r>
      <w:r w:rsidR="0028419E">
        <w:rPr>
          <w:rFonts w:eastAsia="Times New Roman" w:cstheme="minorHAnsi"/>
          <w:color w:val="4A4A4A"/>
          <w:sz w:val="21"/>
          <w:szCs w:val="21"/>
          <w:lang w:eastAsia="en-GB"/>
        </w:rPr>
        <w:t xml:space="preserve">latest value of the </w:t>
      </w:r>
      <w:r w:rsidR="0028419E" w:rsidRPr="0028419E">
        <w:rPr>
          <w:rFonts w:eastAsia="Times New Roman" w:cstheme="minorHAnsi"/>
          <w:color w:val="4A4A4A"/>
          <w:sz w:val="21"/>
          <w:szCs w:val="21"/>
          <w:lang w:eastAsia="en-GB"/>
        </w:rPr>
        <w:t xml:space="preserve">moderate </w:t>
      </w:r>
      <w:r w:rsidR="0028419E">
        <w:rPr>
          <w:rFonts w:eastAsia="Times New Roman" w:cstheme="minorHAnsi"/>
          <w:color w:val="4A4A4A"/>
          <w:sz w:val="21"/>
          <w:szCs w:val="21"/>
          <w:lang w:eastAsia="en-GB"/>
        </w:rPr>
        <w:t xml:space="preserve">international </w:t>
      </w:r>
      <w:r w:rsidR="0028419E" w:rsidRPr="0028419E">
        <w:rPr>
          <w:rFonts w:eastAsia="Times New Roman" w:cstheme="minorHAnsi"/>
          <w:color w:val="4A4A4A"/>
          <w:sz w:val="21"/>
          <w:szCs w:val="21"/>
          <w:lang w:eastAsia="en-GB"/>
        </w:rPr>
        <w:t xml:space="preserve">poverty line </w:t>
      </w:r>
      <w:r w:rsidR="0028419E">
        <w:rPr>
          <w:rFonts w:eastAsia="Times New Roman" w:cstheme="minorHAnsi"/>
          <w:color w:val="4A4A4A"/>
          <w:sz w:val="21"/>
          <w:szCs w:val="21"/>
          <w:lang w:eastAsia="en-GB"/>
        </w:rPr>
        <w:t xml:space="preserve">is </w:t>
      </w:r>
      <w:r w:rsidR="0028419E" w:rsidRPr="0028419E">
        <w:rPr>
          <w:rFonts w:eastAsia="Times New Roman" w:cstheme="minorHAnsi"/>
          <w:color w:val="4A4A4A"/>
          <w:sz w:val="21"/>
          <w:szCs w:val="21"/>
          <w:lang w:eastAsia="en-GB"/>
        </w:rPr>
        <w:t>$3.65 per person per day is based on 2017 PPPs which replaces the $3.20 poverty line based on 2011 PPPs. It corresponds to the typical standard used to assess national poverty levels in lower-middle-income countries.</w:t>
      </w:r>
      <w:r w:rsidR="00A14ED3" w:rsidRPr="0028419E">
        <w:rPr>
          <w:rFonts w:eastAsia="Times New Roman" w:cstheme="minorHAnsi"/>
          <w:color w:val="4A4A4A"/>
          <w:sz w:val="21"/>
          <w:szCs w:val="21"/>
          <w:lang w:eastAsia="en-GB"/>
        </w:rPr>
        <w:t xml:space="preserve"> </w:t>
      </w:r>
      <w:r w:rsidR="00631013">
        <w:rPr>
          <w:rFonts w:eastAsia="Times New Roman" w:cstheme="minorHAnsi"/>
          <w:color w:val="4A4A4A"/>
          <w:sz w:val="21"/>
          <w:szCs w:val="21"/>
          <w:lang w:eastAsia="en-GB"/>
        </w:rPr>
        <w:t xml:space="preserve"> </w:t>
      </w:r>
      <w:r w:rsidR="00631013">
        <w:t>For more information about the</w:t>
      </w:r>
      <w:r w:rsidR="005656EF">
        <w:t xml:space="preserve"> latest</w:t>
      </w:r>
      <w:r w:rsidR="00631013">
        <w:t xml:space="preserve"> purchasing power parity revision (PPP), please consult </w:t>
      </w:r>
      <w:r w:rsidR="00985999">
        <w:t>h</w:t>
      </w:r>
      <w:r w:rsidR="00631013">
        <w:t>ttps://www.worldbank.org/en/news/factsheet/2022/05/02/fact-sheet-an-adjustment-to-global-poverty-lines</w:t>
      </w:r>
    </w:p>
    <w:p w14:paraId="453CC2E4" w14:textId="470D7620" w:rsidR="00517ED8" w:rsidRDefault="00517ED8" w:rsidP="00517ED8">
      <w:pPr>
        <w:shd w:val="clear" w:color="auto" w:fill="FFFFFF"/>
        <w:spacing w:after="0" w:line="240" w:lineRule="auto"/>
        <w:rPr>
          <w:rFonts w:eastAsia="Times New Roman" w:cstheme="minorHAnsi"/>
          <w:color w:val="4A4A4A"/>
          <w:sz w:val="21"/>
          <w:szCs w:val="21"/>
          <w:lang w:eastAsia="en-GB"/>
        </w:rPr>
      </w:pPr>
    </w:p>
    <w:p w14:paraId="343F5E83" w14:textId="77777777" w:rsidR="00AB083D" w:rsidRPr="00645B6F" w:rsidRDefault="00AB083D" w:rsidP="00AB083D">
      <w:pPr>
        <w:shd w:val="clear" w:color="auto" w:fill="FFFFFF"/>
        <w:spacing w:after="0"/>
        <w:rPr>
          <w:rFonts w:eastAsia="Times New Roman" w:cstheme="minorHAnsi"/>
          <w:i/>
          <w:iCs/>
          <w:color w:val="4A4A4A"/>
          <w:sz w:val="21"/>
          <w:szCs w:val="21"/>
          <w:lang w:eastAsia="en-GB"/>
        </w:rPr>
      </w:pPr>
      <w:r w:rsidRPr="00645B6F">
        <w:rPr>
          <w:rFonts w:eastAsia="Times New Roman" w:cstheme="minorHAnsi"/>
          <w:i/>
          <w:iCs/>
          <w:color w:val="4A4A4A"/>
          <w:sz w:val="21"/>
          <w:szCs w:val="21"/>
          <w:lang w:eastAsia="en-GB"/>
        </w:rPr>
        <w:t>For the numerator of the health expenditure ratio</w:t>
      </w:r>
    </w:p>
    <w:p w14:paraId="7E1986AD" w14:textId="7AD2FA69" w:rsidR="00AB083D" w:rsidRPr="00A4731F" w:rsidRDefault="00AB083D" w:rsidP="00AB083D">
      <w:pPr>
        <w:numPr>
          <w:ilvl w:val="0"/>
          <w:numId w:val="7"/>
        </w:numPr>
        <w:shd w:val="clear" w:color="auto" w:fill="FFFFFF"/>
        <w:spacing w:after="0" w:line="240" w:lineRule="auto"/>
        <w:rPr>
          <w:rFonts w:eastAsia="Times New Roman" w:cstheme="minorHAnsi"/>
          <w:color w:val="4A4A4A"/>
          <w:sz w:val="21"/>
          <w:szCs w:val="21"/>
          <w:lang w:eastAsia="en-GB"/>
        </w:rPr>
      </w:pPr>
      <w:r w:rsidRPr="0005342A">
        <w:rPr>
          <w:rFonts w:eastAsia="Times New Roman" w:cstheme="minorHAnsi"/>
          <w:color w:val="4A4A4A"/>
          <w:sz w:val="21"/>
          <w:szCs w:val="21"/>
          <w:lang w:eastAsia="en-GB"/>
        </w:rPr>
        <w:t>Compare the average health expenditure ratio in the survey to a benchmark average</w:t>
      </w:r>
      <w:r>
        <w:rPr>
          <w:rFonts w:eastAsia="Times New Roman" w:cstheme="minorHAnsi"/>
          <w:color w:val="4A4A4A"/>
          <w:sz w:val="21"/>
          <w:szCs w:val="21"/>
          <w:lang w:eastAsia="en-GB"/>
        </w:rPr>
        <w:t xml:space="preserve"> health</w:t>
      </w:r>
      <w:r w:rsidRPr="0005342A">
        <w:rPr>
          <w:rFonts w:eastAsia="Times New Roman" w:cstheme="minorHAnsi"/>
          <w:color w:val="4A4A4A"/>
          <w:sz w:val="21"/>
          <w:szCs w:val="21"/>
          <w:lang w:eastAsia="en-GB"/>
        </w:rPr>
        <w:t xml:space="preserve"> budget share. The latter is constructed </w:t>
      </w:r>
      <w:r>
        <w:rPr>
          <w:rFonts w:eastAsia="Times New Roman" w:cstheme="minorHAnsi"/>
          <w:color w:val="4A4A4A"/>
          <w:sz w:val="21"/>
          <w:szCs w:val="21"/>
          <w:lang w:eastAsia="en-GB"/>
        </w:rPr>
        <w:t xml:space="preserve">from national health accounts data </w:t>
      </w:r>
      <w:r w:rsidRPr="0005342A">
        <w:rPr>
          <w:rFonts w:eastAsia="Times New Roman" w:cstheme="minorHAnsi"/>
          <w:color w:val="4A4A4A"/>
          <w:sz w:val="21"/>
          <w:szCs w:val="21"/>
          <w:lang w:eastAsia="en-GB"/>
        </w:rPr>
        <w:t>as the ratio of the aggregate measure of household out-of-pocket expenditures to the final consumption expenditure</w:t>
      </w:r>
      <w:r>
        <w:rPr>
          <w:rFonts w:eastAsia="Times New Roman" w:cstheme="minorHAnsi"/>
          <w:color w:val="4A4A4A"/>
          <w:sz w:val="21"/>
          <w:szCs w:val="21"/>
          <w:lang w:eastAsia="en-GB"/>
        </w:rPr>
        <w:t xml:space="preserve"> of households and profit institutions serving households</w:t>
      </w:r>
      <w:r w:rsidRPr="00E35EB1">
        <w:rPr>
          <w:rFonts w:eastAsia="Times New Roman" w:cstheme="minorHAnsi"/>
          <w:color w:val="4A4A4A"/>
          <w:sz w:val="21"/>
          <w:szCs w:val="21"/>
          <w:lang w:eastAsia="en-GB"/>
        </w:rPr>
        <w:t>, both in current local currency. When the absolute difference exceeds 5 percentage points</w:t>
      </w:r>
      <w:r w:rsidR="00FF33BA">
        <w:rPr>
          <w:rFonts w:eastAsia="Times New Roman" w:cstheme="minorHAnsi"/>
          <w:color w:val="4A4A4A"/>
          <w:sz w:val="21"/>
          <w:szCs w:val="21"/>
          <w:lang w:eastAsia="en-GB"/>
        </w:rPr>
        <w:t>,</w:t>
      </w:r>
      <w:r w:rsidRPr="00E35EB1">
        <w:rPr>
          <w:rFonts w:eastAsia="Times New Roman" w:cstheme="minorHAnsi"/>
          <w:color w:val="4A4A4A"/>
          <w:sz w:val="21"/>
          <w:szCs w:val="21"/>
          <w:lang w:eastAsia="en-GB"/>
        </w:rPr>
        <w:t xml:space="preserve"> the survey point is identified as an outlier in terms of household budget share spent on health and flagged for possible exclusion. The macro-indicator</w:t>
      </w:r>
      <w:r>
        <w:rPr>
          <w:rFonts w:eastAsia="Times New Roman" w:cstheme="minorHAnsi"/>
          <w:color w:val="4A4A4A"/>
          <w:sz w:val="21"/>
          <w:szCs w:val="21"/>
          <w:lang w:eastAsia="en-GB"/>
        </w:rPr>
        <w:t>s</w:t>
      </w:r>
      <w:r w:rsidRPr="00E35EB1">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are</w:t>
      </w:r>
      <w:r w:rsidRPr="00E35EB1">
        <w:rPr>
          <w:rFonts w:eastAsia="Times New Roman" w:cstheme="minorHAnsi"/>
          <w:color w:val="4A4A4A"/>
          <w:sz w:val="21"/>
          <w:szCs w:val="21"/>
          <w:lang w:eastAsia="en-GB"/>
        </w:rPr>
        <w:t xml:space="preserve"> available from the </w:t>
      </w:r>
      <w:hyperlink r:id="rId18" w:history="1">
        <w:r w:rsidRPr="0005342A">
          <w:rPr>
            <w:rFonts w:eastAsia="Times New Roman" w:cstheme="minorHAnsi"/>
            <w:color w:val="0000FF" w:themeColor="hyperlink"/>
            <w:sz w:val="21"/>
            <w:szCs w:val="21"/>
            <w:u w:val="single"/>
            <w:lang w:eastAsia="en-GB"/>
          </w:rPr>
          <w:t>Global Health Expenditure Database</w:t>
        </w:r>
      </w:hyperlink>
      <w:r w:rsidRPr="0005342A">
        <w:rPr>
          <w:rFonts w:eastAsia="Times New Roman" w:cstheme="minorHAnsi"/>
          <w:color w:val="4A4A4A"/>
          <w:sz w:val="21"/>
          <w:szCs w:val="21"/>
          <w:lang w:eastAsia="en-GB"/>
        </w:rPr>
        <w:t xml:space="preserve"> (GHED)</w:t>
      </w:r>
      <w:r w:rsidRPr="00645B6F">
        <w:rPr>
          <w:rFonts w:eastAsia="Times New Roman" w:cstheme="minorHAnsi"/>
          <w:color w:val="4A4A4A"/>
          <w:sz w:val="21"/>
          <w:szCs w:val="21"/>
          <w:vertAlign w:val="superscript"/>
          <w:lang w:eastAsia="en-GB"/>
        </w:rPr>
        <w:footnoteReference w:id="13"/>
      </w:r>
      <w:r w:rsidR="00134EE3">
        <w:rPr>
          <w:rFonts w:eastAsia="Times New Roman" w:cstheme="minorHAnsi"/>
          <w:color w:val="4A4A4A"/>
          <w:sz w:val="21"/>
          <w:szCs w:val="21"/>
          <w:lang w:eastAsia="en-GB"/>
        </w:rPr>
        <w:t>.</w:t>
      </w:r>
      <w:r w:rsidRPr="0005342A">
        <w:rPr>
          <w:rFonts w:eastAsia="Times New Roman" w:cstheme="minorHAnsi"/>
          <w:color w:val="4A4A4A"/>
          <w:sz w:val="21"/>
          <w:szCs w:val="21"/>
          <w:lang w:eastAsia="en-GB"/>
        </w:rPr>
        <w:t xml:space="preserve"> </w:t>
      </w:r>
    </w:p>
    <w:p w14:paraId="345098CE" w14:textId="77777777" w:rsidR="00AB083D" w:rsidRPr="00645B6F" w:rsidRDefault="00AB083D" w:rsidP="00AB083D">
      <w:pPr>
        <w:shd w:val="clear" w:color="auto" w:fill="FFFFFF"/>
        <w:spacing w:after="0"/>
        <w:ind w:left="720"/>
        <w:contextualSpacing/>
        <w:jc w:val="both"/>
        <w:rPr>
          <w:rFonts w:eastAsia="Times New Roman" w:cstheme="minorHAnsi"/>
          <w:color w:val="4A4A4A"/>
          <w:sz w:val="21"/>
          <w:szCs w:val="21"/>
          <w:lang w:eastAsia="en-GB"/>
        </w:rPr>
      </w:pPr>
    </w:p>
    <w:p w14:paraId="7B5890C7" w14:textId="715FD601" w:rsidR="009C120F" w:rsidRDefault="00AB083D" w:rsidP="00AB083D">
      <w:pPr>
        <w:shd w:val="clear" w:color="auto" w:fill="FFFFFF"/>
        <w:spacing w:after="0" w:line="240" w:lineRule="auto"/>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These benchmarks are also used to decide </w:t>
      </w:r>
      <w:r w:rsidR="00422483">
        <w:rPr>
          <w:rFonts w:eastAsia="Times New Roman" w:cstheme="minorHAnsi"/>
          <w:color w:val="4A4A4A"/>
          <w:sz w:val="21"/>
          <w:szCs w:val="21"/>
          <w:lang w:eastAsia="en-GB"/>
        </w:rPr>
        <w:t xml:space="preserve">which estimates to accept </w:t>
      </w:r>
      <w:r w:rsidRPr="00645B6F">
        <w:rPr>
          <w:rFonts w:eastAsia="Times New Roman" w:cstheme="minorHAnsi"/>
          <w:color w:val="4A4A4A"/>
          <w:sz w:val="21"/>
          <w:szCs w:val="21"/>
          <w:lang w:eastAsia="en-GB"/>
        </w:rPr>
        <w:t xml:space="preserve">between two estimates for those countries and </w:t>
      </w:r>
      <w:r w:rsidR="003513D0">
        <w:rPr>
          <w:rFonts w:eastAsia="Times New Roman" w:cstheme="minorHAnsi"/>
          <w:color w:val="4A4A4A"/>
          <w:sz w:val="21"/>
          <w:szCs w:val="21"/>
          <w:lang w:eastAsia="en-GB"/>
        </w:rPr>
        <w:t xml:space="preserve">the </w:t>
      </w:r>
      <w:r w:rsidRPr="00645B6F">
        <w:rPr>
          <w:rFonts w:eastAsia="Times New Roman" w:cstheme="minorHAnsi"/>
          <w:color w:val="4A4A4A"/>
          <w:sz w:val="21"/>
          <w:szCs w:val="21"/>
          <w:lang w:eastAsia="en-GB"/>
        </w:rPr>
        <w:t>years for which both institutions have the same data source.</w:t>
      </w:r>
      <w:r>
        <w:rPr>
          <w:rFonts w:eastAsia="Times New Roman" w:cstheme="minorHAnsi"/>
          <w:color w:val="4A4A4A"/>
          <w:sz w:val="21"/>
          <w:szCs w:val="21"/>
          <w:lang w:eastAsia="en-GB"/>
        </w:rPr>
        <w:t xml:space="preserve"> For a survey-based estimate of </w:t>
      </w:r>
      <w:r w:rsidR="003513D0">
        <w:rPr>
          <w:rFonts w:eastAsia="Times New Roman" w:cstheme="minorHAnsi"/>
          <w:color w:val="4A4A4A"/>
          <w:sz w:val="21"/>
          <w:szCs w:val="21"/>
          <w:lang w:eastAsia="en-GB"/>
        </w:rPr>
        <w:t xml:space="preserve">SDG </w:t>
      </w:r>
      <w:r>
        <w:rPr>
          <w:rFonts w:eastAsia="Times New Roman" w:cstheme="minorHAnsi"/>
          <w:color w:val="4A4A4A"/>
          <w:sz w:val="21"/>
          <w:szCs w:val="21"/>
          <w:lang w:eastAsia="en-GB"/>
        </w:rPr>
        <w:t>indicator 3.8.2 to be included in the joint database and</w:t>
      </w:r>
      <w:r w:rsidR="00134EE3">
        <w:rPr>
          <w:rFonts w:eastAsia="Times New Roman" w:cstheme="minorHAnsi"/>
          <w:color w:val="4A4A4A"/>
          <w:sz w:val="21"/>
          <w:szCs w:val="21"/>
          <w:lang w:eastAsia="en-GB"/>
        </w:rPr>
        <w:t>,</w:t>
      </w:r>
      <w:r>
        <w:rPr>
          <w:rFonts w:eastAsia="Times New Roman" w:cstheme="minorHAnsi"/>
          <w:color w:val="4A4A4A"/>
          <w:sz w:val="21"/>
          <w:szCs w:val="21"/>
          <w:lang w:eastAsia="en-GB"/>
        </w:rPr>
        <w:t xml:space="preserve"> therefore</w:t>
      </w:r>
      <w:r w:rsidR="00134EE3">
        <w:rPr>
          <w:rFonts w:eastAsia="Times New Roman" w:cstheme="minorHAnsi"/>
          <w:color w:val="4A4A4A"/>
          <w:sz w:val="21"/>
          <w:szCs w:val="21"/>
          <w:lang w:eastAsia="en-GB"/>
        </w:rPr>
        <w:t>,</w:t>
      </w:r>
      <w:r>
        <w:rPr>
          <w:rFonts w:eastAsia="Times New Roman" w:cstheme="minorHAnsi"/>
          <w:color w:val="4A4A4A"/>
          <w:sz w:val="21"/>
          <w:szCs w:val="21"/>
          <w:lang w:eastAsia="en-GB"/>
        </w:rPr>
        <w:t xml:space="preserve"> in the country consultation </w:t>
      </w:r>
      <w:r w:rsidR="00412FE1">
        <w:rPr>
          <w:rFonts w:eastAsia="Times New Roman" w:cstheme="minorHAnsi"/>
          <w:color w:val="4A4A4A"/>
          <w:sz w:val="21"/>
          <w:szCs w:val="21"/>
          <w:lang w:eastAsia="en-GB"/>
        </w:rPr>
        <w:t>conducted every two years</w:t>
      </w:r>
      <w:r w:rsidR="009C120F">
        <w:rPr>
          <w:rFonts w:eastAsia="Times New Roman" w:cstheme="minorHAnsi"/>
          <w:color w:val="4A4A4A"/>
          <w:sz w:val="21"/>
          <w:szCs w:val="21"/>
          <w:lang w:eastAsia="en-GB"/>
        </w:rPr>
        <w:t xml:space="preserve"> previously described,</w:t>
      </w:r>
      <w:r>
        <w:rPr>
          <w:rFonts w:eastAsia="Times New Roman" w:cstheme="minorHAnsi"/>
          <w:color w:val="4A4A4A"/>
          <w:sz w:val="21"/>
          <w:szCs w:val="21"/>
          <w:lang w:eastAsia="en-GB"/>
        </w:rPr>
        <w:t xml:space="preserve"> it cannot be an outlier in consumption, </w:t>
      </w:r>
      <w:r w:rsidR="003513D0">
        <w:rPr>
          <w:rFonts w:eastAsia="Times New Roman" w:cstheme="minorHAnsi"/>
          <w:color w:val="4A4A4A"/>
          <w:sz w:val="21"/>
          <w:szCs w:val="21"/>
          <w:lang w:eastAsia="en-GB"/>
        </w:rPr>
        <w:t xml:space="preserve">nor </w:t>
      </w:r>
      <w:r>
        <w:rPr>
          <w:rFonts w:eastAsia="Times New Roman" w:cstheme="minorHAnsi"/>
          <w:color w:val="4A4A4A"/>
          <w:sz w:val="21"/>
          <w:szCs w:val="21"/>
          <w:lang w:eastAsia="en-GB"/>
        </w:rPr>
        <w:t>in terms of the health budget share.</w:t>
      </w:r>
      <w:r w:rsidR="009C120F">
        <w:rPr>
          <w:rFonts w:eastAsia="Times New Roman" w:cstheme="minorHAnsi"/>
          <w:color w:val="4A4A4A"/>
          <w:sz w:val="21"/>
          <w:szCs w:val="21"/>
          <w:lang w:eastAsia="en-GB"/>
        </w:rPr>
        <w:t xml:space="preserve"> </w:t>
      </w:r>
    </w:p>
    <w:p w14:paraId="000C4FF4" w14:textId="77777777" w:rsidR="009C120F" w:rsidRDefault="009C120F" w:rsidP="00AB083D">
      <w:pPr>
        <w:shd w:val="clear" w:color="auto" w:fill="FFFFFF"/>
        <w:spacing w:after="0" w:line="240" w:lineRule="auto"/>
        <w:rPr>
          <w:rFonts w:eastAsia="Times New Roman" w:cstheme="minorHAnsi"/>
          <w:color w:val="4A4A4A"/>
          <w:sz w:val="21"/>
          <w:szCs w:val="21"/>
          <w:lang w:eastAsia="en-GB"/>
        </w:rPr>
      </w:pPr>
    </w:p>
    <w:p w14:paraId="6A798689" w14:textId="3C648EF4" w:rsidR="00517ED8" w:rsidRPr="00645B6F" w:rsidRDefault="009C120F" w:rsidP="003D6A3E">
      <w:pPr>
        <w:shd w:val="clear" w:color="auto" w:fill="FFFFFF"/>
        <w:spacing w:after="0" w:line="240" w:lineRule="auto"/>
        <w:rPr>
          <w:rFonts w:eastAsia="Times New Roman" w:cstheme="minorHAnsi"/>
          <w:color w:val="4A4A4A"/>
          <w:sz w:val="21"/>
          <w:szCs w:val="21"/>
          <w:lang w:eastAsia="en-GB"/>
        </w:rPr>
      </w:pPr>
      <w:r>
        <w:rPr>
          <w:rFonts w:eastAsia="Times New Roman" w:cstheme="minorHAnsi"/>
          <w:color w:val="4A4A4A"/>
          <w:sz w:val="21"/>
          <w:szCs w:val="21"/>
          <w:lang w:eastAsia="en-GB"/>
        </w:rPr>
        <w:t>Estimates produced by the countries and shared through the country consultation are subject to the same quality assurance process</w:t>
      </w:r>
      <w:r w:rsidR="000E44B5">
        <w:rPr>
          <w:rFonts w:eastAsia="Times New Roman" w:cstheme="minorHAnsi"/>
          <w:color w:val="4A4A4A"/>
          <w:sz w:val="21"/>
          <w:szCs w:val="21"/>
          <w:lang w:eastAsia="en-GB"/>
        </w:rPr>
        <w:t xml:space="preserve">. They are </w:t>
      </w:r>
      <w:r>
        <w:rPr>
          <w:rFonts w:eastAsia="Times New Roman" w:cstheme="minorHAnsi"/>
          <w:color w:val="4A4A4A"/>
          <w:sz w:val="21"/>
          <w:szCs w:val="21"/>
          <w:lang w:eastAsia="en-GB"/>
        </w:rPr>
        <w:t>included in the joint database if they are not flagged neither in consumption nor in the health budget share.</w:t>
      </w:r>
    </w:p>
    <w:p w14:paraId="6E7D4C83" w14:textId="77777777" w:rsidR="002811CF" w:rsidRPr="005F2265" w:rsidRDefault="002811CF" w:rsidP="00D35867">
      <w:pPr>
        <w:shd w:val="clear" w:color="auto" w:fill="FFFFFF"/>
        <w:spacing w:after="0"/>
      </w:pPr>
    </w:p>
    <w:p w14:paraId="17787B3C" w14:textId="03FE81A9" w:rsidR="00E1050F" w:rsidRPr="00645B6F" w:rsidRDefault="00576CFA" w:rsidP="000412A0">
      <w:pPr>
        <w:pStyle w:val="MHeader"/>
        <w:spacing w:after="100"/>
        <w:rPr>
          <w:rFonts w:cstheme="minorHAnsi"/>
        </w:rPr>
      </w:pPr>
      <w:r w:rsidRPr="00645B6F">
        <w:rPr>
          <w:rFonts w:cstheme="minorHAnsi"/>
        </w:rPr>
        <w:t xml:space="preserve">5. Data availability and disaggregation </w:t>
      </w:r>
      <w:r>
        <w:rPr>
          <w:color w:val="B4B4B4"/>
          <w:sz w:val="20"/>
        </w:rPr>
      </w:r>
      <w:r>
        <w:rPr>
          <w:color w:val="B4B4B4"/>
          <w:sz w:val="20"/>
        </w:rPr>
        <w:t>(COVERAGE)</w:t>
      </w:r>
    </w:p>
    <w:p w14:paraId="464A8CCF" w14:textId="27C17D3B" w:rsidR="00576CFA" w:rsidRPr="004254C4" w:rsidRDefault="00D51E7C" w:rsidP="00576CFA">
      <w:pPr>
        <w:pStyle w:val="MText"/>
        <w:rPr>
          <w:rFonts w:cstheme="minorHAnsi"/>
          <w:b/>
          <w:bCs/>
        </w:rPr>
      </w:pPr>
      <w:r w:rsidRPr="004254C4">
        <w:rPr>
          <w:rFonts w:cstheme="minorHAnsi"/>
          <w:b/>
          <w:bCs/>
        </w:rPr>
        <w:t>Data availability:</w:t>
      </w:r>
    </w:p>
    <w:p w14:paraId="75470DEE" w14:textId="06D10EEA" w:rsidR="001E40C9" w:rsidRDefault="00151ABF" w:rsidP="00980CE1">
      <w:pPr>
        <w:shd w:val="clear" w:color="auto" w:fill="FFFFFF"/>
        <w:spacing w:after="0"/>
      </w:pPr>
      <w:r>
        <w:rPr>
          <w:rFonts w:eastAsia="Times New Roman" w:cstheme="minorHAnsi"/>
          <w:color w:val="4A4A4A"/>
          <w:sz w:val="21"/>
          <w:szCs w:val="21"/>
          <w:lang w:eastAsia="en-GB"/>
        </w:rPr>
        <w:t>The number of countries or territories with SDG 3.8.2 data increases over time as more surveys become available.</w:t>
      </w:r>
      <w:r w:rsidR="00453323">
        <w:rPr>
          <w:rFonts w:eastAsia="Times New Roman" w:cstheme="minorHAnsi"/>
          <w:color w:val="4A4A4A"/>
          <w:sz w:val="21"/>
          <w:szCs w:val="21"/>
          <w:lang w:eastAsia="en-GB"/>
        </w:rPr>
        <w:t xml:space="preserve">. </w:t>
      </w:r>
      <w:r w:rsidR="00A04DFC">
        <w:rPr>
          <w:rFonts w:eastAsia="Times New Roman" w:cstheme="minorHAnsi"/>
          <w:color w:val="4A4A4A"/>
          <w:sz w:val="21"/>
          <w:szCs w:val="21"/>
          <w:lang w:eastAsia="en-GB"/>
        </w:rPr>
        <w:t xml:space="preserve"> </w:t>
      </w:r>
      <w:r w:rsidR="00AF127B">
        <w:rPr>
          <w:rFonts w:eastAsia="Times New Roman" w:cstheme="minorHAnsi"/>
          <w:color w:val="4A4A4A"/>
          <w:sz w:val="21"/>
          <w:szCs w:val="21"/>
          <w:lang w:eastAsia="en-GB"/>
        </w:rPr>
        <w:t>F</w:t>
      </w:r>
      <w:r w:rsidR="00B55A32" w:rsidRPr="00645B6F">
        <w:rPr>
          <w:rFonts w:eastAsia="Times New Roman" w:cstheme="minorHAnsi"/>
          <w:color w:val="4A4A4A"/>
          <w:sz w:val="21"/>
          <w:szCs w:val="21"/>
          <w:lang w:eastAsia="en-GB"/>
        </w:rPr>
        <w:t>or more informati</w:t>
      </w:r>
      <w:r w:rsidR="00980CE1">
        <w:rPr>
          <w:rFonts w:eastAsia="Times New Roman" w:cstheme="minorHAnsi"/>
          <w:color w:val="404040" w:themeColor="text1" w:themeTint="BF"/>
          <w:sz w:val="21"/>
          <w:szCs w:val="21"/>
          <w:lang w:eastAsia="en-GB"/>
        </w:rPr>
        <w:t>on and to get the latest updates</w:t>
      </w:r>
      <w:r w:rsidR="00B55A32" w:rsidRPr="00645B6F">
        <w:rPr>
          <w:rFonts w:eastAsia="Times New Roman" w:cstheme="minorHAnsi"/>
          <w:color w:val="404040" w:themeColor="text1" w:themeTint="BF"/>
          <w:sz w:val="21"/>
          <w:szCs w:val="21"/>
          <w:lang w:eastAsia="en-GB"/>
        </w:rPr>
        <w:t xml:space="preserve">, please </w:t>
      </w:r>
      <w:r w:rsidR="00132D66">
        <w:rPr>
          <w:rFonts w:eastAsia="Times New Roman" w:cstheme="minorHAnsi"/>
          <w:color w:val="404040" w:themeColor="text1" w:themeTint="BF"/>
          <w:sz w:val="21"/>
          <w:szCs w:val="21"/>
          <w:lang w:eastAsia="en-GB"/>
        </w:rPr>
        <w:t xml:space="preserve">use </w:t>
      </w:r>
      <w:r w:rsidR="00B55A32" w:rsidRPr="00645B6F">
        <w:rPr>
          <w:rFonts w:eastAsia="Times New Roman" w:cstheme="minorHAnsi"/>
          <w:color w:val="404040" w:themeColor="text1" w:themeTint="BF"/>
          <w:sz w:val="21"/>
          <w:szCs w:val="21"/>
          <w:lang w:eastAsia="en-GB"/>
        </w:rPr>
        <w:t xml:space="preserve">WHO and World Bank </w:t>
      </w:r>
      <w:r w:rsidR="00AF127B">
        <w:rPr>
          <w:rFonts w:eastAsia="Times New Roman" w:cstheme="minorHAnsi"/>
          <w:color w:val="404040" w:themeColor="text1" w:themeTint="BF"/>
          <w:sz w:val="21"/>
          <w:szCs w:val="21"/>
          <w:lang w:eastAsia="en-GB"/>
        </w:rPr>
        <w:t>dedicated</w:t>
      </w:r>
      <w:r w:rsidR="000D3EAD">
        <w:rPr>
          <w:rFonts w:eastAsia="Times New Roman" w:cstheme="minorHAnsi"/>
          <w:color w:val="404040" w:themeColor="text1" w:themeTint="BF"/>
          <w:sz w:val="21"/>
          <w:szCs w:val="21"/>
          <w:lang w:eastAsia="en-GB"/>
        </w:rPr>
        <w:t xml:space="preserve"> data</w:t>
      </w:r>
      <w:r w:rsidR="00132D66">
        <w:rPr>
          <w:rFonts w:eastAsia="Times New Roman" w:cstheme="minorHAnsi"/>
          <w:color w:val="404040" w:themeColor="text1" w:themeTint="BF"/>
          <w:sz w:val="21"/>
          <w:szCs w:val="21"/>
          <w:lang w:eastAsia="en-GB"/>
        </w:rPr>
        <w:t xml:space="preserve"> </w:t>
      </w:r>
      <w:r w:rsidR="000D3EAD">
        <w:rPr>
          <w:rFonts w:eastAsia="Times New Roman" w:cstheme="minorHAnsi"/>
          <w:color w:val="404040" w:themeColor="text1" w:themeTint="BF"/>
          <w:sz w:val="21"/>
          <w:szCs w:val="21"/>
          <w:lang w:eastAsia="en-GB"/>
        </w:rPr>
        <w:t xml:space="preserve">portals: </w:t>
      </w:r>
    </w:p>
    <w:p w14:paraId="71724280" w14:textId="68F36242" w:rsidR="001E40C9" w:rsidRDefault="003B7F16" w:rsidP="00980CE1">
      <w:pPr>
        <w:shd w:val="clear" w:color="auto" w:fill="FFFFFF"/>
        <w:spacing w:after="0"/>
      </w:pPr>
      <w:hyperlink r:id="rId19" w:history="1">
        <w:r w:rsidR="001E40C9" w:rsidRPr="00DF6107">
          <w:rPr>
            <w:rStyle w:val="Hyperlink"/>
          </w:rPr>
          <w:t>https://www.who.int/data/gho/data/themes/topics/financial-protection</w:t>
        </w:r>
      </w:hyperlink>
      <w:r w:rsidR="001E40C9">
        <w:t xml:space="preserve"> </w:t>
      </w:r>
      <w:r w:rsidR="00132D66">
        <w:t>and</w:t>
      </w:r>
    </w:p>
    <w:p w14:paraId="09187B0B" w14:textId="7B095E45" w:rsidR="00976664" w:rsidRDefault="003B7F16" w:rsidP="00576CFA">
      <w:pPr>
        <w:pStyle w:val="MText"/>
      </w:pPr>
      <w:hyperlink r:id="rId20" w:history="1">
        <w:r w:rsidR="00976664" w:rsidRPr="00DF6107">
          <w:rPr>
            <w:rStyle w:val="Hyperlink"/>
          </w:rPr>
          <w:t>https://datatopics.worldbank.org/universal-health-coverage/</w:t>
        </w:r>
      </w:hyperlink>
      <w:r w:rsidR="00976664">
        <w:t xml:space="preserve"> </w:t>
      </w:r>
    </w:p>
    <w:p w14:paraId="470DE28F" w14:textId="77777777" w:rsidR="00976664" w:rsidRPr="00D35867" w:rsidRDefault="00976664" w:rsidP="00D35867">
      <w:pPr>
        <w:shd w:val="clear" w:color="auto" w:fill="FFFFFF"/>
        <w:spacing w:after="0"/>
        <w:rPr>
          <w:color w:val="404040" w:themeColor="text1" w:themeTint="BF"/>
        </w:rPr>
      </w:pPr>
    </w:p>
    <w:p w14:paraId="5853D6F7" w14:textId="55FB0CD9" w:rsidR="00D51E7C" w:rsidRPr="004254C4" w:rsidRDefault="00D51E7C" w:rsidP="00576CFA">
      <w:pPr>
        <w:pStyle w:val="MText"/>
        <w:rPr>
          <w:rFonts w:cstheme="minorHAnsi"/>
          <w:b/>
          <w:bCs/>
        </w:rPr>
      </w:pPr>
      <w:r w:rsidRPr="004254C4">
        <w:rPr>
          <w:rFonts w:cstheme="minorHAnsi"/>
          <w:b/>
          <w:bCs/>
        </w:rPr>
        <w:t>Time series:</w:t>
      </w:r>
    </w:p>
    <w:p w14:paraId="2C0838EC" w14:textId="48AC3EAC"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The frequency of such data is similar to the frequency of the data used to produce SDG indicator 1.1.1. It varies across countries but on average</w:t>
      </w:r>
      <w:r w:rsidR="00132D66">
        <w:rPr>
          <w:rFonts w:eastAsia="Times New Roman" w:cstheme="minorHAnsi"/>
          <w:color w:val="4A4A4A"/>
          <w:sz w:val="21"/>
          <w:szCs w:val="21"/>
          <w:lang w:eastAsia="en-GB"/>
        </w:rPr>
        <w:t>,</w:t>
      </w:r>
      <w:r w:rsidR="00132D66" w:rsidRPr="00645B6F">
        <w:rPr>
          <w:rFonts w:eastAsia="Times New Roman" w:cstheme="minorHAnsi"/>
          <w:color w:val="4A4A4A"/>
          <w:sz w:val="21"/>
          <w:szCs w:val="21"/>
          <w:lang w:eastAsia="en-GB"/>
        </w:rPr>
        <w:t xml:space="preserve"> </w:t>
      </w:r>
      <w:r w:rsidRPr="00645B6F">
        <w:rPr>
          <w:rFonts w:eastAsia="Times New Roman" w:cstheme="minorHAnsi"/>
          <w:color w:val="4A4A4A"/>
          <w:sz w:val="21"/>
          <w:szCs w:val="21"/>
          <w:lang w:eastAsia="en-GB"/>
        </w:rPr>
        <w:t xml:space="preserve">this ranges from an annual </w:t>
      </w:r>
      <w:r w:rsidR="00132D66" w:rsidRPr="00645B6F">
        <w:rPr>
          <w:rFonts w:eastAsia="Times New Roman" w:cstheme="minorHAnsi"/>
          <w:color w:val="4A4A4A"/>
          <w:sz w:val="21"/>
          <w:szCs w:val="21"/>
          <w:lang w:eastAsia="en-GB"/>
        </w:rPr>
        <w:t>1</w:t>
      </w:r>
      <w:r w:rsidR="00132D66">
        <w:rPr>
          <w:rFonts w:eastAsia="Times New Roman" w:cstheme="minorHAnsi"/>
          <w:color w:val="4A4A4A"/>
          <w:sz w:val="21"/>
          <w:szCs w:val="21"/>
          <w:lang w:eastAsia="en-GB"/>
        </w:rPr>
        <w:t>-</w:t>
      </w:r>
      <w:r w:rsidRPr="00645B6F">
        <w:rPr>
          <w:rFonts w:eastAsia="Times New Roman" w:cstheme="minorHAnsi"/>
          <w:color w:val="4A4A4A"/>
          <w:sz w:val="21"/>
          <w:szCs w:val="21"/>
          <w:lang w:eastAsia="en-GB"/>
        </w:rPr>
        <w:t>year basis to 3 to 5 years.</w:t>
      </w:r>
    </w:p>
    <w:p w14:paraId="760C013A" w14:textId="364E2656" w:rsidR="00D51E7C" w:rsidRPr="00645B6F" w:rsidRDefault="00D51E7C" w:rsidP="00576CFA">
      <w:pPr>
        <w:pStyle w:val="MText"/>
        <w:rPr>
          <w:rFonts w:cstheme="minorHAnsi"/>
          <w:highlight w:val="cyan"/>
        </w:rPr>
      </w:pPr>
    </w:p>
    <w:p w14:paraId="72C7C370" w14:textId="7CA3CA69" w:rsidR="00D51E7C" w:rsidRPr="004254C4" w:rsidRDefault="00D51E7C" w:rsidP="00576CFA">
      <w:pPr>
        <w:pStyle w:val="MText"/>
        <w:rPr>
          <w:rFonts w:cstheme="minorHAnsi"/>
          <w:b/>
          <w:bCs/>
        </w:rPr>
      </w:pPr>
      <w:r w:rsidRPr="004254C4">
        <w:rPr>
          <w:rFonts w:cstheme="minorHAnsi"/>
          <w:b/>
          <w:bCs/>
        </w:rPr>
        <w:t>Disaggregation:</w:t>
      </w:r>
    </w:p>
    <w:p w14:paraId="13D1BA5D" w14:textId="3EF364A6"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The following disaggregation is possible in so far as the survey has been designed to provide representative estimates </w:t>
      </w:r>
      <w:r w:rsidR="00FB5D2F" w:rsidRPr="00FB5D2F">
        <w:rPr>
          <w:rFonts w:eastAsia="Times New Roman" w:cstheme="minorHAnsi"/>
          <w:color w:val="4A4A4A"/>
          <w:sz w:val="21"/>
          <w:szCs w:val="21"/>
          <w:lang w:eastAsia="en-GB"/>
        </w:rPr>
        <w:t xml:space="preserve">and/or there are enough observations collected </w:t>
      </w:r>
      <w:r w:rsidRPr="00645B6F">
        <w:rPr>
          <w:rFonts w:eastAsia="Times New Roman" w:cstheme="minorHAnsi"/>
          <w:color w:val="4A4A4A"/>
          <w:sz w:val="21"/>
          <w:szCs w:val="21"/>
          <w:lang w:eastAsia="en-GB"/>
        </w:rPr>
        <w:t>at such level:</w:t>
      </w:r>
    </w:p>
    <w:p w14:paraId="43BFEDD5" w14:textId="77777777" w:rsidR="00676F5F" w:rsidRPr="00164EFC" w:rsidRDefault="00676F5F" w:rsidP="00676F5F">
      <w:pPr>
        <w:pStyle w:val="ListParagraph"/>
        <w:numPr>
          <w:ilvl w:val="0"/>
          <w:numId w:val="5"/>
        </w:numPr>
        <w:shd w:val="clear" w:color="auto" w:fill="FFFFFF"/>
        <w:spacing w:after="0" w:line="240" w:lineRule="auto"/>
        <w:rPr>
          <w:rFonts w:eastAsia="Times New Roman" w:cstheme="minorHAnsi"/>
          <w:color w:val="4A4A4A"/>
          <w:sz w:val="21"/>
          <w:szCs w:val="21"/>
          <w:lang w:eastAsia="en-GB"/>
        </w:rPr>
      </w:pPr>
      <w:r w:rsidRPr="00164EFC">
        <w:rPr>
          <w:rFonts w:eastAsia="Times New Roman" w:cstheme="minorHAnsi"/>
          <w:color w:val="4A4A4A"/>
          <w:sz w:val="21"/>
          <w:szCs w:val="21"/>
          <w:lang w:eastAsia="en-GB"/>
        </w:rPr>
        <w:t>Geographic location (rural/urban)</w:t>
      </w:r>
    </w:p>
    <w:p w14:paraId="42A76D2B" w14:textId="77777777" w:rsidR="00676F5F" w:rsidRPr="003B7F16" w:rsidRDefault="00676F5F" w:rsidP="00B141C7">
      <w:pPr>
        <w:numPr>
          <w:ilvl w:val="0"/>
          <w:numId w:val="5"/>
        </w:numPr>
        <w:shd w:val="clear" w:color="auto" w:fill="FFFFFF"/>
        <w:spacing w:after="0" w:line="240" w:lineRule="auto"/>
        <w:rPr>
          <w:rFonts w:eastAsia="Times New Roman" w:cstheme="minorHAnsi"/>
          <w:color w:val="4A4A4A"/>
          <w:sz w:val="21"/>
          <w:szCs w:val="21"/>
          <w:lang w:eastAsia="en-GB"/>
        </w:rPr>
      </w:pPr>
      <w:r w:rsidRPr="003B7F16">
        <w:rPr>
          <w:rFonts w:eastAsia="Times New Roman" w:cstheme="minorHAnsi"/>
          <w:color w:val="4A4A4A"/>
          <w:sz w:val="21"/>
          <w:szCs w:val="21"/>
          <w:lang w:eastAsia="en-GB"/>
        </w:rPr>
        <w:t xml:space="preserve">Sex of the head of the household (male/female); </w:t>
      </w:r>
    </w:p>
    <w:p w14:paraId="0966DC78" w14:textId="4593BD50" w:rsidR="00676F5F" w:rsidRPr="003B7F16" w:rsidRDefault="00676F5F" w:rsidP="00B141C7">
      <w:pPr>
        <w:numPr>
          <w:ilvl w:val="0"/>
          <w:numId w:val="5"/>
        </w:numPr>
        <w:shd w:val="clear" w:color="auto" w:fill="FFFFFF"/>
        <w:spacing w:after="0" w:line="240" w:lineRule="auto"/>
        <w:rPr>
          <w:rFonts w:eastAsia="Times New Roman" w:cstheme="minorHAnsi"/>
          <w:color w:val="4A4A4A"/>
          <w:sz w:val="21"/>
          <w:szCs w:val="21"/>
          <w:lang w:eastAsia="en-GB"/>
        </w:rPr>
      </w:pPr>
      <w:r w:rsidRPr="003B7F16">
        <w:rPr>
          <w:rFonts w:eastAsia="Times New Roman" w:cstheme="minorHAnsi"/>
          <w:color w:val="4A4A4A"/>
          <w:sz w:val="21"/>
          <w:szCs w:val="21"/>
          <w:lang w:eastAsia="en-GB"/>
        </w:rPr>
        <w:t>Age</w:t>
      </w:r>
      <w:r w:rsidR="001F7B62">
        <w:rPr>
          <w:rFonts w:eastAsia="Times New Roman" w:cstheme="minorHAnsi"/>
          <w:color w:val="4A4A4A"/>
          <w:sz w:val="21"/>
          <w:szCs w:val="21"/>
          <w:lang w:eastAsia="en-GB"/>
        </w:rPr>
        <w:t xml:space="preserve"> and sex</w:t>
      </w:r>
      <w:r w:rsidRPr="003B7F16">
        <w:rPr>
          <w:rFonts w:eastAsia="Times New Roman" w:cstheme="minorHAnsi"/>
          <w:color w:val="4A4A4A"/>
          <w:sz w:val="21"/>
          <w:szCs w:val="21"/>
          <w:lang w:eastAsia="en-GB"/>
        </w:rPr>
        <w:t xml:space="preserve"> of the head of the household (below 60 years old/ 60 years or older</w:t>
      </w:r>
      <w:r w:rsidR="001F7B62">
        <w:rPr>
          <w:rFonts w:eastAsia="Times New Roman" w:cstheme="minorHAnsi"/>
          <w:color w:val="4A4A4A"/>
          <w:sz w:val="21"/>
          <w:szCs w:val="21"/>
          <w:lang w:eastAsia="en-GB"/>
        </w:rPr>
        <w:t>; male/female</w:t>
      </w:r>
      <w:r w:rsidRPr="003B7F16">
        <w:rPr>
          <w:rFonts w:eastAsia="Times New Roman" w:cstheme="minorHAnsi"/>
          <w:color w:val="4A4A4A"/>
          <w:sz w:val="21"/>
          <w:szCs w:val="21"/>
          <w:lang w:eastAsia="en-GB"/>
        </w:rPr>
        <w:t>);</w:t>
      </w:r>
    </w:p>
    <w:p w14:paraId="2063771F" w14:textId="563F17D8" w:rsidR="00FB5D2F" w:rsidRDefault="006F1885">
      <w:pPr>
        <w:numPr>
          <w:ilvl w:val="0"/>
          <w:numId w:val="5"/>
        </w:numPr>
        <w:shd w:val="clear" w:color="auto" w:fill="FFFFFF"/>
        <w:spacing w:after="0" w:line="240" w:lineRule="auto"/>
        <w:rPr>
          <w:rFonts w:eastAsia="Times New Roman" w:cstheme="minorHAnsi"/>
          <w:color w:val="4A4A4A"/>
          <w:sz w:val="21"/>
          <w:szCs w:val="21"/>
          <w:lang w:eastAsia="en-GB"/>
        </w:rPr>
      </w:pPr>
      <w:r w:rsidRPr="00676F5F">
        <w:rPr>
          <w:rFonts w:eastAsia="Times New Roman" w:cstheme="minorHAnsi"/>
          <w:color w:val="4A4A4A"/>
          <w:sz w:val="21"/>
          <w:szCs w:val="21"/>
          <w:lang w:eastAsia="en-GB"/>
        </w:rPr>
        <w:t>Age composition of the household</w:t>
      </w:r>
      <w:r w:rsidR="0097763A">
        <w:rPr>
          <w:rFonts w:eastAsia="Times New Roman" w:cstheme="minorHAnsi"/>
          <w:color w:val="4A4A4A"/>
          <w:sz w:val="21"/>
          <w:szCs w:val="21"/>
          <w:lang w:eastAsia="en-GB"/>
        </w:rPr>
        <w:t xml:space="preserve"> based on</w:t>
      </w:r>
      <w:r w:rsidR="0004398C" w:rsidRPr="00676F5F">
        <w:rPr>
          <w:rFonts w:eastAsia="Times New Roman" w:cstheme="minorHAnsi"/>
          <w:color w:val="4A4A4A"/>
          <w:sz w:val="21"/>
          <w:szCs w:val="21"/>
          <w:lang w:eastAsia="en-GB"/>
        </w:rPr>
        <w:t xml:space="preserve"> the following grouping:</w:t>
      </w:r>
      <w:r w:rsidR="00B141C7" w:rsidRPr="00676F5F">
        <w:rPr>
          <w:rFonts w:eastAsia="Times New Roman" w:cstheme="minorHAnsi"/>
          <w:color w:val="4A4A4A"/>
          <w:sz w:val="21"/>
          <w:szCs w:val="21"/>
          <w:lang w:eastAsia="en-GB"/>
        </w:rPr>
        <w:t xml:space="preserve"> </w:t>
      </w:r>
      <w:r w:rsidR="00FB5D2F" w:rsidRPr="00676F5F">
        <w:rPr>
          <w:rFonts w:eastAsia="Times New Roman" w:cstheme="minorHAnsi"/>
          <w:color w:val="4A4A4A"/>
          <w:sz w:val="21"/>
          <w:szCs w:val="21"/>
          <w:lang w:eastAsia="en-GB"/>
        </w:rPr>
        <w:t>“Adults only (20-59 years old)” - households that consist of members aged between 20 and 59 years old; “Adults with children and adolescents (below 60 years old members)” - households that consist of members aged below 60 only as follows: at least one member below 20 years old AND at least one member aged between 20 and 59 years old; “Multigenerational households (all ages)” - households that include at least one person below 20 years old AND at least one person aged between 20 and 59 years old AND at least one person &gt;= 60 years old; “Adults with older persons (from 20 years old)” - households that consist of members aged &gt;=20 only as follows: at least one person aged between 20 and 59 years old AND at least one person &gt;= 60 years old; “Only older adults (&gt;=60 years old)” - households that consist of members aged &gt;=60 years old only; “Only members below 20 years old” - households that consist of members aged below 20 years old only.</w:t>
      </w:r>
    </w:p>
    <w:p w14:paraId="16A21E1B" w14:textId="4F069490" w:rsidR="00B55A32" w:rsidRPr="003B7F16" w:rsidRDefault="00B55A32" w:rsidP="003B7F16">
      <w:pPr>
        <w:pStyle w:val="ListParagraph"/>
        <w:numPr>
          <w:ilvl w:val="0"/>
          <w:numId w:val="5"/>
        </w:numPr>
        <w:shd w:val="clear" w:color="auto" w:fill="FFFFFF"/>
        <w:spacing w:after="0" w:line="240" w:lineRule="auto"/>
        <w:rPr>
          <w:rFonts w:eastAsia="Times New Roman" w:cstheme="minorHAnsi"/>
          <w:color w:val="4A4A4A"/>
          <w:sz w:val="21"/>
          <w:szCs w:val="21"/>
          <w:lang w:eastAsia="en-GB"/>
        </w:rPr>
      </w:pPr>
      <w:r w:rsidRPr="003B7F16" w:rsidDel="009439B4">
        <w:rPr>
          <w:rFonts w:eastAsia="Times New Roman" w:cstheme="minorHAnsi"/>
          <w:color w:val="4A4A4A"/>
          <w:sz w:val="21"/>
          <w:szCs w:val="21"/>
          <w:lang w:eastAsia="en-GB"/>
        </w:rPr>
        <w:t>Geographic location (rural/urban)</w:t>
      </w:r>
    </w:p>
    <w:p w14:paraId="6469B16C" w14:textId="6C1D7E34" w:rsidR="00B55A32" w:rsidRPr="00645B6F" w:rsidRDefault="0036080C" w:rsidP="00B55A32">
      <w:pPr>
        <w:numPr>
          <w:ilvl w:val="0"/>
          <w:numId w:val="5"/>
        </w:numPr>
        <w:shd w:val="clear" w:color="auto" w:fill="FFFFFF"/>
        <w:spacing w:after="0" w:line="240" w:lineRule="auto"/>
        <w:rPr>
          <w:rFonts w:eastAsia="Times New Roman" w:cstheme="minorHAnsi"/>
          <w:color w:val="4A4A4A"/>
          <w:sz w:val="21"/>
          <w:szCs w:val="21"/>
          <w:lang w:eastAsia="en-GB"/>
        </w:rPr>
      </w:pPr>
      <w:r>
        <w:rPr>
          <w:rFonts w:eastAsia="Times New Roman" w:cstheme="minorHAnsi"/>
          <w:color w:val="4A4A4A"/>
          <w:sz w:val="21"/>
          <w:szCs w:val="21"/>
          <w:lang w:eastAsia="en-GB"/>
        </w:rPr>
        <w:t xml:space="preserve">Other possible disaggregation are possible such as by </w:t>
      </w:r>
      <w:r w:rsidR="00B05A07">
        <w:rPr>
          <w:rFonts w:eastAsia="Times New Roman" w:cstheme="minorHAnsi"/>
          <w:color w:val="4A4A4A"/>
          <w:sz w:val="21"/>
          <w:szCs w:val="21"/>
          <w:lang w:eastAsia="en-GB"/>
        </w:rPr>
        <w:t>q</w:t>
      </w:r>
      <w:r w:rsidR="00B55A32" w:rsidRPr="00645B6F">
        <w:rPr>
          <w:rFonts w:eastAsia="Times New Roman" w:cstheme="minorHAnsi"/>
          <w:color w:val="4A4A4A"/>
          <w:sz w:val="21"/>
          <w:szCs w:val="21"/>
          <w:lang w:eastAsia="en-GB"/>
        </w:rPr>
        <w:t>uintiles of the household welfare measures (total household</w:t>
      </w:r>
      <w:r w:rsidR="0000295E">
        <w:rPr>
          <w:rFonts w:eastAsia="Times New Roman" w:cstheme="minorHAnsi"/>
          <w:color w:val="4A4A4A"/>
          <w:sz w:val="21"/>
          <w:szCs w:val="21"/>
          <w:lang w:eastAsia="en-GB"/>
        </w:rPr>
        <w:t xml:space="preserve"> consumption</w:t>
      </w:r>
      <w:r w:rsidR="00B55A32" w:rsidRPr="00645B6F">
        <w:rPr>
          <w:rFonts w:eastAsia="Times New Roman" w:cstheme="minorHAnsi"/>
          <w:color w:val="4A4A4A"/>
          <w:sz w:val="21"/>
          <w:szCs w:val="21"/>
          <w:lang w:eastAsia="en-GB"/>
        </w:rPr>
        <w:t xml:space="preserve"> expenditure or income). See</w:t>
      </w:r>
      <w:r w:rsidR="00E83C26">
        <w:rPr>
          <w:rFonts w:eastAsia="Times New Roman" w:cstheme="minorHAnsi"/>
          <w:color w:val="4A4A4A"/>
          <w:sz w:val="21"/>
          <w:szCs w:val="21"/>
          <w:lang w:eastAsia="en-GB"/>
        </w:rPr>
        <w:t xml:space="preserve"> section 4.b on</w:t>
      </w:r>
      <w:r w:rsidR="00B55A32" w:rsidRPr="00645B6F">
        <w:rPr>
          <w:rFonts w:eastAsia="Times New Roman" w:cstheme="minorHAnsi"/>
          <w:color w:val="4A4A4A"/>
          <w:sz w:val="21"/>
          <w:szCs w:val="21"/>
          <w:lang w:eastAsia="en-GB"/>
        </w:rPr>
        <w:t xml:space="preserve"> comments and limitations for the sensitivity of the disaggregation to the choice of the welfare measure.</w:t>
      </w:r>
    </w:p>
    <w:p w14:paraId="42E8CA56" w14:textId="77777777" w:rsidR="00D51E7C" w:rsidRPr="00645B6F" w:rsidRDefault="00D51E7C" w:rsidP="00576CFA">
      <w:pPr>
        <w:pStyle w:val="MText"/>
        <w:rPr>
          <w:rFonts w:cstheme="minorHAnsi"/>
        </w:rPr>
      </w:pPr>
    </w:p>
    <w:p w14:paraId="4D0520F7" w14:textId="11F0E737" w:rsidR="00382CF3" w:rsidRPr="00645B6F" w:rsidRDefault="00B31E2C" w:rsidP="000412A0">
      <w:pPr>
        <w:pStyle w:val="MHeader"/>
        <w:spacing w:after="100"/>
        <w:rPr>
          <w:rFonts w:cstheme="minorHAnsi"/>
        </w:rPr>
      </w:pPr>
      <w:r w:rsidRPr="00645B6F">
        <w:rPr>
          <w:rFonts w:cstheme="minorHAnsi"/>
        </w:rPr>
        <w:t xml:space="preserve">6. Comparability / deviation from international standards </w:t>
      </w:r>
      <w:r>
        <w:rPr>
          <w:color w:val="B4B4B4"/>
          <w:sz w:val="20"/>
        </w:rPr>
      </w:r>
      <w:r>
        <w:rPr>
          <w:color w:val="B4B4B4"/>
          <w:sz w:val="20"/>
        </w:rPr>
        <w:t>(COMPARABILITY)</w:t>
      </w:r>
    </w:p>
    <w:p w14:paraId="3595E072" w14:textId="37630D41" w:rsidR="00D51E7C" w:rsidRPr="004254C4" w:rsidRDefault="00D51E7C" w:rsidP="00576CFA">
      <w:pPr>
        <w:pStyle w:val="MText"/>
        <w:rPr>
          <w:rFonts w:cstheme="minorHAnsi"/>
          <w:b/>
          <w:bCs/>
        </w:rPr>
      </w:pPr>
      <w:r w:rsidRPr="004254C4">
        <w:rPr>
          <w:rFonts w:cstheme="minorHAnsi"/>
          <w:b/>
          <w:bCs/>
        </w:rPr>
        <w:t>Sources of discrepancies:</w:t>
      </w:r>
    </w:p>
    <w:p w14:paraId="6AB27708" w14:textId="1F2B0B36" w:rsidR="00B372DD" w:rsidRPr="00645B6F" w:rsidRDefault="00AD1E35"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Country</w:t>
      </w:r>
      <w:r>
        <w:rPr>
          <w:rFonts w:eastAsia="Times New Roman" w:cstheme="minorHAnsi"/>
          <w:color w:val="4A4A4A"/>
          <w:sz w:val="21"/>
          <w:szCs w:val="21"/>
          <w:lang w:eastAsia="en-GB"/>
        </w:rPr>
        <w:t>-</w:t>
      </w:r>
      <w:r w:rsidR="00B55A32" w:rsidRPr="00645B6F">
        <w:rPr>
          <w:rFonts w:eastAsia="Times New Roman" w:cstheme="minorHAnsi"/>
          <w:color w:val="4A4A4A"/>
          <w:sz w:val="21"/>
          <w:szCs w:val="21"/>
          <w:lang w:eastAsia="en-GB"/>
        </w:rPr>
        <w:t>level estimates are all based on nationally representative surveys with information on both household total expenditure or income and household expenditure on health (see data sources). In most cases</w:t>
      </w:r>
      <w:r>
        <w:rPr>
          <w:rFonts w:eastAsia="Times New Roman" w:cstheme="minorHAnsi"/>
          <w:color w:val="4A4A4A"/>
          <w:sz w:val="21"/>
          <w:szCs w:val="21"/>
          <w:lang w:eastAsia="en-GB"/>
        </w:rPr>
        <w:t>,</w:t>
      </w:r>
      <w:r w:rsidR="00B55A32" w:rsidRPr="00645B6F">
        <w:rPr>
          <w:rFonts w:eastAsia="Times New Roman" w:cstheme="minorHAnsi"/>
          <w:color w:val="4A4A4A"/>
          <w:sz w:val="21"/>
          <w:szCs w:val="21"/>
          <w:lang w:eastAsia="en-GB"/>
        </w:rPr>
        <w:t xml:space="preserve"> such data come from non-</w:t>
      </w:r>
      <w:r w:rsidR="000137AF">
        <w:rPr>
          <w:rFonts w:eastAsia="Times New Roman" w:cstheme="minorHAnsi"/>
          <w:color w:val="4A4A4A"/>
          <w:sz w:val="21"/>
          <w:szCs w:val="21"/>
          <w:lang w:eastAsia="en-GB"/>
        </w:rPr>
        <w:t>standard household surveys</w:t>
      </w:r>
      <w:r>
        <w:rPr>
          <w:rFonts w:eastAsia="Times New Roman" w:cstheme="minorHAnsi"/>
          <w:color w:val="4A4A4A"/>
          <w:sz w:val="21"/>
          <w:szCs w:val="21"/>
          <w:lang w:eastAsia="en-GB"/>
        </w:rPr>
        <w:t>,</w:t>
      </w:r>
      <w:r w:rsidR="000137AF">
        <w:rPr>
          <w:rFonts w:eastAsia="Times New Roman" w:cstheme="minorHAnsi"/>
          <w:color w:val="4A4A4A"/>
          <w:sz w:val="21"/>
          <w:szCs w:val="21"/>
          <w:lang w:eastAsia="en-GB"/>
        </w:rPr>
        <w:t xml:space="preserve"> and </w:t>
      </w:r>
      <w:r w:rsidR="00B55A32" w:rsidRPr="00645B6F">
        <w:rPr>
          <w:rFonts w:eastAsia="Times New Roman" w:cstheme="minorHAnsi"/>
          <w:color w:val="4A4A4A"/>
          <w:sz w:val="21"/>
          <w:szCs w:val="21"/>
          <w:lang w:eastAsia="en-GB"/>
        </w:rPr>
        <w:t>ex-</w:t>
      </w:r>
      <w:r w:rsidRPr="00645B6F">
        <w:rPr>
          <w:rFonts w:eastAsia="Times New Roman" w:cstheme="minorHAnsi"/>
          <w:color w:val="4A4A4A"/>
          <w:sz w:val="21"/>
          <w:szCs w:val="21"/>
          <w:lang w:eastAsia="en-GB"/>
        </w:rPr>
        <w:t>post</w:t>
      </w:r>
      <w:r>
        <w:rPr>
          <w:rFonts w:eastAsia="Times New Roman" w:cstheme="minorHAnsi"/>
          <w:color w:val="4A4A4A"/>
          <w:sz w:val="21"/>
          <w:szCs w:val="21"/>
          <w:lang w:eastAsia="en-GB"/>
        </w:rPr>
        <w:t>-</w:t>
      </w:r>
      <w:r w:rsidR="00B55A32" w:rsidRPr="00645B6F">
        <w:rPr>
          <w:rFonts w:eastAsia="Times New Roman" w:cstheme="minorHAnsi"/>
          <w:color w:val="4A4A4A"/>
          <w:sz w:val="21"/>
          <w:szCs w:val="21"/>
          <w:lang w:eastAsia="en-GB"/>
        </w:rPr>
        <w:t>standardization processes can be designed to increase the degree of comparability across countries. For instance, regional teams from the World Bank produce standardized versions of raw datasets following common regional procedures</w:t>
      </w:r>
      <w:r w:rsidR="00380A2A">
        <w:rPr>
          <w:rFonts w:eastAsia="Times New Roman" w:cstheme="minorHAnsi"/>
          <w:color w:val="4A4A4A"/>
          <w:sz w:val="21"/>
          <w:szCs w:val="21"/>
          <w:lang w:eastAsia="en-GB"/>
        </w:rPr>
        <w:t>such as</w:t>
      </w:r>
      <w:r w:rsidR="00C86A6A" w:rsidRPr="00645B6F">
        <w:rPr>
          <w:rFonts w:eastAsia="Times New Roman" w:cstheme="minorHAnsi"/>
          <w:color w:val="4A4A4A"/>
          <w:sz w:val="21"/>
          <w:szCs w:val="21"/>
          <w:lang w:eastAsia="en-GB"/>
        </w:rPr>
        <w:t xml:space="preserve"> </w:t>
      </w:r>
      <w:r w:rsidR="00B55A32" w:rsidRPr="00645B6F">
        <w:rPr>
          <w:rFonts w:eastAsia="Times New Roman" w:cstheme="minorHAnsi"/>
          <w:color w:val="4A4A4A"/>
          <w:sz w:val="21"/>
          <w:szCs w:val="21"/>
          <w:lang w:eastAsia="en-GB"/>
        </w:rPr>
        <w:t xml:space="preserve">the </w:t>
      </w:r>
      <w:r w:rsidR="00FA0A4E">
        <w:t>Eastern Europe and Central Asia</w:t>
      </w:r>
      <w:r w:rsidR="00B372DD">
        <w:rPr>
          <w:rFonts w:eastAsia="Times New Roman" w:cstheme="minorHAnsi"/>
          <w:color w:val="4A4A4A"/>
          <w:sz w:val="21"/>
          <w:szCs w:val="21"/>
          <w:lang w:eastAsia="en-GB"/>
        </w:rPr>
        <w:t xml:space="preserve"> </w:t>
      </w:r>
      <w:r w:rsidR="00C86A6A">
        <w:rPr>
          <w:rFonts w:eastAsia="Times New Roman" w:cstheme="minorHAnsi"/>
          <w:color w:val="4A4A4A"/>
          <w:sz w:val="21"/>
          <w:szCs w:val="21"/>
          <w:lang w:eastAsia="en-GB"/>
        </w:rPr>
        <w:t xml:space="preserve"> poverty </w:t>
      </w:r>
      <w:r w:rsidR="00B55A32" w:rsidRPr="00645B6F">
        <w:rPr>
          <w:rFonts w:eastAsia="Times New Roman" w:cstheme="minorHAnsi"/>
          <w:color w:val="4A4A4A"/>
          <w:sz w:val="21"/>
          <w:szCs w:val="21"/>
          <w:lang w:eastAsia="en-GB"/>
        </w:rPr>
        <w:t>harmonized datasets</w:t>
      </w:r>
      <w:r w:rsidR="00C86A6A">
        <w:rPr>
          <w:rFonts w:eastAsia="Times New Roman" w:cstheme="minorHAnsi"/>
          <w:color w:val="4A4A4A"/>
          <w:sz w:val="21"/>
          <w:szCs w:val="21"/>
          <w:lang w:eastAsia="en-GB"/>
        </w:rPr>
        <w:t xml:space="preserve"> (ECAPOV</w:t>
      </w:r>
      <w:r w:rsidR="006E6DB7" w:rsidRPr="00645B6F">
        <w:rPr>
          <w:rFonts w:eastAsia="Times New Roman" w:cstheme="minorHAnsi"/>
          <w:bCs/>
          <w:color w:val="4A4A4A"/>
          <w:sz w:val="21"/>
          <w:szCs w:val="21"/>
          <w:vertAlign w:val="superscript"/>
          <w:lang w:eastAsia="en-GB"/>
        </w:rPr>
        <w:footnoteReference w:id="14"/>
      </w:r>
      <w:r w:rsidR="00C86A6A">
        <w:rPr>
          <w:rFonts w:eastAsia="Times New Roman" w:cstheme="minorHAnsi"/>
          <w:color w:val="4A4A4A"/>
          <w:sz w:val="21"/>
          <w:szCs w:val="21"/>
          <w:lang w:eastAsia="en-GB"/>
        </w:rPr>
        <w:t>)</w:t>
      </w:r>
      <w:r w:rsidR="00B55A32" w:rsidRPr="00645B6F">
        <w:rPr>
          <w:rFonts w:eastAsia="Times New Roman" w:cstheme="minorHAnsi"/>
          <w:color w:val="4A4A4A"/>
          <w:sz w:val="21"/>
          <w:szCs w:val="21"/>
          <w:lang w:eastAsia="en-GB"/>
        </w:rPr>
        <w:t>; the</w:t>
      </w:r>
      <w:r w:rsidR="00660299">
        <w:rPr>
          <w:rFonts w:eastAsia="Times New Roman" w:cstheme="minorHAnsi"/>
          <w:color w:val="4A4A4A"/>
          <w:sz w:val="21"/>
          <w:szCs w:val="21"/>
          <w:lang w:eastAsia="en-GB"/>
        </w:rPr>
        <w:t xml:space="preserve"> </w:t>
      </w:r>
      <w:r w:rsidR="00660299" w:rsidRPr="00660299">
        <w:rPr>
          <w:rFonts w:eastAsia="Times New Roman" w:cstheme="minorHAnsi"/>
          <w:color w:val="4A4A4A"/>
          <w:sz w:val="21"/>
          <w:szCs w:val="21"/>
          <w:lang w:eastAsia="en-GB"/>
        </w:rPr>
        <w:t>Survey based Harmonized Indicators</w:t>
      </w:r>
      <w:r w:rsidR="00B55A32" w:rsidRPr="00645B6F">
        <w:rPr>
          <w:rFonts w:eastAsia="Times New Roman" w:cstheme="minorHAnsi"/>
          <w:color w:val="4A4A4A"/>
          <w:sz w:val="21"/>
          <w:szCs w:val="21"/>
          <w:lang w:eastAsia="en-GB"/>
        </w:rPr>
        <w:t xml:space="preserve"> </w:t>
      </w:r>
      <w:r w:rsidR="00660299">
        <w:rPr>
          <w:rFonts w:eastAsia="Times New Roman" w:cstheme="minorHAnsi"/>
          <w:color w:val="4A4A4A"/>
          <w:sz w:val="21"/>
          <w:szCs w:val="21"/>
          <w:lang w:eastAsia="en-GB"/>
        </w:rPr>
        <w:t>(</w:t>
      </w:r>
      <w:r w:rsidR="00B55A32" w:rsidRPr="00645B6F">
        <w:rPr>
          <w:rFonts w:eastAsia="Times New Roman" w:cstheme="minorHAnsi"/>
          <w:color w:val="4A4A4A"/>
          <w:sz w:val="21"/>
          <w:szCs w:val="21"/>
          <w:lang w:eastAsia="en-GB"/>
        </w:rPr>
        <w:t>SHIP</w:t>
      </w:r>
      <w:r w:rsidR="00660299">
        <w:rPr>
          <w:rFonts w:eastAsia="Times New Roman" w:cstheme="minorHAnsi"/>
          <w:color w:val="4A4A4A"/>
          <w:sz w:val="21"/>
          <w:szCs w:val="21"/>
          <w:lang w:eastAsia="en-GB"/>
        </w:rPr>
        <w:t>)</w:t>
      </w:r>
      <w:r w:rsidR="00B55A32" w:rsidRPr="00645B6F">
        <w:rPr>
          <w:rFonts w:eastAsia="Times New Roman" w:cstheme="minorHAnsi"/>
          <w:color w:val="4A4A4A"/>
          <w:sz w:val="21"/>
          <w:szCs w:val="21"/>
          <w:lang w:eastAsia="en-GB"/>
        </w:rPr>
        <w:t xml:space="preserve"> collection results from a poverty program on harmonized household surveys in the World Bank’s African region, while the</w:t>
      </w:r>
      <w:r w:rsidR="00603BE0">
        <w:rPr>
          <w:rFonts w:eastAsia="Times New Roman" w:cstheme="minorHAnsi"/>
          <w:color w:val="4A4A4A"/>
          <w:sz w:val="21"/>
          <w:szCs w:val="21"/>
          <w:lang w:eastAsia="en-GB"/>
        </w:rPr>
        <w:t xml:space="preserve"> Standardized </w:t>
      </w:r>
      <w:r w:rsidR="00E527E5">
        <w:rPr>
          <w:rFonts w:eastAsia="Times New Roman" w:cstheme="minorHAnsi"/>
          <w:color w:val="4A4A4A"/>
          <w:sz w:val="21"/>
          <w:szCs w:val="21"/>
          <w:lang w:eastAsia="en-GB"/>
        </w:rPr>
        <w:t>Household Economic Survey</w:t>
      </w:r>
      <w:r w:rsidR="00B55A32" w:rsidRPr="00645B6F">
        <w:rPr>
          <w:rFonts w:eastAsia="Times New Roman" w:cstheme="minorHAnsi"/>
          <w:color w:val="4A4A4A"/>
          <w:sz w:val="21"/>
          <w:szCs w:val="21"/>
          <w:lang w:eastAsia="en-GB"/>
        </w:rPr>
        <w:t xml:space="preserve"> </w:t>
      </w:r>
      <w:r w:rsidR="00E527E5">
        <w:rPr>
          <w:rFonts w:eastAsia="Times New Roman" w:cstheme="minorHAnsi"/>
          <w:color w:val="4A4A4A"/>
          <w:sz w:val="21"/>
          <w:szCs w:val="21"/>
          <w:lang w:eastAsia="en-GB"/>
        </w:rPr>
        <w:t>(</w:t>
      </w:r>
      <w:r w:rsidR="00B55A32" w:rsidRPr="00645B6F">
        <w:rPr>
          <w:rFonts w:eastAsia="Times New Roman" w:cstheme="minorHAnsi"/>
          <w:color w:val="4A4A4A"/>
          <w:sz w:val="21"/>
          <w:szCs w:val="21"/>
          <w:lang w:eastAsia="en-GB"/>
        </w:rPr>
        <w:t>SHES</w:t>
      </w:r>
      <w:r w:rsidR="00E527E5">
        <w:rPr>
          <w:rFonts w:eastAsia="Times New Roman" w:cstheme="minorHAnsi"/>
          <w:color w:val="4A4A4A"/>
          <w:sz w:val="21"/>
          <w:szCs w:val="21"/>
          <w:lang w:eastAsia="en-GB"/>
        </w:rPr>
        <w:t>)</w:t>
      </w:r>
      <w:r w:rsidR="00B55A32" w:rsidRPr="00645B6F">
        <w:rPr>
          <w:rFonts w:eastAsia="Times New Roman" w:cstheme="minorHAnsi"/>
          <w:color w:val="4A4A4A"/>
          <w:sz w:val="21"/>
          <w:szCs w:val="21"/>
          <w:lang w:eastAsia="en-GB"/>
        </w:rPr>
        <w:t xml:space="preserve"> collection was developed by the World Bank for the international comparison program. The Luxembourg income study (LIS) datasets result from </w:t>
      </w:r>
      <w:r w:rsidR="007F4A8B">
        <w:rPr>
          <w:rFonts w:eastAsia="Times New Roman" w:cstheme="minorHAnsi"/>
          <w:color w:val="4A4A4A"/>
          <w:sz w:val="21"/>
          <w:szCs w:val="21"/>
          <w:lang w:eastAsia="en-GB"/>
        </w:rPr>
        <w:t xml:space="preserve">an </w:t>
      </w:r>
      <w:r w:rsidR="00B55A32" w:rsidRPr="00645B6F">
        <w:rPr>
          <w:rFonts w:eastAsia="Times New Roman" w:cstheme="minorHAnsi"/>
          <w:color w:val="4A4A4A"/>
          <w:sz w:val="21"/>
          <w:szCs w:val="21"/>
          <w:lang w:eastAsia="en-GB"/>
        </w:rPr>
        <w:t>effort to harmonize datasets from many high and middle-income countries</w:t>
      </w:r>
      <w:r w:rsidR="00B55A32" w:rsidRPr="00645B6F">
        <w:rPr>
          <w:rFonts w:eastAsia="Times New Roman" w:cstheme="minorHAnsi"/>
          <w:bCs/>
          <w:color w:val="4A4A4A"/>
          <w:sz w:val="21"/>
          <w:szCs w:val="21"/>
          <w:vertAlign w:val="superscript"/>
          <w:lang w:eastAsia="en-GB"/>
        </w:rPr>
        <w:footnoteReference w:id="15"/>
      </w:r>
      <w:r w:rsidR="00B55A32" w:rsidRPr="00645B6F">
        <w:rPr>
          <w:rFonts w:eastAsia="Times New Roman" w:cstheme="minorHAnsi"/>
          <w:color w:val="4A4A4A"/>
          <w:sz w:val="21"/>
          <w:szCs w:val="21"/>
          <w:lang w:eastAsia="en-GB"/>
        </w:rPr>
        <w:t xml:space="preserve">. </w:t>
      </w:r>
    </w:p>
    <w:p w14:paraId="6FF6BB21" w14:textId="77777777" w:rsidR="00B55A32" w:rsidRPr="00645B6F" w:rsidRDefault="00B55A32" w:rsidP="00B55A32">
      <w:pPr>
        <w:shd w:val="clear" w:color="auto" w:fill="FFFFFF"/>
        <w:spacing w:after="0"/>
        <w:rPr>
          <w:rFonts w:eastAsia="Times New Roman" w:cstheme="minorHAnsi"/>
          <w:color w:val="4A4A4A"/>
          <w:sz w:val="21"/>
          <w:szCs w:val="21"/>
          <w:lang w:eastAsia="en-GB"/>
        </w:rPr>
      </w:pPr>
    </w:p>
    <w:p w14:paraId="6775E516" w14:textId="7D1F40D5" w:rsidR="00B55A32" w:rsidRPr="00645B6F" w:rsidRDefault="00B55A32" w:rsidP="00B55A32">
      <w:pPr>
        <w:shd w:val="clear" w:color="auto" w:fill="FFFFFF"/>
        <w:spacing w:after="0"/>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In some </w:t>
      </w:r>
      <w:r w:rsidR="00DF31D2" w:rsidRPr="00645B6F">
        <w:rPr>
          <w:rFonts w:eastAsia="Times New Roman" w:cstheme="minorHAnsi"/>
          <w:color w:val="4A4A4A"/>
          <w:sz w:val="21"/>
          <w:szCs w:val="21"/>
          <w:lang w:eastAsia="en-GB"/>
        </w:rPr>
        <w:t>cases,</w:t>
      </w:r>
      <w:r w:rsidRPr="00645B6F">
        <w:rPr>
          <w:rFonts w:eastAsia="Times New Roman" w:cstheme="minorHAnsi"/>
          <w:color w:val="4A4A4A"/>
          <w:sz w:val="21"/>
          <w:szCs w:val="21"/>
          <w:lang w:eastAsia="en-GB"/>
        </w:rPr>
        <w:t xml:space="preserve"> the raw data is accessible to produce </w:t>
      </w:r>
      <w:r w:rsidR="000C6CF4" w:rsidRPr="00645B6F">
        <w:rPr>
          <w:rFonts w:eastAsia="Times New Roman" w:cstheme="minorHAnsi"/>
          <w:color w:val="4A4A4A"/>
          <w:sz w:val="21"/>
          <w:szCs w:val="21"/>
          <w:lang w:eastAsia="en-GB"/>
        </w:rPr>
        <w:t>country</w:t>
      </w:r>
      <w:r w:rsidR="000C6CF4">
        <w:rPr>
          <w:rFonts w:eastAsia="Times New Roman" w:cstheme="minorHAnsi"/>
          <w:color w:val="4A4A4A"/>
          <w:sz w:val="21"/>
          <w:szCs w:val="21"/>
          <w:lang w:eastAsia="en-GB"/>
        </w:rPr>
        <w:t>-</w:t>
      </w:r>
      <w:r w:rsidRPr="00645B6F">
        <w:rPr>
          <w:rFonts w:eastAsia="Times New Roman" w:cstheme="minorHAnsi"/>
          <w:color w:val="4A4A4A"/>
          <w:sz w:val="21"/>
          <w:szCs w:val="21"/>
          <w:lang w:eastAsia="en-GB"/>
        </w:rPr>
        <w:t>level estimates. In some countries</w:t>
      </w:r>
      <w:r w:rsidR="000C6CF4">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w:t>
      </w:r>
      <w:r w:rsidR="002D7B3A">
        <w:rPr>
          <w:rFonts w:eastAsia="Times New Roman" w:cstheme="minorHAnsi"/>
          <w:color w:val="4A4A4A"/>
          <w:sz w:val="21"/>
          <w:szCs w:val="21"/>
          <w:lang w:eastAsia="en-GB"/>
        </w:rPr>
        <w:t xml:space="preserve">both </w:t>
      </w:r>
      <w:r w:rsidRPr="00645B6F">
        <w:rPr>
          <w:rFonts w:eastAsia="Times New Roman" w:cstheme="minorHAnsi"/>
          <w:color w:val="4A4A4A"/>
          <w:sz w:val="21"/>
          <w:szCs w:val="21"/>
          <w:lang w:eastAsia="en-GB"/>
        </w:rPr>
        <w:t xml:space="preserve">raw data </w:t>
      </w:r>
      <w:r w:rsidR="002D7B3A">
        <w:rPr>
          <w:rFonts w:eastAsia="Times New Roman" w:cstheme="minorHAnsi"/>
          <w:color w:val="4A4A4A"/>
          <w:sz w:val="21"/>
          <w:szCs w:val="21"/>
          <w:lang w:eastAsia="en-GB"/>
        </w:rPr>
        <w:t xml:space="preserve">and </w:t>
      </w:r>
      <w:r w:rsidRPr="00645B6F">
        <w:rPr>
          <w:rFonts w:eastAsia="Times New Roman" w:cstheme="minorHAnsi"/>
          <w:color w:val="4A4A4A"/>
          <w:sz w:val="21"/>
          <w:szCs w:val="21"/>
          <w:lang w:eastAsia="en-GB"/>
        </w:rPr>
        <w:t>standardized version</w:t>
      </w:r>
      <w:r w:rsidR="002D7B3A">
        <w:rPr>
          <w:rFonts w:eastAsia="Times New Roman" w:cstheme="minorHAnsi"/>
          <w:color w:val="4A4A4A"/>
          <w:sz w:val="21"/>
          <w:szCs w:val="21"/>
          <w:lang w:eastAsia="en-GB"/>
        </w:rPr>
        <w:t>s are available</w:t>
      </w:r>
      <w:r w:rsidR="000C6CF4">
        <w:rPr>
          <w:rFonts w:eastAsia="Times New Roman" w:cstheme="minorHAnsi"/>
          <w:color w:val="4A4A4A"/>
          <w:sz w:val="21"/>
          <w:szCs w:val="21"/>
          <w:lang w:eastAsia="en-GB"/>
        </w:rPr>
        <w:t>;</w:t>
      </w:r>
      <w:r w:rsidR="002D7B3A">
        <w:rPr>
          <w:rFonts w:eastAsia="Times New Roman" w:cstheme="minorHAnsi"/>
          <w:color w:val="4A4A4A"/>
          <w:sz w:val="21"/>
          <w:szCs w:val="21"/>
          <w:lang w:eastAsia="en-GB"/>
        </w:rPr>
        <w:t xml:space="preserve"> in some </w:t>
      </w:r>
      <w:r w:rsidRPr="00645B6F">
        <w:rPr>
          <w:rFonts w:eastAsia="Times New Roman" w:cstheme="minorHAnsi"/>
          <w:color w:val="4A4A4A"/>
          <w:sz w:val="21"/>
          <w:szCs w:val="21"/>
          <w:lang w:eastAsia="en-GB"/>
        </w:rPr>
        <w:t>countries</w:t>
      </w:r>
      <w:r w:rsidR="000C6CF4">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only the standardized version is</w:t>
      </w:r>
      <w:r w:rsidR="002D7B3A">
        <w:rPr>
          <w:rFonts w:eastAsia="Times New Roman" w:cstheme="minorHAnsi"/>
          <w:color w:val="4A4A4A"/>
          <w:sz w:val="21"/>
          <w:szCs w:val="21"/>
          <w:lang w:eastAsia="en-GB"/>
        </w:rPr>
        <w:t xml:space="preserve"> available</w:t>
      </w:r>
      <w:r w:rsidRPr="00645B6F">
        <w:rPr>
          <w:rFonts w:eastAsia="Times New Roman" w:cstheme="minorHAnsi"/>
          <w:color w:val="4A4A4A"/>
          <w:sz w:val="21"/>
          <w:szCs w:val="21"/>
          <w:lang w:eastAsia="en-GB"/>
        </w:rPr>
        <w:t>. When multiple versions of the same survey are available</w:t>
      </w:r>
      <w:r w:rsidR="002D7B3A">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the </w:t>
      </w:r>
      <w:r w:rsidR="002D7B3A">
        <w:rPr>
          <w:rFonts w:eastAsia="Times New Roman" w:cstheme="minorHAnsi"/>
          <w:color w:val="4A4A4A"/>
          <w:sz w:val="21"/>
          <w:szCs w:val="21"/>
          <w:lang w:eastAsia="en-GB"/>
        </w:rPr>
        <w:t xml:space="preserve">estimate </w:t>
      </w:r>
      <w:r w:rsidR="001E2E4F">
        <w:rPr>
          <w:rFonts w:eastAsia="Times New Roman" w:cstheme="minorHAnsi"/>
          <w:color w:val="4A4A4A"/>
          <w:sz w:val="21"/>
          <w:szCs w:val="21"/>
          <w:lang w:eastAsia="en-GB"/>
        </w:rPr>
        <w:t xml:space="preserve">which </w:t>
      </w:r>
      <w:r w:rsidRPr="00645B6F">
        <w:rPr>
          <w:rFonts w:eastAsia="Times New Roman" w:cstheme="minorHAnsi"/>
          <w:color w:val="4A4A4A"/>
          <w:sz w:val="21"/>
          <w:szCs w:val="21"/>
          <w:lang w:eastAsia="en-GB"/>
        </w:rPr>
        <w:t>perform</w:t>
      </w:r>
      <w:r w:rsidR="001E2E4F">
        <w:rPr>
          <w:rFonts w:eastAsia="Times New Roman" w:cstheme="minorHAnsi"/>
          <w:color w:val="4A4A4A"/>
          <w:sz w:val="21"/>
          <w:szCs w:val="21"/>
          <w:lang w:eastAsia="en-GB"/>
        </w:rPr>
        <w:t>ed</w:t>
      </w:r>
      <w:r w:rsidRPr="00645B6F">
        <w:rPr>
          <w:rFonts w:eastAsia="Times New Roman" w:cstheme="minorHAnsi"/>
          <w:color w:val="4A4A4A"/>
          <w:sz w:val="21"/>
          <w:szCs w:val="21"/>
          <w:lang w:eastAsia="en-GB"/>
        </w:rPr>
        <w:t xml:space="preserve"> </w:t>
      </w:r>
      <w:r w:rsidR="001E2E4F">
        <w:rPr>
          <w:rFonts w:eastAsia="Times New Roman" w:cstheme="minorHAnsi"/>
          <w:color w:val="4A4A4A"/>
          <w:sz w:val="21"/>
          <w:szCs w:val="21"/>
          <w:lang w:eastAsia="en-GB"/>
        </w:rPr>
        <w:t xml:space="preserve">best </w:t>
      </w:r>
      <w:r w:rsidRPr="00645B6F">
        <w:rPr>
          <w:rFonts w:eastAsia="Times New Roman" w:cstheme="minorHAnsi"/>
          <w:color w:val="4A4A4A"/>
          <w:sz w:val="21"/>
          <w:szCs w:val="21"/>
          <w:lang w:eastAsia="en-GB"/>
        </w:rPr>
        <w:t>in a series of quality assurance tests is retained (see collection process). When a standardized version of a nationally designed survey instrument is chosen</w:t>
      </w:r>
      <w:r w:rsidR="000C6CF4">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there are differences between expenditure variables generated using the raw data and the expenditure variables generated using the harmonization procedures</w:t>
      </w:r>
      <w:r w:rsidR="000C6CF4">
        <w:rPr>
          <w:rFonts w:eastAsia="Times New Roman" w:cstheme="minorHAnsi"/>
          <w:color w:val="4A4A4A"/>
          <w:sz w:val="21"/>
          <w:szCs w:val="21"/>
          <w:lang w:eastAsia="en-GB"/>
        </w:rPr>
        <w:t>,</w:t>
      </w:r>
      <w:r w:rsidRPr="00645B6F">
        <w:rPr>
          <w:rFonts w:eastAsia="Times New Roman" w:cstheme="minorHAnsi"/>
          <w:color w:val="4A4A4A"/>
          <w:sz w:val="21"/>
          <w:szCs w:val="21"/>
          <w:lang w:eastAsia="en-GB"/>
        </w:rPr>
        <w:t xml:space="preserve"> which might result in </w:t>
      </w:r>
      <w:r w:rsidR="00EB6563">
        <w:rPr>
          <w:rFonts w:eastAsia="Times New Roman" w:cstheme="minorHAnsi"/>
          <w:color w:val="4A4A4A"/>
          <w:sz w:val="21"/>
          <w:szCs w:val="21"/>
          <w:lang w:eastAsia="en-GB"/>
        </w:rPr>
        <w:t xml:space="preserve">the </w:t>
      </w:r>
      <w:r w:rsidRPr="00645B6F">
        <w:rPr>
          <w:rFonts w:eastAsia="Times New Roman" w:cstheme="minorHAnsi"/>
          <w:color w:val="4A4A4A"/>
          <w:sz w:val="21"/>
          <w:szCs w:val="21"/>
          <w:lang w:eastAsia="en-GB"/>
        </w:rPr>
        <w:t>different estimated incidence of the population with large household expenditure on health as a share of household total expenditure or income.</w:t>
      </w:r>
    </w:p>
    <w:p w14:paraId="5AB6DD91" w14:textId="65E36448" w:rsidR="00F719A8" w:rsidRPr="00645B6F" w:rsidRDefault="00F719A8" w:rsidP="00576CFA">
      <w:pPr>
        <w:pStyle w:val="MText"/>
        <w:rPr>
          <w:rFonts w:cstheme="minorHAnsi"/>
        </w:rPr>
      </w:pPr>
    </w:p>
    <w:p w14:paraId="76DF099C" w14:textId="703C09F1" w:rsidR="00382CF3" w:rsidRPr="00645B6F" w:rsidRDefault="00576CFA" w:rsidP="000412A0">
      <w:pPr>
        <w:pStyle w:val="MHeader"/>
        <w:spacing w:after="100"/>
        <w:rPr>
          <w:rFonts w:cstheme="minorHAnsi"/>
        </w:rPr>
      </w:pPr>
      <w:r w:rsidRPr="00645B6F">
        <w:rPr>
          <w:rFonts w:cstheme="minorHAnsi"/>
        </w:rPr>
        <w:t xml:space="preserve">7. References and Documentation </w:t>
      </w:r>
      <w:r>
        <w:rPr>
          <w:color w:val="B4B4B4"/>
          <w:sz w:val="20"/>
        </w:rPr>
      </w:r>
      <w:r>
        <w:rPr>
          <w:color w:val="B4B4B4"/>
          <w:sz w:val="20"/>
        </w:rPr>
        <w:t>(OTHER_DOC)</w:t>
      </w:r>
    </w:p>
    <w:p w14:paraId="2DAE2B8A" w14:textId="53C8E7BA" w:rsidR="006F6CC8" w:rsidRDefault="001E782E" w:rsidP="001E782E">
      <w:pPr>
        <w:shd w:val="clear" w:color="auto" w:fill="FFFFFF"/>
        <w:spacing w:after="0"/>
        <w:jc w:val="both"/>
        <w:rPr>
          <w:rFonts w:eastAsia="Times New Roman" w:cstheme="minorHAnsi"/>
          <w:b/>
          <w:bCs/>
          <w:color w:val="4A4A4A"/>
          <w:sz w:val="21"/>
          <w:szCs w:val="21"/>
          <w:lang w:val="en-US" w:eastAsia="en-GB"/>
        </w:rPr>
      </w:pPr>
      <w:r w:rsidRPr="00360B50">
        <w:rPr>
          <w:rFonts w:eastAsia="Times New Roman" w:cstheme="minorHAnsi"/>
          <w:b/>
          <w:bCs/>
          <w:color w:val="4A4A4A"/>
          <w:sz w:val="21"/>
          <w:szCs w:val="21"/>
          <w:lang w:val="en-US" w:eastAsia="en-GB"/>
        </w:rPr>
        <w:t>URL:</w:t>
      </w:r>
    </w:p>
    <w:p w14:paraId="48EEAE73" w14:textId="3B52CB87" w:rsidR="001E782E" w:rsidRPr="00360B50" w:rsidRDefault="003019F8" w:rsidP="001E782E">
      <w:pPr>
        <w:shd w:val="clear" w:color="auto" w:fill="FFFFFF"/>
        <w:spacing w:after="0"/>
        <w:jc w:val="both"/>
        <w:rPr>
          <w:rFonts w:eastAsia="Times New Roman" w:cstheme="minorHAnsi"/>
          <w:b/>
          <w:bCs/>
          <w:color w:val="404040" w:themeColor="text1" w:themeTint="BF"/>
          <w:sz w:val="21"/>
          <w:szCs w:val="21"/>
          <w:u w:val="single"/>
          <w:lang w:val="en-US" w:eastAsia="en-GB"/>
        </w:rPr>
      </w:pPr>
      <w:r w:rsidRPr="003019F8">
        <w:rPr>
          <w:rFonts w:eastAsia="SimSun" w:cstheme="minorHAnsi"/>
          <w:color w:val="0000FF" w:themeColor="hyperlink"/>
          <w:u w:val="single"/>
          <w:lang w:val="en-US"/>
        </w:rPr>
        <w:t>https://www.who.int/data/gho/data/themes/topics/financial-protection</w:t>
      </w:r>
      <w:r w:rsidR="001E782E" w:rsidRPr="00360B50">
        <w:rPr>
          <w:rFonts w:eastAsia="SimSun" w:cstheme="minorHAnsi"/>
          <w:lang w:val="en-US"/>
        </w:rPr>
        <w:t xml:space="preserve">;  </w:t>
      </w:r>
      <w:hyperlink r:id="rId21" w:history="1">
        <w:r w:rsidR="001E782E" w:rsidRPr="00360B50">
          <w:rPr>
            <w:rFonts w:eastAsia="SimSun" w:cstheme="minorHAnsi"/>
            <w:color w:val="0000FF" w:themeColor="hyperlink"/>
            <w:u w:val="single"/>
            <w:lang w:val="en-US"/>
          </w:rPr>
          <w:t>http://datatopics.worldbank.org/universal-health-coverage/</w:t>
        </w:r>
      </w:hyperlink>
      <w:r w:rsidR="001E782E" w:rsidRPr="00360B50">
        <w:rPr>
          <w:rFonts w:eastAsia="SimSun" w:cstheme="minorHAnsi"/>
          <w:lang w:val="en-US"/>
        </w:rPr>
        <w:t xml:space="preserve"> </w:t>
      </w:r>
    </w:p>
    <w:p w14:paraId="07A75ECD" w14:textId="77777777" w:rsidR="001E782E" w:rsidRPr="00360B50" w:rsidRDefault="001E782E" w:rsidP="001E782E">
      <w:pPr>
        <w:shd w:val="clear" w:color="auto" w:fill="FFFFFF"/>
        <w:spacing w:after="0"/>
        <w:jc w:val="both"/>
        <w:rPr>
          <w:rFonts w:eastAsia="Times New Roman" w:cstheme="minorHAnsi"/>
          <w:color w:val="404040" w:themeColor="text1" w:themeTint="BF"/>
          <w:sz w:val="21"/>
          <w:szCs w:val="21"/>
          <w:lang w:val="en-US" w:eastAsia="en-GB"/>
        </w:rPr>
      </w:pPr>
    </w:p>
    <w:p w14:paraId="23484FD4" w14:textId="66F30E18" w:rsidR="000D03BD" w:rsidRPr="00D35867" w:rsidRDefault="000D03BD" w:rsidP="00D35867">
      <w:pPr>
        <w:keepNext/>
        <w:keepLines/>
        <w:shd w:val="clear" w:color="auto" w:fill="FFFFFF"/>
        <w:spacing w:after="0"/>
        <w:contextualSpacing/>
        <w:rPr>
          <w:rStyle w:val="Strong"/>
        </w:rPr>
      </w:pPr>
      <w:r w:rsidRPr="00D35867">
        <w:rPr>
          <w:rStyle w:val="Strong"/>
        </w:rPr>
        <w:t>References:</w:t>
      </w:r>
    </w:p>
    <w:p w14:paraId="157090F4" w14:textId="77777777" w:rsidR="00A87486" w:rsidRPr="00090AB4" w:rsidRDefault="00A87486" w:rsidP="000D03BD">
      <w:pPr>
        <w:keepNext/>
        <w:keepLines/>
        <w:shd w:val="clear" w:color="auto" w:fill="FFFFFF"/>
        <w:spacing w:after="0"/>
        <w:contextualSpacing/>
        <w:rPr>
          <w:rFonts w:cs="Times New Roman"/>
          <w:color w:val="4A4A4A"/>
          <w:sz w:val="21"/>
          <w:szCs w:val="21"/>
        </w:rPr>
      </w:pPr>
    </w:p>
    <w:p w14:paraId="3AEC9CF7" w14:textId="7256DA9F" w:rsidR="001E782E" w:rsidRPr="003D6A3E" w:rsidRDefault="00296A90" w:rsidP="003D6A3E">
      <w:pPr>
        <w:shd w:val="clear" w:color="auto" w:fill="FFFFFF"/>
        <w:spacing w:after="0"/>
        <w:rPr>
          <w:rFonts w:eastAsia="Times New Roman" w:cstheme="minorHAnsi"/>
          <w:i/>
          <w:iCs/>
          <w:color w:val="4A4A4A"/>
          <w:sz w:val="21"/>
          <w:szCs w:val="21"/>
          <w:lang w:eastAsia="en-GB"/>
        </w:rPr>
      </w:pPr>
      <w:r w:rsidRPr="003D6A3E">
        <w:rPr>
          <w:rFonts w:eastAsia="Times New Roman" w:cstheme="minorHAnsi"/>
          <w:i/>
          <w:iCs/>
          <w:color w:val="4A4A4A"/>
          <w:sz w:val="21"/>
          <w:szCs w:val="21"/>
          <w:lang w:eastAsia="en-GB"/>
        </w:rPr>
        <w:t>Global monitoring reports (e.g. 2015, 2017, 2019, 2021)</w:t>
      </w:r>
    </w:p>
    <w:p w14:paraId="1E6FF238" w14:textId="4CB81E40" w:rsidR="001E782E" w:rsidRPr="00645B6F" w:rsidRDefault="003B7F16" w:rsidP="001E782E">
      <w:pPr>
        <w:shd w:val="clear" w:color="auto" w:fill="FFFFFF"/>
        <w:spacing w:after="0"/>
        <w:rPr>
          <w:rFonts w:eastAsia="Times New Roman" w:cstheme="minorHAnsi"/>
          <w:color w:val="4A4A4A"/>
          <w:sz w:val="21"/>
          <w:szCs w:val="21"/>
          <w:lang w:eastAsia="en-GB"/>
        </w:rPr>
      </w:pPr>
      <w:hyperlink r:id="rId22" w:history="1">
        <w:r w:rsidR="0041710D" w:rsidRPr="00DF6107">
          <w:rPr>
            <w:rStyle w:val="Hyperlink"/>
            <w:rFonts w:eastAsia="Times New Roman" w:cstheme="minorHAnsi"/>
            <w:sz w:val="21"/>
            <w:szCs w:val="21"/>
            <w:lang w:eastAsia="en-GB"/>
          </w:rPr>
          <w:t>https://www.who.int/teams/health-systems-governance-and-financing/global-monitoring-report</w:t>
        </w:r>
      </w:hyperlink>
      <w:r w:rsidR="0041710D">
        <w:rPr>
          <w:rFonts w:eastAsia="Times New Roman" w:cstheme="minorHAnsi"/>
          <w:color w:val="4A4A4A"/>
          <w:sz w:val="21"/>
          <w:szCs w:val="21"/>
          <w:lang w:eastAsia="en-GB"/>
        </w:rPr>
        <w:t xml:space="preserve"> </w:t>
      </w:r>
    </w:p>
    <w:p w14:paraId="6B1D3D64" w14:textId="77777777" w:rsidR="0041710D" w:rsidRDefault="0041710D" w:rsidP="001E782E">
      <w:pPr>
        <w:shd w:val="clear" w:color="auto" w:fill="FFFFFF"/>
        <w:spacing w:after="0"/>
        <w:rPr>
          <w:rFonts w:eastAsia="Times New Roman" w:cstheme="minorHAnsi"/>
          <w:i/>
          <w:iCs/>
          <w:color w:val="4A4A4A"/>
          <w:sz w:val="21"/>
          <w:szCs w:val="21"/>
          <w:lang w:eastAsia="en-GB"/>
        </w:rPr>
      </w:pPr>
    </w:p>
    <w:p w14:paraId="13BDD92F" w14:textId="526AF578" w:rsidR="00A87486" w:rsidRPr="003D6A3E" w:rsidRDefault="00ED7AE9" w:rsidP="003D6A3E">
      <w:pPr>
        <w:shd w:val="clear" w:color="auto" w:fill="FFFFFF"/>
        <w:spacing w:after="0" w:line="240" w:lineRule="auto"/>
        <w:contextualSpacing/>
        <w:jc w:val="both"/>
        <w:rPr>
          <w:rFonts w:eastAsia="Times New Roman" w:cstheme="minorHAnsi"/>
          <w:color w:val="404040" w:themeColor="text1" w:themeTint="BF"/>
          <w:sz w:val="21"/>
          <w:szCs w:val="21"/>
          <w:lang w:eastAsia="en-GB"/>
        </w:rPr>
      </w:pPr>
      <w:r>
        <w:rPr>
          <w:rFonts w:eastAsia="Times New Roman" w:cstheme="minorHAnsi"/>
          <w:i/>
          <w:iCs/>
          <w:color w:val="4A4A4A"/>
          <w:sz w:val="21"/>
          <w:szCs w:val="21"/>
          <w:lang w:eastAsia="en-GB"/>
        </w:rPr>
        <w:t>Methodology:</w:t>
      </w:r>
    </w:p>
    <w:p w14:paraId="73DF8AB0" w14:textId="0E22F71B" w:rsidR="00A87486" w:rsidRPr="003D6A3E" w:rsidRDefault="00A87486" w:rsidP="00D35867">
      <w:pPr>
        <w:numPr>
          <w:ilvl w:val="0"/>
          <w:numId w:val="9"/>
        </w:numPr>
        <w:shd w:val="clear" w:color="auto" w:fill="FFFFFF"/>
        <w:spacing w:after="0" w:line="240" w:lineRule="auto"/>
        <w:rPr>
          <w:rFonts w:eastAsia="Times New Roman" w:cstheme="minorHAnsi"/>
          <w:color w:val="4A4A4A"/>
          <w:sz w:val="21"/>
          <w:szCs w:val="21"/>
          <w:lang w:eastAsia="en-GB"/>
        </w:rPr>
      </w:pPr>
      <w:r w:rsidRPr="00645B6F">
        <w:rPr>
          <w:rFonts w:eastAsia="Times New Roman" w:cstheme="minorHAnsi"/>
          <w:color w:val="4A4A4A"/>
          <w:sz w:val="21"/>
          <w:szCs w:val="21"/>
          <w:lang w:eastAsia="en-GB"/>
        </w:rPr>
        <w:t xml:space="preserve">Chapter 2 on Financial protection in “Tracking universal health coverage: 2017 global monitoring report”, World Health Organization and International Bank for Reconstruction and Development/  The World Bank; 2017;   </w:t>
      </w:r>
    </w:p>
    <w:p w14:paraId="68313791" w14:textId="4446EC56" w:rsidR="00736FD9" w:rsidRPr="003D6A3E" w:rsidRDefault="00736FD9" w:rsidP="001E782E">
      <w:pPr>
        <w:numPr>
          <w:ilvl w:val="0"/>
          <w:numId w:val="9"/>
        </w:numPr>
        <w:shd w:val="clear" w:color="auto" w:fill="FFFFFF"/>
        <w:spacing w:after="0" w:line="240" w:lineRule="auto"/>
        <w:contextualSpacing/>
        <w:jc w:val="both"/>
        <w:rPr>
          <w:rFonts w:eastAsia="Times New Roman" w:cstheme="minorHAnsi"/>
          <w:color w:val="404040" w:themeColor="text1" w:themeTint="BF"/>
          <w:sz w:val="21"/>
          <w:szCs w:val="21"/>
          <w:lang w:eastAsia="en-GB"/>
        </w:rPr>
      </w:pPr>
      <w:r w:rsidRPr="00645B6F">
        <w:rPr>
          <w:rFonts w:eastAsia="SimSun" w:cstheme="minorHAnsi"/>
          <w:color w:val="4A4A4A"/>
          <w:sz w:val="21"/>
          <w:szCs w:val="21"/>
          <w:shd w:val="clear" w:color="auto" w:fill="FFFFFF"/>
          <w:lang w:eastAsia="en-GB"/>
        </w:rPr>
        <w:t xml:space="preserve">Wagstaff, A., Flores, G., Hsu J., Smitz, M-F., Chepynoga, K., Buisman, L.R., van Wilgenburg, K.  and Eozenou, P.,  (2018), “Progress on catastrophic health spending in 133 countries: a retrospective observational study”, the Lancet Global Health, volume 6, issue 2, e169-e179. </w:t>
      </w:r>
    </w:p>
    <w:p w14:paraId="7D980DA4" w14:textId="6C57EF3B" w:rsidR="00736FD9" w:rsidRPr="003D6A3E" w:rsidRDefault="003B7F16" w:rsidP="00D35867">
      <w:pPr>
        <w:shd w:val="clear" w:color="auto" w:fill="FFFFFF"/>
        <w:spacing w:after="0" w:line="240" w:lineRule="auto"/>
        <w:ind w:left="720"/>
        <w:contextualSpacing/>
        <w:jc w:val="both"/>
        <w:rPr>
          <w:rFonts w:eastAsia="Times New Roman" w:cstheme="minorHAnsi"/>
          <w:color w:val="4A4A4A"/>
          <w:sz w:val="21"/>
          <w:szCs w:val="21"/>
          <w:lang w:eastAsia="en-GB"/>
        </w:rPr>
      </w:pPr>
      <w:hyperlink r:id="rId23" w:history="1">
        <w:r w:rsidR="00296A90" w:rsidRPr="00645B6F">
          <w:rPr>
            <w:rFonts w:eastAsia="SimSun" w:cstheme="minorHAnsi"/>
            <w:color w:val="0000FF" w:themeColor="hyperlink"/>
            <w:u w:val="single"/>
          </w:rPr>
          <w:t>http://dx.doi.org/10.1016/S2214-109X(17)30429-1</w:t>
        </w:r>
      </w:hyperlink>
    </w:p>
    <w:p w14:paraId="3FCA8A88" w14:textId="3307267D" w:rsidR="001E782E" w:rsidRPr="00645B6F" w:rsidRDefault="001E782E" w:rsidP="001E782E">
      <w:pPr>
        <w:numPr>
          <w:ilvl w:val="0"/>
          <w:numId w:val="9"/>
        </w:numPr>
        <w:shd w:val="clear" w:color="auto" w:fill="FFFFFF"/>
        <w:spacing w:after="0" w:line="240" w:lineRule="auto"/>
        <w:contextualSpacing/>
        <w:jc w:val="both"/>
        <w:rPr>
          <w:rFonts w:eastAsia="Times New Roman" w:cstheme="minorHAnsi"/>
          <w:color w:val="404040" w:themeColor="text1" w:themeTint="BF"/>
          <w:sz w:val="21"/>
          <w:szCs w:val="21"/>
          <w:lang w:eastAsia="en-GB"/>
        </w:rPr>
      </w:pPr>
      <w:r w:rsidRPr="00645B6F">
        <w:rPr>
          <w:rFonts w:eastAsia="Times New Roman" w:cstheme="minorHAnsi"/>
          <w:color w:val="404040" w:themeColor="text1" w:themeTint="BF"/>
          <w:sz w:val="21"/>
          <w:szCs w:val="21"/>
          <w:lang w:eastAsia="en-GB"/>
        </w:rPr>
        <w:t>Chapter 18 of “</w:t>
      </w:r>
      <w:r w:rsidR="004C4B75" w:rsidRPr="00645B6F">
        <w:rPr>
          <w:rFonts w:eastAsia="Times New Roman" w:cstheme="minorHAnsi"/>
          <w:color w:val="404040" w:themeColor="text1" w:themeTint="BF"/>
          <w:sz w:val="21"/>
          <w:szCs w:val="21"/>
          <w:lang w:eastAsia="en-GB"/>
        </w:rPr>
        <w:t>Analy</w:t>
      </w:r>
      <w:r w:rsidR="004C4B75">
        <w:rPr>
          <w:rFonts w:eastAsia="Times New Roman" w:cstheme="minorHAnsi"/>
          <w:color w:val="404040" w:themeColor="text1" w:themeTint="BF"/>
          <w:sz w:val="21"/>
          <w:szCs w:val="21"/>
          <w:lang w:eastAsia="en-GB"/>
        </w:rPr>
        <w:t>z</w:t>
      </w:r>
      <w:r w:rsidR="004C4B75" w:rsidRPr="00645B6F">
        <w:rPr>
          <w:rFonts w:eastAsia="Times New Roman" w:cstheme="minorHAnsi"/>
          <w:color w:val="404040" w:themeColor="text1" w:themeTint="BF"/>
          <w:sz w:val="21"/>
          <w:szCs w:val="21"/>
          <w:lang w:eastAsia="en-GB"/>
        </w:rPr>
        <w:t xml:space="preserve">ing </w:t>
      </w:r>
      <w:r w:rsidRPr="00645B6F">
        <w:rPr>
          <w:rFonts w:eastAsia="Times New Roman" w:cstheme="minorHAnsi"/>
          <w:color w:val="404040" w:themeColor="text1" w:themeTint="BF"/>
          <w:sz w:val="21"/>
          <w:szCs w:val="21"/>
          <w:lang w:eastAsia="en-GB"/>
        </w:rPr>
        <w:t xml:space="preserve">health equity using household survey data”. Washington, DC: World Bank Group; 2008, </w:t>
      </w:r>
      <w:hyperlink r:id="rId24" w:history="1">
        <w:r w:rsidRPr="00645B6F">
          <w:rPr>
            <w:rFonts w:eastAsia="SimSun" w:cstheme="minorHAnsi"/>
            <w:color w:val="0000FF" w:themeColor="hyperlink"/>
            <w:u w:val="single"/>
          </w:rPr>
          <w:t>http://www.worldbank.org/en/topic/health/publication/analyzing-health-equity-using-household-survey-data</w:t>
        </w:r>
      </w:hyperlink>
      <w:r w:rsidRPr="00645B6F">
        <w:rPr>
          <w:rFonts w:eastAsia="Times New Roman" w:cstheme="minorHAnsi"/>
          <w:color w:val="404040" w:themeColor="text1" w:themeTint="BF"/>
          <w:sz w:val="21"/>
          <w:szCs w:val="21"/>
          <w:lang w:eastAsia="en-GB"/>
        </w:rPr>
        <w:t xml:space="preserve">  </w:t>
      </w:r>
    </w:p>
    <w:p w14:paraId="58314A36" w14:textId="77777777" w:rsidR="001E782E" w:rsidRPr="00645B6F" w:rsidRDefault="001E782E" w:rsidP="001E782E">
      <w:pPr>
        <w:shd w:val="clear" w:color="auto" w:fill="FFFFFF"/>
        <w:spacing w:after="0"/>
        <w:jc w:val="both"/>
        <w:rPr>
          <w:rFonts w:eastAsia="Times New Roman" w:cstheme="minorHAnsi"/>
          <w:i/>
          <w:iCs/>
          <w:color w:val="404040" w:themeColor="text1" w:themeTint="BF"/>
          <w:sz w:val="21"/>
          <w:szCs w:val="21"/>
          <w:lang w:eastAsia="en-GB"/>
        </w:rPr>
      </w:pPr>
    </w:p>
    <w:p w14:paraId="384B0992" w14:textId="5BDA6F71" w:rsidR="00186795" w:rsidRPr="00645B6F" w:rsidRDefault="00186795">
      <w:pPr>
        <w:rPr>
          <w:rFonts w:cstheme="minorHAnsi"/>
        </w:rPr>
      </w:pPr>
    </w:p>
    <w:sectPr w:rsidR="00186795" w:rsidRPr="00645B6F">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2AFEA" w14:textId="77777777" w:rsidR="00880637" w:rsidRDefault="00880637" w:rsidP="00573C0B">
      <w:pPr>
        <w:spacing w:after="0" w:line="240" w:lineRule="auto"/>
      </w:pPr>
      <w:r>
        <w:separator/>
      </w:r>
    </w:p>
  </w:endnote>
  <w:endnote w:type="continuationSeparator" w:id="0">
    <w:p w14:paraId="62D82833" w14:textId="77777777" w:rsidR="00880637" w:rsidRDefault="00880637" w:rsidP="00573C0B">
      <w:pPr>
        <w:spacing w:after="0" w:line="240" w:lineRule="auto"/>
      </w:pPr>
      <w:r>
        <w:continuationSeparator/>
      </w:r>
    </w:p>
  </w:endnote>
  <w:endnote w:type="continuationNotice" w:id="1">
    <w:p w14:paraId="09CE7444" w14:textId="77777777" w:rsidR="00880637" w:rsidRDefault="008806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T15Ct00">
    <w:altName w:val="MS Mincho"/>
    <w:panose1 w:val="00000000000000000000"/>
    <w:charset w:val="80"/>
    <w:family w:val="auto"/>
    <w:notTrueType/>
    <w:pitch w:val="default"/>
    <w:sig w:usb0="00000001" w:usb1="08070000" w:usb2="00000010" w:usb3="00000000" w:csb0="00020000" w:csb1="00000000"/>
  </w:font>
  <w:font w:name="DINPro">
    <w:altName w:val="Yu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514AF" w14:textId="77777777" w:rsidR="00880637" w:rsidRDefault="00880637" w:rsidP="00573C0B">
      <w:pPr>
        <w:spacing w:after="0" w:line="240" w:lineRule="auto"/>
      </w:pPr>
      <w:r>
        <w:separator/>
      </w:r>
    </w:p>
  </w:footnote>
  <w:footnote w:type="continuationSeparator" w:id="0">
    <w:p w14:paraId="347813FB" w14:textId="77777777" w:rsidR="00880637" w:rsidRDefault="00880637" w:rsidP="00573C0B">
      <w:pPr>
        <w:spacing w:after="0" w:line="240" w:lineRule="auto"/>
      </w:pPr>
      <w:r>
        <w:continuationSeparator/>
      </w:r>
    </w:p>
  </w:footnote>
  <w:footnote w:type="continuationNotice" w:id="1">
    <w:p w14:paraId="002414CE" w14:textId="77777777" w:rsidR="00880637" w:rsidRDefault="00880637">
      <w:pPr>
        <w:spacing w:after="0" w:line="240" w:lineRule="auto"/>
      </w:pPr>
    </w:p>
  </w:footnote>
  <w:footnote w:id="2">
    <w:p w14:paraId="7AB41B95" w14:textId="77777777" w:rsidR="006F11B1" w:rsidRDefault="006F11B1" w:rsidP="00B55A32">
      <w:pPr>
        <w:pStyle w:val="FootnoteText"/>
        <w:rPr>
          <w:color w:val="404040" w:themeColor="text1" w:themeTint="BF"/>
          <w:sz w:val="18"/>
          <w:szCs w:val="18"/>
        </w:rPr>
      </w:pPr>
      <w:r>
        <w:rPr>
          <w:rStyle w:val="FootnoteReference"/>
          <w:color w:val="404040" w:themeColor="text1" w:themeTint="BF"/>
          <w:sz w:val="18"/>
          <w:szCs w:val="18"/>
        </w:rPr>
        <w:footnoteRef/>
      </w:r>
      <w:r>
        <w:rPr>
          <w:color w:val="404040" w:themeColor="text1" w:themeTint="BF"/>
          <w:sz w:val="18"/>
          <w:szCs w:val="18"/>
        </w:rPr>
        <w:t xml:space="preserve"> </w:t>
      </w:r>
      <w:hyperlink r:id="rId1" w:history="1">
        <w:r>
          <w:rPr>
            <w:rStyle w:val="Hyperlink"/>
            <w:sz w:val="18"/>
            <w:szCs w:val="18"/>
          </w:rPr>
          <w:t>http://www.oecd-ilibrary.org/social-issues-migration-health/a-system-of-health-accounts/classification-of-health-care-financing-schemes-icha-hf_9789264116016-9-en</w:t>
        </w:r>
      </w:hyperlink>
      <w:r>
        <w:rPr>
          <w:rStyle w:val="Hyperlink"/>
          <w:rFonts w:eastAsia="Times New Roman" w:cs="Times New Roman"/>
          <w:color w:val="404040" w:themeColor="text1" w:themeTint="BF"/>
          <w:sz w:val="18"/>
          <w:szCs w:val="18"/>
          <w:lang w:eastAsia="en-GB"/>
        </w:rPr>
        <w:t xml:space="preserve">  </w:t>
      </w:r>
    </w:p>
  </w:footnote>
  <w:footnote w:id="3">
    <w:p w14:paraId="6A93201B" w14:textId="77777777" w:rsidR="006F11B1" w:rsidRDefault="006F11B1" w:rsidP="00B55A32">
      <w:pPr>
        <w:pStyle w:val="FootnoteText"/>
      </w:pPr>
      <w:r>
        <w:rPr>
          <w:rStyle w:val="FootnoteReference"/>
          <w:color w:val="404040" w:themeColor="text1" w:themeTint="BF"/>
          <w:sz w:val="18"/>
          <w:szCs w:val="18"/>
        </w:rPr>
        <w:footnoteRef/>
      </w:r>
      <w:r>
        <w:rPr>
          <w:color w:val="404040" w:themeColor="text1" w:themeTint="BF"/>
          <w:sz w:val="18"/>
          <w:szCs w:val="18"/>
        </w:rPr>
        <w:t xml:space="preserve"> Agenda item 3(l) available at </w:t>
      </w:r>
      <w:hyperlink r:id="rId2" w:history="1">
        <w:r>
          <w:rPr>
            <w:rStyle w:val="Hyperlink"/>
            <w:sz w:val="18"/>
            <w:szCs w:val="18"/>
          </w:rPr>
          <w:t>https://unstats.un.org/unsd/statcom/49th-session/documents/</w:t>
        </w:r>
      </w:hyperlink>
      <w:r>
        <w:rPr>
          <w:color w:val="404040" w:themeColor="text1" w:themeTint="BF"/>
          <w:sz w:val="18"/>
          <w:szCs w:val="18"/>
        </w:rPr>
        <w:t xml:space="preserve">; </w:t>
      </w:r>
      <w:hyperlink r:id="rId3" w:history="1">
        <w:r>
          <w:rPr>
            <w:rStyle w:val="Hyperlink"/>
            <w:sz w:val="18"/>
            <w:szCs w:val="18"/>
          </w:rPr>
          <w:t>http://unstats.un.org/unsd/cr/registry/regcs.asp?Cl=5&amp;Lg=1&amp;Co=06.1</w:t>
        </w:r>
      </w:hyperlink>
      <w:r>
        <w:rPr>
          <w:rStyle w:val="Hyperlink"/>
          <w:sz w:val="18"/>
          <w:szCs w:val="18"/>
        </w:rPr>
        <w:t xml:space="preserve"> </w:t>
      </w:r>
    </w:p>
  </w:footnote>
  <w:footnote w:id="4">
    <w:p w14:paraId="266757CE" w14:textId="043D7E53" w:rsidR="00F4064C" w:rsidRPr="00F4064C" w:rsidRDefault="00F4064C">
      <w:pPr>
        <w:pStyle w:val="FootnoteText"/>
      </w:pPr>
      <w:r>
        <w:rPr>
          <w:rStyle w:val="FootnoteReference"/>
        </w:rPr>
        <w:footnoteRef/>
      </w:r>
      <w:r>
        <w:t xml:space="preserve"> </w:t>
      </w:r>
      <w:r w:rsidRPr="00F4064C">
        <w:t>https://documents.worldbank.org/en/publication/documents-reports/documentdetail/099225003092220001/p1694340e80f9a00a09b20042de5a9cd47e</w:t>
      </w:r>
    </w:p>
  </w:footnote>
  <w:footnote w:id="5">
    <w:p w14:paraId="2943AB1D" w14:textId="77777777" w:rsidR="006F11B1" w:rsidRDefault="006F11B1" w:rsidP="00B55A32">
      <w:pPr>
        <w:pStyle w:val="FootnoteText"/>
        <w:rPr>
          <w:color w:val="404040" w:themeColor="text1" w:themeTint="BF"/>
          <w:sz w:val="18"/>
          <w:szCs w:val="18"/>
        </w:rPr>
      </w:pPr>
      <w:r>
        <w:rPr>
          <w:rStyle w:val="FootnoteReference"/>
          <w:color w:val="404040" w:themeColor="text1" w:themeTint="BF"/>
          <w:sz w:val="18"/>
          <w:szCs w:val="18"/>
        </w:rPr>
        <w:footnoteRef/>
      </w:r>
      <w:r>
        <w:rPr>
          <w:color w:val="404040" w:themeColor="text1" w:themeTint="BF"/>
          <w:sz w:val="18"/>
          <w:szCs w:val="18"/>
        </w:rPr>
        <w:t xml:space="preserve"> </w:t>
      </w:r>
      <w:hyperlink r:id="rId4" w:history="1">
        <w:r>
          <w:rPr>
            <w:rStyle w:val="Hyperlink"/>
            <w:sz w:val="18"/>
            <w:szCs w:val="18"/>
          </w:rPr>
          <w:t>http://www.ilo.org/public/english/bureau/stat/download/17thicls/r2hies.pdf</w:t>
        </w:r>
      </w:hyperlink>
      <w:r>
        <w:rPr>
          <w:rStyle w:val="Hyperlink"/>
          <w:color w:val="404040" w:themeColor="text1" w:themeTint="BF"/>
          <w:sz w:val="18"/>
          <w:szCs w:val="18"/>
        </w:rPr>
        <w:t xml:space="preserve"> </w:t>
      </w:r>
      <w:r>
        <w:rPr>
          <w:color w:val="404040" w:themeColor="text1" w:themeTint="BF"/>
          <w:sz w:val="18"/>
          <w:szCs w:val="18"/>
        </w:rPr>
        <w:t xml:space="preserve"> </w:t>
      </w:r>
    </w:p>
  </w:footnote>
  <w:footnote w:id="6">
    <w:p w14:paraId="31F87755" w14:textId="77777777" w:rsidR="006F11B1" w:rsidRDefault="006F11B1" w:rsidP="00B55A32">
      <w:pPr>
        <w:pStyle w:val="FootnoteText"/>
      </w:pPr>
      <w:r>
        <w:rPr>
          <w:rStyle w:val="Hyperlink"/>
          <w:sz w:val="18"/>
          <w:szCs w:val="18"/>
        </w:rPr>
        <w:footnoteRef/>
      </w:r>
      <w:r>
        <w:rPr>
          <w:rStyle w:val="Hyperlink"/>
          <w:sz w:val="18"/>
          <w:szCs w:val="18"/>
        </w:rPr>
        <w:t xml:space="preserve"> </w:t>
      </w:r>
      <w:hyperlink r:id="rId5" w:history="1">
        <w:r>
          <w:rPr>
            <w:rStyle w:val="Hyperlink"/>
            <w:sz w:val="18"/>
            <w:szCs w:val="18"/>
          </w:rPr>
          <w:t>http://unstats.un.org/sdgs/metadata/files/Metadata-01-01-01a.pdf</w:t>
        </w:r>
      </w:hyperlink>
    </w:p>
  </w:footnote>
  <w:footnote w:id="7">
    <w:p w14:paraId="5343A2CC" w14:textId="77777777" w:rsidR="006F11B1" w:rsidRDefault="006F11B1" w:rsidP="00B55A32">
      <w:pPr>
        <w:pStyle w:val="FootnoteText"/>
        <w:rPr>
          <w:sz w:val="14"/>
          <w:szCs w:val="14"/>
        </w:rPr>
      </w:pPr>
      <w:r>
        <w:rPr>
          <w:rStyle w:val="FootnoteReference"/>
          <w:color w:val="404040" w:themeColor="text1" w:themeTint="BF"/>
          <w:sz w:val="18"/>
          <w:szCs w:val="18"/>
        </w:rPr>
        <w:footnoteRef/>
      </w:r>
      <w:r>
        <w:rPr>
          <w:color w:val="404040" w:themeColor="text1" w:themeTint="BF"/>
          <w:sz w:val="18"/>
          <w:szCs w:val="18"/>
        </w:rPr>
        <w:t xml:space="preserve"> </w:t>
      </w:r>
      <w:hyperlink r:id="rId6" w:history="1">
        <w:r>
          <w:rPr>
            <w:rStyle w:val="Hyperlink"/>
            <w:sz w:val="18"/>
            <w:szCs w:val="18"/>
          </w:rPr>
          <w:t>http://unstats.un.org/sdgs/metadata/files/Metadata-01-01-01a.pdf</w:t>
        </w:r>
      </w:hyperlink>
      <w:r>
        <w:rPr>
          <w:color w:val="404040" w:themeColor="text1" w:themeTint="BF"/>
          <w:sz w:val="18"/>
          <w:szCs w:val="18"/>
        </w:rPr>
        <w:t xml:space="preserve">  </w:t>
      </w:r>
    </w:p>
  </w:footnote>
  <w:footnote w:id="8">
    <w:p w14:paraId="71CB4662" w14:textId="77777777" w:rsidR="00BB179E" w:rsidRDefault="00BB179E" w:rsidP="00BB179E">
      <w:pPr>
        <w:pStyle w:val="FootnoteText"/>
      </w:pPr>
      <w:r>
        <w:rPr>
          <w:rStyle w:val="FootnoteReference"/>
        </w:rPr>
        <w:footnoteRef/>
      </w:r>
      <w:r>
        <w:t xml:space="preserve"> </w:t>
      </w:r>
      <w:r>
        <w:rPr>
          <w:rStyle w:val="Hyperlink"/>
          <w:color w:val="404040" w:themeColor="text1" w:themeTint="BF"/>
          <w:sz w:val="18"/>
          <w:szCs w:val="18"/>
        </w:rPr>
        <w:t>Chapter 2 in</w:t>
      </w:r>
      <w:r>
        <w:t xml:space="preserve"> </w:t>
      </w:r>
      <w:r>
        <w:rPr>
          <w:rStyle w:val="Hyperlink"/>
          <w:color w:val="404040" w:themeColor="text1" w:themeTint="BF"/>
          <w:sz w:val="18"/>
          <w:szCs w:val="18"/>
        </w:rPr>
        <w:t>“Tracking universal health coverage: 2017 global monitoring report”, World Health Organization and International Bank for Reconstruction and Development/  The World Bank; 2017</w:t>
      </w:r>
      <w:r>
        <w:t xml:space="preserve">; </w:t>
      </w:r>
      <w:hyperlink r:id="rId7" w:history="1">
        <w:r>
          <w:rPr>
            <w:rStyle w:val="Hyperlink"/>
            <w:sz w:val="18"/>
            <w:szCs w:val="18"/>
          </w:rPr>
          <w:t>http://www.who.int/healthinfo/indicators/2015/en/</w:t>
        </w:r>
      </w:hyperlink>
      <w:r>
        <w:rPr>
          <w:rStyle w:val="Hyperlink"/>
          <w:color w:val="404040" w:themeColor="text1" w:themeTint="BF"/>
          <w:sz w:val="18"/>
          <w:szCs w:val="18"/>
        </w:rPr>
        <w:t xml:space="preserve"> </w:t>
      </w:r>
      <w:r>
        <w:rPr>
          <w:color w:val="404040" w:themeColor="text1" w:themeTint="BF"/>
          <w:sz w:val="18"/>
          <w:szCs w:val="18"/>
        </w:rPr>
        <w:t xml:space="preserve">; </w:t>
      </w:r>
    </w:p>
  </w:footnote>
  <w:footnote w:id="9">
    <w:p w14:paraId="1E580E73" w14:textId="594B4B2D" w:rsidR="00BB179E" w:rsidRDefault="00BB179E" w:rsidP="00BB179E">
      <w:pPr>
        <w:pStyle w:val="FootnoteText"/>
        <w:rPr>
          <w:color w:val="404040" w:themeColor="text1" w:themeTint="BF"/>
          <w:sz w:val="18"/>
          <w:szCs w:val="18"/>
        </w:rPr>
      </w:pPr>
      <w:r>
        <w:rPr>
          <w:rStyle w:val="FootnoteReference"/>
          <w:color w:val="404040" w:themeColor="text1" w:themeTint="BF"/>
          <w:sz w:val="18"/>
          <w:szCs w:val="18"/>
        </w:rPr>
        <w:footnoteRef/>
      </w:r>
      <w:r>
        <w:rPr>
          <w:rFonts w:cs="Calibri"/>
          <w:color w:val="404040" w:themeColor="text1" w:themeTint="BF"/>
          <w:sz w:val="18"/>
          <w:szCs w:val="18"/>
        </w:rPr>
        <w:t xml:space="preserve">Xu, K., Evans, D. B., Carrin, G., Aguilar-Rivera, A. M., Musgrove, P., and Evans, T. (2007), “Protecting Households From Catastrophic Health Spending,” </w:t>
      </w:r>
      <w:r>
        <w:rPr>
          <w:rFonts w:cs="Calibri"/>
          <w:i/>
          <w:iCs/>
          <w:color w:val="404040" w:themeColor="text1" w:themeTint="BF"/>
          <w:sz w:val="18"/>
          <w:szCs w:val="18"/>
        </w:rPr>
        <w:t>Health Affairs</w:t>
      </w:r>
      <w:r>
        <w:rPr>
          <w:rFonts w:cs="Calibri"/>
          <w:color w:val="404040" w:themeColor="text1" w:themeTint="BF"/>
          <w:sz w:val="18"/>
          <w:szCs w:val="18"/>
        </w:rPr>
        <w:t xml:space="preserve">, 26, 972–983. Xu, </w:t>
      </w:r>
      <w:r w:rsidR="00C104A9">
        <w:rPr>
          <w:rFonts w:cs="Calibri"/>
          <w:color w:val="404040" w:themeColor="text1" w:themeTint="BF"/>
          <w:sz w:val="18"/>
          <w:szCs w:val="18"/>
        </w:rPr>
        <w:t>K</w:t>
      </w:r>
      <w:r>
        <w:rPr>
          <w:rFonts w:cs="Calibri"/>
          <w:color w:val="404040" w:themeColor="text1" w:themeTint="BF"/>
          <w:sz w:val="18"/>
          <w:szCs w:val="18"/>
        </w:rPr>
        <w:t xml:space="preserve">., Evans, D., Kawabata, K., Zeramdini, R., Klavus, J., and Murray, C. (2003), “Households Catastrophic Health Expenditure: A Multi-Country Analysis,” </w:t>
      </w:r>
      <w:r>
        <w:rPr>
          <w:rFonts w:cs="Calibri"/>
          <w:i/>
          <w:iCs/>
          <w:color w:val="404040" w:themeColor="text1" w:themeTint="BF"/>
          <w:sz w:val="18"/>
          <w:szCs w:val="18"/>
        </w:rPr>
        <w:t>The Lancet</w:t>
      </w:r>
      <w:r>
        <w:rPr>
          <w:rFonts w:cs="Calibri"/>
          <w:color w:val="404040" w:themeColor="text1" w:themeTint="BF"/>
          <w:sz w:val="18"/>
          <w:szCs w:val="18"/>
        </w:rPr>
        <w:t xml:space="preserve">, 326, 111–117. </w:t>
      </w:r>
    </w:p>
  </w:footnote>
  <w:footnote w:id="10">
    <w:p w14:paraId="332F0B19" w14:textId="77777777" w:rsidR="00BB179E" w:rsidRDefault="00BB179E" w:rsidP="00BB179E">
      <w:pPr>
        <w:pStyle w:val="FootnoteText"/>
        <w:rPr>
          <w:color w:val="404040" w:themeColor="text1" w:themeTint="BF"/>
          <w:sz w:val="18"/>
          <w:szCs w:val="18"/>
        </w:rPr>
      </w:pPr>
      <w:r>
        <w:rPr>
          <w:rStyle w:val="FootnoteReference"/>
          <w:color w:val="404040" w:themeColor="text1" w:themeTint="BF"/>
          <w:sz w:val="18"/>
          <w:szCs w:val="18"/>
        </w:rPr>
        <w:footnoteRef/>
      </w:r>
      <w:r>
        <w:rPr>
          <w:color w:val="404040" w:themeColor="text1" w:themeTint="BF"/>
          <w:sz w:val="18"/>
          <w:szCs w:val="18"/>
        </w:rPr>
        <w:t xml:space="preserve"> </w:t>
      </w:r>
      <w:hyperlink r:id="rId8" w:history="1">
        <w:r>
          <w:rPr>
            <w:rStyle w:val="Hyperlink"/>
            <w:sz w:val="18"/>
            <w:szCs w:val="18"/>
          </w:rPr>
          <w:t>http://www.euro.who.int/en/health-topics/Health-systems/health-systems-financing/publications/clusters/universal-health-coverage-financial-protection</w:t>
        </w:r>
      </w:hyperlink>
      <w:r>
        <w:rPr>
          <w:rStyle w:val="Hyperlink"/>
        </w:rPr>
        <w:t>;</w:t>
      </w:r>
      <w:hyperlink r:id="rId9" w:history="1">
        <w:r>
          <w:rPr>
            <w:rStyle w:val="Hyperlink"/>
            <w:sz w:val="18"/>
            <w:szCs w:val="18"/>
          </w:rPr>
          <w:t>http://applications.emro.who.int/dsaf/EMROPUB_2016_EN_19169.pdf?ua=1</w:t>
        </w:r>
      </w:hyperlink>
      <w:r>
        <w:rPr>
          <w:rStyle w:val="Hyperlink"/>
        </w:rPr>
        <w:t xml:space="preserve"> ; </w:t>
      </w:r>
      <w:hyperlink r:id="rId10" w:history="1">
        <w:r>
          <w:rPr>
            <w:rStyle w:val="Hyperlink"/>
            <w:sz w:val="18"/>
            <w:szCs w:val="18"/>
          </w:rPr>
          <w:t>http://apps.searo.who.int/uhc</w:t>
        </w:r>
      </w:hyperlink>
      <w:hyperlink r:id="rId11" w:history="1">
        <w:r>
          <w:rPr>
            <w:rStyle w:val="Hyperlink"/>
            <w:sz w:val="18"/>
            <w:szCs w:val="18"/>
          </w:rPr>
          <w:t>http://www.paho.org/hq/index.php?option=com_content&amp;view=article&amp;id=11065%3A2015-universal-health-coverage-latin-america-caribbean&amp;catid=3316%3Apublications&amp;Itemid=3562&amp;lang=en</w:t>
        </w:r>
      </w:hyperlink>
    </w:p>
  </w:footnote>
  <w:footnote w:id="11">
    <w:p w14:paraId="578EB3A5" w14:textId="1EBDCBAE" w:rsidR="00EA2494" w:rsidRDefault="002811CF" w:rsidP="002811CF">
      <w:pPr>
        <w:pStyle w:val="FootnoteText"/>
        <w:rPr>
          <w:sz w:val="18"/>
          <w:szCs w:val="18"/>
        </w:rPr>
      </w:pPr>
      <w:r>
        <w:rPr>
          <w:rStyle w:val="FootnoteReference"/>
          <w:sz w:val="18"/>
          <w:szCs w:val="18"/>
        </w:rPr>
        <w:footnoteRef/>
      </w:r>
      <w:r>
        <w:rPr>
          <w:sz w:val="18"/>
          <w:szCs w:val="18"/>
        </w:rPr>
        <w:t xml:space="preserve"> </w:t>
      </w:r>
      <w:hyperlink r:id="rId12" w:history="1">
        <w:r w:rsidR="00EA2494" w:rsidRPr="00967D8A">
          <w:rPr>
            <w:rStyle w:val="Hyperlink"/>
            <w:sz w:val="18"/>
            <w:szCs w:val="18"/>
          </w:rPr>
          <w:t>https://pip.worldbank.org/home</w:t>
        </w:r>
      </w:hyperlink>
    </w:p>
  </w:footnote>
  <w:footnote w:id="12">
    <w:p w14:paraId="198ECAB5" w14:textId="77777777" w:rsidR="002811CF" w:rsidRDefault="002811CF" w:rsidP="002811CF">
      <w:pPr>
        <w:pStyle w:val="FootnoteText"/>
      </w:pPr>
      <w:r>
        <w:rPr>
          <w:rStyle w:val="FootnoteReference"/>
          <w:sz w:val="18"/>
          <w:szCs w:val="18"/>
        </w:rPr>
        <w:footnoteRef/>
      </w:r>
      <w:r>
        <w:rPr>
          <w:sz w:val="18"/>
          <w:szCs w:val="18"/>
        </w:rPr>
        <w:t xml:space="preserve"> </w:t>
      </w:r>
      <w:hyperlink r:id="rId13" w:history="1">
        <w:r>
          <w:rPr>
            <w:rStyle w:val="Hyperlink"/>
            <w:sz w:val="18"/>
            <w:szCs w:val="18"/>
          </w:rPr>
          <w:t>https://datacatalog.worldbank.org/dataset/world-development-indicators</w:t>
        </w:r>
      </w:hyperlink>
      <w:r>
        <w:t xml:space="preserve"> </w:t>
      </w:r>
    </w:p>
  </w:footnote>
  <w:footnote w:id="13">
    <w:p w14:paraId="59E3DAC2" w14:textId="72648D02" w:rsidR="00134EE3" w:rsidRDefault="00AB083D" w:rsidP="00AB083D">
      <w:pPr>
        <w:pStyle w:val="FootnoteText"/>
        <w:rPr>
          <w:sz w:val="18"/>
          <w:szCs w:val="18"/>
        </w:rPr>
      </w:pPr>
      <w:r>
        <w:rPr>
          <w:rStyle w:val="FootnoteReference"/>
          <w:sz w:val="18"/>
          <w:szCs w:val="18"/>
        </w:rPr>
        <w:footnoteRef/>
      </w:r>
      <w:r>
        <w:rPr>
          <w:sz w:val="18"/>
          <w:szCs w:val="18"/>
        </w:rPr>
        <w:t xml:space="preserve"> </w:t>
      </w:r>
      <w:hyperlink r:id="rId14" w:history="1">
        <w:r w:rsidR="00134EE3" w:rsidRPr="00967D8A">
          <w:rPr>
            <w:rStyle w:val="Hyperlink"/>
            <w:sz w:val="18"/>
            <w:szCs w:val="18"/>
          </w:rPr>
          <w:t>https://apps.who.int/nha/database</w:t>
        </w:r>
      </w:hyperlink>
    </w:p>
  </w:footnote>
  <w:footnote w:id="14">
    <w:p w14:paraId="2494CAF0" w14:textId="77777777" w:rsidR="006E6DB7" w:rsidRDefault="006E6DB7" w:rsidP="006E6DB7">
      <w:pPr>
        <w:pStyle w:val="FootnoteText"/>
        <w:rPr>
          <w:rStyle w:val="Hyperlink"/>
          <w:sz w:val="18"/>
          <w:szCs w:val="18"/>
        </w:rPr>
      </w:pPr>
      <w:r>
        <w:rPr>
          <w:rStyle w:val="FootnoteReference"/>
        </w:rPr>
        <w:footnoteRef/>
      </w:r>
      <w:r>
        <w:t xml:space="preserve"> </w:t>
      </w:r>
      <w:r w:rsidRPr="00D050FD">
        <w:rPr>
          <w:rStyle w:val="Hyperlink"/>
          <w:sz w:val="18"/>
          <w:szCs w:val="18"/>
        </w:rPr>
        <w:t>https://unece.org/fileadmin/DAM/stats/documents/ece/ces/ge.15/2016/Wshp/Session_A._LEAD_PRESENTATION_WB_ENG.pdf</w:t>
      </w:r>
    </w:p>
  </w:footnote>
  <w:footnote w:id="15">
    <w:p w14:paraId="37C3EE2B" w14:textId="77777777" w:rsidR="006F11B1" w:rsidRDefault="006F11B1" w:rsidP="00B55A32">
      <w:pPr>
        <w:pStyle w:val="FootnoteText"/>
        <w:rPr>
          <w:rStyle w:val="Hyperlink"/>
          <w:sz w:val="18"/>
          <w:szCs w:val="18"/>
        </w:rPr>
      </w:pPr>
      <w:r>
        <w:rPr>
          <w:rStyle w:val="Hyperlink"/>
          <w:sz w:val="18"/>
          <w:szCs w:val="18"/>
        </w:rPr>
        <w:footnoteRef/>
      </w:r>
      <w:r>
        <w:rPr>
          <w:rStyle w:val="Hyperlink"/>
          <w:sz w:val="18"/>
          <w:szCs w:val="18"/>
        </w:rPr>
        <w:t xml:space="preserve"> http://www.lisdatacenter.org/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652D999C" w:rsidR="006F11B1" w:rsidRPr="00757E8A" w:rsidRDefault="006F11B1"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6ADEAB2A">
      <w:rPr>
        <w:color w:val="404040" w:themeColor="text1" w:themeTint="BF"/>
        <w:sz w:val="18"/>
        <w:szCs w:val="18"/>
      </w:rPr>
      <w:t>Last updated:</w:t>
    </w:r>
    <w:bookmarkEnd w:id="5"/>
    <w:bookmarkEnd w:id="6"/>
    <w:bookmarkEnd w:id="7"/>
    <w:bookmarkEnd w:id="8"/>
    <w:bookmarkEnd w:id="9"/>
    <w:bookmarkEnd w:id="10"/>
    <w:r w:rsidRPr="6ADEAB2A">
      <w:rPr>
        <w:color w:val="404040" w:themeColor="text1" w:themeTint="BF"/>
        <w:sz w:val="18"/>
        <w:szCs w:val="18"/>
      </w:rPr>
      <w:t xml:space="preserve"> </w:t>
    </w:r>
    <w:r w:rsidR="00836CE7" w:rsidRPr="6ADEAB2A">
      <w:rPr>
        <w:color w:val="404040" w:themeColor="text1" w:themeTint="BF"/>
        <w:sz w:val="18"/>
        <w:szCs w:val="18"/>
      </w:rPr>
      <w:t>20</w:t>
    </w:r>
    <w:r w:rsidR="00836CE7">
      <w:rPr>
        <w:color w:val="404040" w:themeColor="text1" w:themeTint="BF"/>
        <w:sz w:val="18"/>
        <w:szCs w:val="18"/>
      </w:rPr>
      <w:t>2</w:t>
    </w:r>
    <w:r w:rsidR="00DC748C">
      <w:rPr>
        <w:color w:val="404040" w:themeColor="text1" w:themeTint="BF"/>
        <w:sz w:val="18"/>
        <w:szCs w:val="18"/>
      </w:rPr>
      <w:t>3</w:t>
    </w:r>
    <w:r w:rsidRPr="6ADEAB2A">
      <w:rPr>
        <w:color w:val="404040" w:themeColor="text1" w:themeTint="BF"/>
        <w:sz w:val="18"/>
        <w:szCs w:val="18"/>
      </w:rPr>
      <w:t>-0</w:t>
    </w:r>
    <w:r w:rsidR="00DC748C">
      <w:rPr>
        <w:color w:val="404040" w:themeColor="text1" w:themeTint="BF"/>
        <w:sz w:val="18"/>
        <w:szCs w:val="18"/>
      </w:rPr>
      <w:t>5</w:t>
    </w:r>
    <w:r w:rsidRPr="6ADEAB2A">
      <w:rPr>
        <w:color w:val="404040" w:themeColor="text1" w:themeTint="BF"/>
        <w:sz w:val="18"/>
        <w:szCs w:val="18"/>
      </w:rPr>
      <w:t>-1</w:t>
    </w:r>
    <w:r w:rsidR="00DC748C">
      <w:rPr>
        <w:color w:val="404040" w:themeColor="text1" w:themeTint="BF"/>
        <w:sz w:val="18"/>
        <w:szCs w:val="1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5DC4F13"/>
    <w:multiLevelType w:val="hybridMultilevel"/>
    <w:tmpl w:val="DF7E6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304E62"/>
    <w:multiLevelType w:val="hybridMultilevel"/>
    <w:tmpl w:val="30823B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5876757">
    <w:abstractNumId w:val="3"/>
  </w:num>
  <w:num w:numId="2" w16cid:durableId="1517306131">
    <w:abstractNumId w:val="1"/>
  </w:num>
  <w:num w:numId="3" w16cid:durableId="632951803">
    <w:abstractNumId w:val="7"/>
  </w:num>
  <w:num w:numId="4" w16cid:durableId="781997911">
    <w:abstractNumId w:val="2"/>
  </w:num>
  <w:num w:numId="5" w16cid:durableId="168760264">
    <w:abstractNumId w:val="6"/>
  </w:num>
  <w:num w:numId="6" w16cid:durableId="1807971405">
    <w:abstractNumId w:val="0"/>
  </w:num>
  <w:num w:numId="7" w16cid:durableId="547958907">
    <w:abstractNumId w:val="5"/>
  </w:num>
  <w:num w:numId="8" w16cid:durableId="177431421">
    <w:abstractNumId w:val="4"/>
  </w:num>
  <w:num w:numId="9" w16cid:durableId="14476516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O0NLYwtDA2MjIxNTJT0lEKTi0uzszPAykwrAUAUkkYkCwAAAA="/>
  </w:docVars>
  <w:rsids>
    <w:rsidRoot w:val="0058556D"/>
    <w:rsid w:val="0000295E"/>
    <w:rsid w:val="00005777"/>
    <w:rsid w:val="000070BA"/>
    <w:rsid w:val="00007B95"/>
    <w:rsid w:val="00011977"/>
    <w:rsid w:val="000137AF"/>
    <w:rsid w:val="00015C9B"/>
    <w:rsid w:val="0001702C"/>
    <w:rsid w:val="000173F9"/>
    <w:rsid w:val="000176DB"/>
    <w:rsid w:val="0001783F"/>
    <w:rsid w:val="000329AD"/>
    <w:rsid w:val="000377D6"/>
    <w:rsid w:val="000412A0"/>
    <w:rsid w:val="000419E3"/>
    <w:rsid w:val="0004398C"/>
    <w:rsid w:val="00047DDA"/>
    <w:rsid w:val="00052A50"/>
    <w:rsid w:val="00052E54"/>
    <w:rsid w:val="0005342A"/>
    <w:rsid w:val="00053ECC"/>
    <w:rsid w:val="000544D2"/>
    <w:rsid w:val="0005455A"/>
    <w:rsid w:val="00061D80"/>
    <w:rsid w:val="00071F07"/>
    <w:rsid w:val="000722F7"/>
    <w:rsid w:val="0007759D"/>
    <w:rsid w:val="000777AB"/>
    <w:rsid w:val="00077F46"/>
    <w:rsid w:val="000828DE"/>
    <w:rsid w:val="00085481"/>
    <w:rsid w:val="00090A41"/>
    <w:rsid w:val="00090FB1"/>
    <w:rsid w:val="00093E1B"/>
    <w:rsid w:val="0009410C"/>
    <w:rsid w:val="00095128"/>
    <w:rsid w:val="00096186"/>
    <w:rsid w:val="00096601"/>
    <w:rsid w:val="000A72E4"/>
    <w:rsid w:val="000B0E2F"/>
    <w:rsid w:val="000B15CD"/>
    <w:rsid w:val="000B2430"/>
    <w:rsid w:val="000B5D7A"/>
    <w:rsid w:val="000C0C63"/>
    <w:rsid w:val="000C1381"/>
    <w:rsid w:val="000C2591"/>
    <w:rsid w:val="000C6CF4"/>
    <w:rsid w:val="000D03BD"/>
    <w:rsid w:val="000D06F0"/>
    <w:rsid w:val="000D0B30"/>
    <w:rsid w:val="000D1399"/>
    <w:rsid w:val="000D2B2C"/>
    <w:rsid w:val="000D3EAD"/>
    <w:rsid w:val="000D6EF3"/>
    <w:rsid w:val="000E0A94"/>
    <w:rsid w:val="000E1FAE"/>
    <w:rsid w:val="000E21F1"/>
    <w:rsid w:val="000E44B5"/>
    <w:rsid w:val="000E5AEF"/>
    <w:rsid w:val="000F33C8"/>
    <w:rsid w:val="000F3B9F"/>
    <w:rsid w:val="000F6F22"/>
    <w:rsid w:val="000F703E"/>
    <w:rsid w:val="00101871"/>
    <w:rsid w:val="0010408D"/>
    <w:rsid w:val="0010635A"/>
    <w:rsid w:val="00110D7B"/>
    <w:rsid w:val="00111BE9"/>
    <w:rsid w:val="00115A5F"/>
    <w:rsid w:val="00116B37"/>
    <w:rsid w:val="00120E86"/>
    <w:rsid w:val="0012260F"/>
    <w:rsid w:val="00125DE9"/>
    <w:rsid w:val="00126F77"/>
    <w:rsid w:val="00127B00"/>
    <w:rsid w:val="00132D66"/>
    <w:rsid w:val="001332E0"/>
    <w:rsid w:val="00134DE7"/>
    <w:rsid w:val="00134EE3"/>
    <w:rsid w:val="00135401"/>
    <w:rsid w:val="00136F99"/>
    <w:rsid w:val="001433D1"/>
    <w:rsid w:val="0014412B"/>
    <w:rsid w:val="001503CF"/>
    <w:rsid w:val="001507D6"/>
    <w:rsid w:val="00151ABF"/>
    <w:rsid w:val="001557B8"/>
    <w:rsid w:val="00156794"/>
    <w:rsid w:val="001660A5"/>
    <w:rsid w:val="00173EA9"/>
    <w:rsid w:val="001754A8"/>
    <w:rsid w:val="00176B29"/>
    <w:rsid w:val="00180407"/>
    <w:rsid w:val="0018119A"/>
    <w:rsid w:val="00182CD4"/>
    <w:rsid w:val="00182DC1"/>
    <w:rsid w:val="001837F3"/>
    <w:rsid w:val="00184B61"/>
    <w:rsid w:val="00185354"/>
    <w:rsid w:val="001854DC"/>
    <w:rsid w:val="00186795"/>
    <w:rsid w:val="0019033C"/>
    <w:rsid w:val="00193A4A"/>
    <w:rsid w:val="00194D09"/>
    <w:rsid w:val="001A7D5C"/>
    <w:rsid w:val="001B24EC"/>
    <w:rsid w:val="001B3616"/>
    <w:rsid w:val="001B60AA"/>
    <w:rsid w:val="001B63C8"/>
    <w:rsid w:val="001C04EA"/>
    <w:rsid w:val="001C1972"/>
    <w:rsid w:val="001C421F"/>
    <w:rsid w:val="001C508A"/>
    <w:rsid w:val="001C6561"/>
    <w:rsid w:val="001C731F"/>
    <w:rsid w:val="001D360D"/>
    <w:rsid w:val="001D5DB6"/>
    <w:rsid w:val="001D6EA2"/>
    <w:rsid w:val="001E2E4F"/>
    <w:rsid w:val="001E40C9"/>
    <w:rsid w:val="001E782E"/>
    <w:rsid w:val="001F0E20"/>
    <w:rsid w:val="001F59D1"/>
    <w:rsid w:val="001F7B62"/>
    <w:rsid w:val="00205445"/>
    <w:rsid w:val="00206171"/>
    <w:rsid w:val="00206407"/>
    <w:rsid w:val="0020710C"/>
    <w:rsid w:val="00207DA0"/>
    <w:rsid w:val="0021795D"/>
    <w:rsid w:val="00220E40"/>
    <w:rsid w:val="00222FB9"/>
    <w:rsid w:val="00231E80"/>
    <w:rsid w:val="00232615"/>
    <w:rsid w:val="00234F65"/>
    <w:rsid w:val="00235737"/>
    <w:rsid w:val="00240F53"/>
    <w:rsid w:val="002435F0"/>
    <w:rsid w:val="00243987"/>
    <w:rsid w:val="00245958"/>
    <w:rsid w:val="002472A3"/>
    <w:rsid w:val="0025279D"/>
    <w:rsid w:val="00252DA8"/>
    <w:rsid w:val="002545E3"/>
    <w:rsid w:val="002553DF"/>
    <w:rsid w:val="00255F10"/>
    <w:rsid w:val="002569DD"/>
    <w:rsid w:val="00260A7C"/>
    <w:rsid w:val="00261A8D"/>
    <w:rsid w:val="00263D19"/>
    <w:rsid w:val="00264C18"/>
    <w:rsid w:val="0027144E"/>
    <w:rsid w:val="00275259"/>
    <w:rsid w:val="002811CF"/>
    <w:rsid w:val="002833AA"/>
    <w:rsid w:val="00283C1C"/>
    <w:rsid w:val="0028419E"/>
    <w:rsid w:val="0029145E"/>
    <w:rsid w:val="00291A00"/>
    <w:rsid w:val="00291A11"/>
    <w:rsid w:val="002923FA"/>
    <w:rsid w:val="00296A90"/>
    <w:rsid w:val="002A315C"/>
    <w:rsid w:val="002A3342"/>
    <w:rsid w:val="002A4313"/>
    <w:rsid w:val="002A5827"/>
    <w:rsid w:val="002A5BFC"/>
    <w:rsid w:val="002A64BA"/>
    <w:rsid w:val="002A769E"/>
    <w:rsid w:val="002B369A"/>
    <w:rsid w:val="002B37F0"/>
    <w:rsid w:val="002B42CE"/>
    <w:rsid w:val="002B4989"/>
    <w:rsid w:val="002C2510"/>
    <w:rsid w:val="002C29DF"/>
    <w:rsid w:val="002C3311"/>
    <w:rsid w:val="002C6790"/>
    <w:rsid w:val="002D714E"/>
    <w:rsid w:val="002D7B3A"/>
    <w:rsid w:val="002E187F"/>
    <w:rsid w:val="002E1AFA"/>
    <w:rsid w:val="002E53C3"/>
    <w:rsid w:val="002E7137"/>
    <w:rsid w:val="002F1468"/>
    <w:rsid w:val="002F4A14"/>
    <w:rsid w:val="002F5F0C"/>
    <w:rsid w:val="002F716B"/>
    <w:rsid w:val="003019F8"/>
    <w:rsid w:val="003020A8"/>
    <w:rsid w:val="00303B53"/>
    <w:rsid w:val="00311247"/>
    <w:rsid w:val="00322210"/>
    <w:rsid w:val="00324BDA"/>
    <w:rsid w:val="003265EB"/>
    <w:rsid w:val="00330EB7"/>
    <w:rsid w:val="0034329E"/>
    <w:rsid w:val="00343FAA"/>
    <w:rsid w:val="00347F5E"/>
    <w:rsid w:val="003513D0"/>
    <w:rsid w:val="0035273A"/>
    <w:rsid w:val="00353C98"/>
    <w:rsid w:val="0035516F"/>
    <w:rsid w:val="0036080C"/>
    <w:rsid w:val="00360B50"/>
    <w:rsid w:val="0036165B"/>
    <w:rsid w:val="00364E80"/>
    <w:rsid w:val="00366439"/>
    <w:rsid w:val="00371A20"/>
    <w:rsid w:val="00380A2A"/>
    <w:rsid w:val="003821B4"/>
    <w:rsid w:val="00382CF3"/>
    <w:rsid w:val="0038529D"/>
    <w:rsid w:val="00387D52"/>
    <w:rsid w:val="0039035F"/>
    <w:rsid w:val="0039181C"/>
    <w:rsid w:val="00394321"/>
    <w:rsid w:val="00394EC0"/>
    <w:rsid w:val="003A1F52"/>
    <w:rsid w:val="003A2ADD"/>
    <w:rsid w:val="003A7203"/>
    <w:rsid w:val="003A7CEA"/>
    <w:rsid w:val="003B37FF"/>
    <w:rsid w:val="003B3B81"/>
    <w:rsid w:val="003B5C94"/>
    <w:rsid w:val="003B7F16"/>
    <w:rsid w:val="003D6A3E"/>
    <w:rsid w:val="003E422A"/>
    <w:rsid w:val="003E7288"/>
    <w:rsid w:val="003F0BD3"/>
    <w:rsid w:val="003F25BB"/>
    <w:rsid w:val="003F278A"/>
    <w:rsid w:val="003F2AA0"/>
    <w:rsid w:val="003F5BCC"/>
    <w:rsid w:val="003F7A02"/>
    <w:rsid w:val="004000EF"/>
    <w:rsid w:val="004011F4"/>
    <w:rsid w:val="00412FE1"/>
    <w:rsid w:val="004132E6"/>
    <w:rsid w:val="0041710D"/>
    <w:rsid w:val="004220C1"/>
    <w:rsid w:val="00422483"/>
    <w:rsid w:val="00422A61"/>
    <w:rsid w:val="00422EA5"/>
    <w:rsid w:val="00422EFA"/>
    <w:rsid w:val="004246ED"/>
    <w:rsid w:val="004254C4"/>
    <w:rsid w:val="0042791F"/>
    <w:rsid w:val="00431879"/>
    <w:rsid w:val="00442D0D"/>
    <w:rsid w:val="00443539"/>
    <w:rsid w:val="00444B06"/>
    <w:rsid w:val="004451DD"/>
    <w:rsid w:val="004456ED"/>
    <w:rsid w:val="004479C8"/>
    <w:rsid w:val="00453323"/>
    <w:rsid w:val="00471B87"/>
    <w:rsid w:val="004733F1"/>
    <w:rsid w:val="0048045A"/>
    <w:rsid w:val="004812A6"/>
    <w:rsid w:val="00483122"/>
    <w:rsid w:val="004841B8"/>
    <w:rsid w:val="00486CE3"/>
    <w:rsid w:val="004930F2"/>
    <w:rsid w:val="0049725E"/>
    <w:rsid w:val="004A2988"/>
    <w:rsid w:val="004A6AB5"/>
    <w:rsid w:val="004A6B0F"/>
    <w:rsid w:val="004B0F1C"/>
    <w:rsid w:val="004B7F23"/>
    <w:rsid w:val="004C3921"/>
    <w:rsid w:val="004C4B75"/>
    <w:rsid w:val="004D42A9"/>
    <w:rsid w:val="004E6D67"/>
    <w:rsid w:val="004F0797"/>
    <w:rsid w:val="004F2EE6"/>
    <w:rsid w:val="005003C6"/>
    <w:rsid w:val="00502DBA"/>
    <w:rsid w:val="0050335E"/>
    <w:rsid w:val="005040C4"/>
    <w:rsid w:val="00504600"/>
    <w:rsid w:val="00507637"/>
    <w:rsid w:val="00507852"/>
    <w:rsid w:val="0051113A"/>
    <w:rsid w:val="00513A68"/>
    <w:rsid w:val="00514DBF"/>
    <w:rsid w:val="00515212"/>
    <w:rsid w:val="00517ED8"/>
    <w:rsid w:val="0052361E"/>
    <w:rsid w:val="0052364A"/>
    <w:rsid w:val="00530E58"/>
    <w:rsid w:val="0053406E"/>
    <w:rsid w:val="00536137"/>
    <w:rsid w:val="0054064B"/>
    <w:rsid w:val="00543F56"/>
    <w:rsid w:val="00546A15"/>
    <w:rsid w:val="00550277"/>
    <w:rsid w:val="00550921"/>
    <w:rsid w:val="00552D56"/>
    <w:rsid w:val="005556B0"/>
    <w:rsid w:val="00555B15"/>
    <w:rsid w:val="0055645B"/>
    <w:rsid w:val="00563712"/>
    <w:rsid w:val="005656EF"/>
    <w:rsid w:val="0056596B"/>
    <w:rsid w:val="005672E2"/>
    <w:rsid w:val="00570B17"/>
    <w:rsid w:val="00573631"/>
    <w:rsid w:val="00573C0B"/>
    <w:rsid w:val="005768D7"/>
    <w:rsid w:val="00576CFA"/>
    <w:rsid w:val="0058556D"/>
    <w:rsid w:val="0058731A"/>
    <w:rsid w:val="00591979"/>
    <w:rsid w:val="00592AF2"/>
    <w:rsid w:val="00592B95"/>
    <w:rsid w:val="005943A4"/>
    <w:rsid w:val="005947AD"/>
    <w:rsid w:val="00597748"/>
    <w:rsid w:val="005979E8"/>
    <w:rsid w:val="005A5032"/>
    <w:rsid w:val="005A6812"/>
    <w:rsid w:val="005A687B"/>
    <w:rsid w:val="005B5C16"/>
    <w:rsid w:val="005C101C"/>
    <w:rsid w:val="005C7531"/>
    <w:rsid w:val="005D0AF4"/>
    <w:rsid w:val="005D263C"/>
    <w:rsid w:val="005D533C"/>
    <w:rsid w:val="005D6D92"/>
    <w:rsid w:val="005E54BD"/>
    <w:rsid w:val="005F0E64"/>
    <w:rsid w:val="005F2265"/>
    <w:rsid w:val="005F2D6E"/>
    <w:rsid w:val="005F3549"/>
    <w:rsid w:val="005F6CCA"/>
    <w:rsid w:val="00603BE0"/>
    <w:rsid w:val="006104AF"/>
    <w:rsid w:val="00612D9A"/>
    <w:rsid w:val="00613AA1"/>
    <w:rsid w:val="00614C3E"/>
    <w:rsid w:val="00621893"/>
    <w:rsid w:val="00631013"/>
    <w:rsid w:val="00634E55"/>
    <w:rsid w:val="006351E1"/>
    <w:rsid w:val="006447B1"/>
    <w:rsid w:val="00645B6F"/>
    <w:rsid w:val="00650E55"/>
    <w:rsid w:val="00660299"/>
    <w:rsid w:val="00661C46"/>
    <w:rsid w:val="0066240D"/>
    <w:rsid w:val="00662775"/>
    <w:rsid w:val="00675CCB"/>
    <w:rsid w:val="00676F5F"/>
    <w:rsid w:val="00680939"/>
    <w:rsid w:val="006852FC"/>
    <w:rsid w:val="00695D71"/>
    <w:rsid w:val="00695DA3"/>
    <w:rsid w:val="0069766D"/>
    <w:rsid w:val="006A00F5"/>
    <w:rsid w:val="006A0215"/>
    <w:rsid w:val="006A5BEC"/>
    <w:rsid w:val="006B40AB"/>
    <w:rsid w:val="006B5DC5"/>
    <w:rsid w:val="006C0511"/>
    <w:rsid w:val="006C4BFD"/>
    <w:rsid w:val="006C7D30"/>
    <w:rsid w:val="006D08B8"/>
    <w:rsid w:val="006D3306"/>
    <w:rsid w:val="006E3C08"/>
    <w:rsid w:val="006E6DB7"/>
    <w:rsid w:val="006E76CF"/>
    <w:rsid w:val="006F11B1"/>
    <w:rsid w:val="006F16A9"/>
    <w:rsid w:val="006F1885"/>
    <w:rsid w:val="006F2EAD"/>
    <w:rsid w:val="006F6CC8"/>
    <w:rsid w:val="00700ACF"/>
    <w:rsid w:val="007025E2"/>
    <w:rsid w:val="00702CA6"/>
    <w:rsid w:val="0070713B"/>
    <w:rsid w:val="007109EF"/>
    <w:rsid w:val="00712487"/>
    <w:rsid w:val="0071291D"/>
    <w:rsid w:val="0071333E"/>
    <w:rsid w:val="0072109F"/>
    <w:rsid w:val="0073361C"/>
    <w:rsid w:val="007356E0"/>
    <w:rsid w:val="00736370"/>
    <w:rsid w:val="00736FD9"/>
    <w:rsid w:val="007448A7"/>
    <w:rsid w:val="007530CA"/>
    <w:rsid w:val="00756D68"/>
    <w:rsid w:val="007578D9"/>
    <w:rsid w:val="00757E8A"/>
    <w:rsid w:val="0076177B"/>
    <w:rsid w:val="00762588"/>
    <w:rsid w:val="00762C0C"/>
    <w:rsid w:val="00763E43"/>
    <w:rsid w:val="00764EB5"/>
    <w:rsid w:val="00767866"/>
    <w:rsid w:val="007722D0"/>
    <w:rsid w:val="00773A8F"/>
    <w:rsid w:val="00777904"/>
    <w:rsid w:val="00777A95"/>
    <w:rsid w:val="00782416"/>
    <w:rsid w:val="00786630"/>
    <w:rsid w:val="007876C6"/>
    <w:rsid w:val="00795622"/>
    <w:rsid w:val="00797DF6"/>
    <w:rsid w:val="007B0364"/>
    <w:rsid w:val="007B18BC"/>
    <w:rsid w:val="007B28E0"/>
    <w:rsid w:val="007C0E61"/>
    <w:rsid w:val="007C303B"/>
    <w:rsid w:val="007C3F7E"/>
    <w:rsid w:val="007C5816"/>
    <w:rsid w:val="007C6D76"/>
    <w:rsid w:val="007D0981"/>
    <w:rsid w:val="007D1929"/>
    <w:rsid w:val="007D2821"/>
    <w:rsid w:val="007D38A0"/>
    <w:rsid w:val="007D5F89"/>
    <w:rsid w:val="007D713B"/>
    <w:rsid w:val="007E2BB4"/>
    <w:rsid w:val="007F4A8B"/>
    <w:rsid w:val="007F68BB"/>
    <w:rsid w:val="007F7A1B"/>
    <w:rsid w:val="00803CF1"/>
    <w:rsid w:val="008072D3"/>
    <w:rsid w:val="008104BB"/>
    <w:rsid w:val="00822D99"/>
    <w:rsid w:val="00824043"/>
    <w:rsid w:val="008249C5"/>
    <w:rsid w:val="00824FFD"/>
    <w:rsid w:val="00836CE7"/>
    <w:rsid w:val="008465FB"/>
    <w:rsid w:val="00850C76"/>
    <w:rsid w:val="00852010"/>
    <w:rsid w:val="008526F9"/>
    <w:rsid w:val="0085285E"/>
    <w:rsid w:val="00853023"/>
    <w:rsid w:val="008534D4"/>
    <w:rsid w:val="0085537E"/>
    <w:rsid w:val="00855847"/>
    <w:rsid w:val="00863BEB"/>
    <w:rsid w:val="00866729"/>
    <w:rsid w:val="00880637"/>
    <w:rsid w:val="00881E28"/>
    <w:rsid w:val="00894C4B"/>
    <w:rsid w:val="00897E74"/>
    <w:rsid w:val="00897F69"/>
    <w:rsid w:val="008A0AA5"/>
    <w:rsid w:val="008A12E3"/>
    <w:rsid w:val="008A20A9"/>
    <w:rsid w:val="008A2311"/>
    <w:rsid w:val="008A271A"/>
    <w:rsid w:val="008A42FA"/>
    <w:rsid w:val="008B0AC7"/>
    <w:rsid w:val="008B0B6C"/>
    <w:rsid w:val="008B18C4"/>
    <w:rsid w:val="008C1FB0"/>
    <w:rsid w:val="008C2335"/>
    <w:rsid w:val="008C29C8"/>
    <w:rsid w:val="008C67C1"/>
    <w:rsid w:val="008D1D39"/>
    <w:rsid w:val="008D4AEA"/>
    <w:rsid w:val="008D6BBD"/>
    <w:rsid w:val="008E377C"/>
    <w:rsid w:val="008E7717"/>
    <w:rsid w:val="008E7C65"/>
    <w:rsid w:val="008F07D2"/>
    <w:rsid w:val="008F11A0"/>
    <w:rsid w:val="008F15A1"/>
    <w:rsid w:val="008F5BDC"/>
    <w:rsid w:val="0090173F"/>
    <w:rsid w:val="00905C3E"/>
    <w:rsid w:val="009078C5"/>
    <w:rsid w:val="00912998"/>
    <w:rsid w:val="00913A6A"/>
    <w:rsid w:val="00917851"/>
    <w:rsid w:val="00917F65"/>
    <w:rsid w:val="00922F43"/>
    <w:rsid w:val="0092485E"/>
    <w:rsid w:val="009311E7"/>
    <w:rsid w:val="00932796"/>
    <w:rsid w:val="0093286F"/>
    <w:rsid w:val="00942694"/>
    <w:rsid w:val="00942794"/>
    <w:rsid w:val="00942C18"/>
    <w:rsid w:val="009439B4"/>
    <w:rsid w:val="00945972"/>
    <w:rsid w:val="00946331"/>
    <w:rsid w:val="00946846"/>
    <w:rsid w:val="00951164"/>
    <w:rsid w:val="0095205B"/>
    <w:rsid w:val="00953535"/>
    <w:rsid w:val="00961678"/>
    <w:rsid w:val="009619A3"/>
    <w:rsid w:val="00964048"/>
    <w:rsid w:val="009647D3"/>
    <w:rsid w:val="0096745A"/>
    <w:rsid w:val="00971EF8"/>
    <w:rsid w:val="00973669"/>
    <w:rsid w:val="00976664"/>
    <w:rsid w:val="0097763A"/>
    <w:rsid w:val="009776B1"/>
    <w:rsid w:val="00980CE1"/>
    <w:rsid w:val="009810A0"/>
    <w:rsid w:val="0098223E"/>
    <w:rsid w:val="0098567C"/>
    <w:rsid w:val="00985999"/>
    <w:rsid w:val="00985CD7"/>
    <w:rsid w:val="00994027"/>
    <w:rsid w:val="009959D4"/>
    <w:rsid w:val="00996491"/>
    <w:rsid w:val="00997CE8"/>
    <w:rsid w:val="009A127E"/>
    <w:rsid w:val="009A7E3A"/>
    <w:rsid w:val="009B1265"/>
    <w:rsid w:val="009B4A15"/>
    <w:rsid w:val="009B5693"/>
    <w:rsid w:val="009B5771"/>
    <w:rsid w:val="009B62BC"/>
    <w:rsid w:val="009C120F"/>
    <w:rsid w:val="009C22DB"/>
    <w:rsid w:val="009C61A2"/>
    <w:rsid w:val="009C78E4"/>
    <w:rsid w:val="009C7EF0"/>
    <w:rsid w:val="009D2042"/>
    <w:rsid w:val="009D687E"/>
    <w:rsid w:val="009E0D81"/>
    <w:rsid w:val="009E3974"/>
    <w:rsid w:val="009E5994"/>
    <w:rsid w:val="009F27FA"/>
    <w:rsid w:val="009F439A"/>
    <w:rsid w:val="009F6DE7"/>
    <w:rsid w:val="00A04DFC"/>
    <w:rsid w:val="00A10583"/>
    <w:rsid w:val="00A11CFC"/>
    <w:rsid w:val="00A14ED3"/>
    <w:rsid w:val="00A2013F"/>
    <w:rsid w:val="00A21187"/>
    <w:rsid w:val="00A21B10"/>
    <w:rsid w:val="00A24AF2"/>
    <w:rsid w:val="00A25D1C"/>
    <w:rsid w:val="00A2745C"/>
    <w:rsid w:val="00A32B71"/>
    <w:rsid w:val="00A37FCB"/>
    <w:rsid w:val="00A4220F"/>
    <w:rsid w:val="00A42910"/>
    <w:rsid w:val="00A43A93"/>
    <w:rsid w:val="00A4731F"/>
    <w:rsid w:val="00A54863"/>
    <w:rsid w:val="00A56312"/>
    <w:rsid w:val="00A61D74"/>
    <w:rsid w:val="00A62CEC"/>
    <w:rsid w:val="00A634E6"/>
    <w:rsid w:val="00A671C7"/>
    <w:rsid w:val="00A748DD"/>
    <w:rsid w:val="00A74A94"/>
    <w:rsid w:val="00A85EB3"/>
    <w:rsid w:val="00A8688B"/>
    <w:rsid w:val="00A87486"/>
    <w:rsid w:val="00A91163"/>
    <w:rsid w:val="00A9286F"/>
    <w:rsid w:val="00A96255"/>
    <w:rsid w:val="00AA0DBC"/>
    <w:rsid w:val="00AB083D"/>
    <w:rsid w:val="00AB2652"/>
    <w:rsid w:val="00AB2840"/>
    <w:rsid w:val="00AB285B"/>
    <w:rsid w:val="00AB71AB"/>
    <w:rsid w:val="00AC403C"/>
    <w:rsid w:val="00AD1E35"/>
    <w:rsid w:val="00AD4F68"/>
    <w:rsid w:val="00AE196E"/>
    <w:rsid w:val="00AE2739"/>
    <w:rsid w:val="00AE2FDC"/>
    <w:rsid w:val="00AE4DDF"/>
    <w:rsid w:val="00AE585B"/>
    <w:rsid w:val="00AE6676"/>
    <w:rsid w:val="00AF127B"/>
    <w:rsid w:val="00AF5552"/>
    <w:rsid w:val="00AF5CB4"/>
    <w:rsid w:val="00AF5ED1"/>
    <w:rsid w:val="00AF71D6"/>
    <w:rsid w:val="00B01509"/>
    <w:rsid w:val="00B024BA"/>
    <w:rsid w:val="00B05974"/>
    <w:rsid w:val="00B05A07"/>
    <w:rsid w:val="00B141C7"/>
    <w:rsid w:val="00B149A6"/>
    <w:rsid w:val="00B151E6"/>
    <w:rsid w:val="00B17510"/>
    <w:rsid w:val="00B2160E"/>
    <w:rsid w:val="00B216EE"/>
    <w:rsid w:val="00B253C0"/>
    <w:rsid w:val="00B26847"/>
    <w:rsid w:val="00B3175F"/>
    <w:rsid w:val="00B31E2C"/>
    <w:rsid w:val="00B329B0"/>
    <w:rsid w:val="00B33790"/>
    <w:rsid w:val="00B345A2"/>
    <w:rsid w:val="00B372DD"/>
    <w:rsid w:val="00B402D8"/>
    <w:rsid w:val="00B4237C"/>
    <w:rsid w:val="00B42FE8"/>
    <w:rsid w:val="00B473E0"/>
    <w:rsid w:val="00B514D0"/>
    <w:rsid w:val="00B52AFD"/>
    <w:rsid w:val="00B53D65"/>
    <w:rsid w:val="00B54077"/>
    <w:rsid w:val="00B55A32"/>
    <w:rsid w:val="00B613C1"/>
    <w:rsid w:val="00B64527"/>
    <w:rsid w:val="00B669A3"/>
    <w:rsid w:val="00B80043"/>
    <w:rsid w:val="00B8020B"/>
    <w:rsid w:val="00B8087E"/>
    <w:rsid w:val="00B80995"/>
    <w:rsid w:val="00B8369A"/>
    <w:rsid w:val="00B8398B"/>
    <w:rsid w:val="00B8726E"/>
    <w:rsid w:val="00B87B0A"/>
    <w:rsid w:val="00B92263"/>
    <w:rsid w:val="00B94B12"/>
    <w:rsid w:val="00B97AAB"/>
    <w:rsid w:val="00BA2787"/>
    <w:rsid w:val="00BA433E"/>
    <w:rsid w:val="00BB179E"/>
    <w:rsid w:val="00BB2721"/>
    <w:rsid w:val="00BB3887"/>
    <w:rsid w:val="00BB646E"/>
    <w:rsid w:val="00BC53B0"/>
    <w:rsid w:val="00BC5A4A"/>
    <w:rsid w:val="00BC7D61"/>
    <w:rsid w:val="00BD1BA1"/>
    <w:rsid w:val="00BD502F"/>
    <w:rsid w:val="00BD5FE5"/>
    <w:rsid w:val="00BE2CEC"/>
    <w:rsid w:val="00BE5F59"/>
    <w:rsid w:val="00BE630C"/>
    <w:rsid w:val="00BE77B4"/>
    <w:rsid w:val="00C019E5"/>
    <w:rsid w:val="00C04482"/>
    <w:rsid w:val="00C05E7A"/>
    <w:rsid w:val="00C104A9"/>
    <w:rsid w:val="00C12808"/>
    <w:rsid w:val="00C1682B"/>
    <w:rsid w:val="00C244A2"/>
    <w:rsid w:val="00C26B5C"/>
    <w:rsid w:val="00C30CBE"/>
    <w:rsid w:val="00C317BA"/>
    <w:rsid w:val="00C33129"/>
    <w:rsid w:val="00C35BC4"/>
    <w:rsid w:val="00C35E60"/>
    <w:rsid w:val="00C37C6D"/>
    <w:rsid w:val="00C40A35"/>
    <w:rsid w:val="00C42C4A"/>
    <w:rsid w:val="00C43F5B"/>
    <w:rsid w:val="00C47CBD"/>
    <w:rsid w:val="00C515B9"/>
    <w:rsid w:val="00C57907"/>
    <w:rsid w:val="00C6273E"/>
    <w:rsid w:val="00C63F7D"/>
    <w:rsid w:val="00C64EA3"/>
    <w:rsid w:val="00C702A3"/>
    <w:rsid w:val="00C8036E"/>
    <w:rsid w:val="00C82790"/>
    <w:rsid w:val="00C84CA9"/>
    <w:rsid w:val="00C86285"/>
    <w:rsid w:val="00C86A6A"/>
    <w:rsid w:val="00C875AC"/>
    <w:rsid w:val="00C914BC"/>
    <w:rsid w:val="00C91F80"/>
    <w:rsid w:val="00C96A96"/>
    <w:rsid w:val="00C96D53"/>
    <w:rsid w:val="00CA0D1B"/>
    <w:rsid w:val="00CA2938"/>
    <w:rsid w:val="00CA3AA1"/>
    <w:rsid w:val="00CB4371"/>
    <w:rsid w:val="00CC0646"/>
    <w:rsid w:val="00CC25BC"/>
    <w:rsid w:val="00CC2818"/>
    <w:rsid w:val="00CC4C44"/>
    <w:rsid w:val="00CC516D"/>
    <w:rsid w:val="00CC593B"/>
    <w:rsid w:val="00CD287D"/>
    <w:rsid w:val="00CE3C24"/>
    <w:rsid w:val="00CE5DBA"/>
    <w:rsid w:val="00CE6AA6"/>
    <w:rsid w:val="00CF2C6B"/>
    <w:rsid w:val="00CF7C5C"/>
    <w:rsid w:val="00D0156A"/>
    <w:rsid w:val="00D050FD"/>
    <w:rsid w:val="00D11A48"/>
    <w:rsid w:val="00D211A7"/>
    <w:rsid w:val="00D24330"/>
    <w:rsid w:val="00D2731F"/>
    <w:rsid w:val="00D35867"/>
    <w:rsid w:val="00D37199"/>
    <w:rsid w:val="00D40056"/>
    <w:rsid w:val="00D51E7C"/>
    <w:rsid w:val="00D54706"/>
    <w:rsid w:val="00D54947"/>
    <w:rsid w:val="00D54A48"/>
    <w:rsid w:val="00D54F29"/>
    <w:rsid w:val="00D57626"/>
    <w:rsid w:val="00D6625D"/>
    <w:rsid w:val="00D7020C"/>
    <w:rsid w:val="00D70AD9"/>
    <w:rsid w:val="00D72152"/>
    <w:rsid w:val="00D8252D"/>
    <w:rsid w:val="00D907FA"/>
    <w:rsid w:val="00D94BA5"/>
    <w:rsid w:val="00D9510F"/>
    <w:rsid w:val="00D97EC6"/>
    <w:rsid w:val="00DA615C"/>
    <w:rsid w:val="00DA7865"/>
    <w:rsid w:val="00DB7100"/>
    <w:rsid w:val="00DC21F2"/>
    <w:rsid w:val="00DC748C"/>
    <w:rsid w:val="00DD0941"/>
    <w:rsid w:val="00DD0C87"/>
    <w:rsid w:val="00DD1BC6"/>
    <w:rsid w:val="00DD4210"/>
    <w:rsid w:val="00DD6235"/>
    <w:rsid w:val="00DE18FE"/>
    <w:rsid w:val="00DE5DC3"/>
    <w:rsid w:val="00DF013C"/>
    <w:rsid w:val="00DF056F"/>
    <w:rsid w:val="00DF31D2"/>
    <w:rsid w:val="00E00D8A"/>
    <w:rsid w:val="00E02E7B"/>
    <w:rsid w:val="00E04E24"/>
    <w:rsid w:val="00E07DB2"/>
    <w:rsid w:val="00E1050F"/>
    <w:rsid w:val="00E115C7"/>
    <w:rsid w:val="00E11604"/>
    <w:rsid w:val="00E11870"/>
    <w:rsid w:val="00E11D92"/>
    <w:rsid w:val="00E130A0"/>
    <w:rsid w:val="00E13111"/>
    <w:rsid w:val="00E210C4"/>
    <w:rsid w:val="00E23DB7"/>
    <w:rsid w:val="00E264AE"/>
    <w:rsid w:val="00E30F30"/>
    <w:rsid w:val="00E35EB1"/>
    <w:rsid w:val="00E36869"/>
    <w:rsid w:val="00E41331"/>
    <w:rsid w:val="00E46D96"/>
    <w:rsid w:val="00E527E5"/>
    <w:rsid w:val="00E52CCA"/>
    <w:rsid w:val="00E53D2E"/>
    <w:rsid w:val="00E62DFD"/>
    <w:rsid w:val="00E66409"/>
    <w:rsid w:val="00E81D5B"/>
    <w:rsid w:val="00E83C26"/>
    <w:rsid w:val="00E84C40"/>
    <w:rsid w:val="00E952F1"/>
    <w:rsid w:val="00E95BC9"/>
    <w:rsid w:val="00E976B9"/>
    <w:rsid w:val="00E97D04"/>
    <w:rsid w:val="00EA05D3"/>
    <w:rsid w:val="00EA2494"/>
    <w:rsid w:val="00EA3E13"/>
    <w:rsid w:val="00EB19AD"/>
    <w:rsid w:val="00EB2BEE"/>
    <w:rsid w:val="00EB2F31"/>
    <w:rsid w:val="00EB6493"/>
    <w:rsid w:val="00EB6563"/>
    <w:rsid w:val="00EB69A8"/>
    <w:rsid w:val="00EC0EA8"/>
    <w:rsid w:val="00EC2915"/>
    <w:rsid w:val="00EC3D27"/>
    <w:rsid w:val="00EC7F2E"/>
    <w:rsid w:val="00ED05A9"/>
    <w:rsid w:val="00ED1BA0"/>
    <w:rsid w:val="00ED7AE9"/>
    <w:rsid w:val="00ED7CC0"/>
    <w:rsid w:val="00EE12DB"/>
    <w:rsid w:val="00EE3312"/>
    <w:rsid w:val="00EE3F9D"/>
    <w:rsid w:val="00EF4DC3"/>
    <w:rsid w:val="00EF5983"/>
    <w:rsid w:val="00F035EF"/>
    <w:rsid w:val="00F1551D"/>
    <w:rsid w:val="00F1583F"/>
    <w:rsid w:val="00F17257"/>
    <w:rsid w:val="00F2003A"/>
    <w:rsid w:val="00F31C7C"/>
    <w:rsid w:val="00F31FC4"/>
    <w:rsid w:val="00F334D9"/>
    <w:rsid w:val="00F34C11"/>
    <w:rsid w:val="00F34D24"/>
    <w:rsid w:val="00F4064C"/>
    <w:rsid w:val="00F4130B"/>
    <w:rsid w:val="00F44B88"/>
    <w:rsid w:val="00F53184"/>
    <w:rsid w:val="00F556A2"/>
    <w:rsid w:val="00F57BE7"/>
    <w:rsid w:val="00F63C41"/>
    <w:rsid w:val="00F70876"/>
    <w:rsid w:val="00F719A8"/>
    <w:rsid w:val="00F73458"/>
    <w:rsid w:val="00F8334C"/>
    <w:rsid w:val="00F86902"/>
    <w:rsid w:val="00F878B9"/>
    <w:rsid w:val="00F9040C"/>
    <w:rsid w:val="00F9379B"/>
    <w:rsid w:val="00F95458"/>
    <w:rsid w:val="00FA0A4E"/>
    <w:rsid w:val="00FA29EB"/>
    <w:rsid w:val="00FA32BB"/>
    <w:rsid w:val="00FA42A8"/>
    <w:rsid w:val="00FA75CB"/>
    <w:rsid w:val="00FB20F5"/>
    <w:rsid w:val="00FB24E8"/>
    <w:rsid w:val="00FB2FA8"/>
    <w:rsid w:val="00FB3B2B"/>
    <w:rsid w:val="00FB5D2F"/>
    <w:rsid w:val="00FB77BF"/>
    <w:rsid w:val="00FC18DA"/>
    <w:rsid w:val="00FC3917"/>
    <w:rsid w:val="00FC7684"/>
    <w:rsid w:val="00FD1189"/>
    <w:rsid w:val="00FD18A6"/>
    <w:rsid w:val="00FD3A2C"/>
    <w:rsid w:val="00FD601A"/>
    <w:rsid w:val="00FD60DA"/>
    <w:rsid w:val="00FD6DC1"/>
    <w:rsid w:val="00FE0ACB"/>
    <w:rsid w:val="00FF07B4"/>
    <w:rsid w:val="00FF33BA"/>
    <w:rsid w:val="00FF3521"/>
    <w:rsid w:val="00FF427B"/>
    <w:rsid w:val="00FF5807"/>
    <w:rsid w:val="079274F7"/>
    <w:rsid w:val="1FC32EFF"/>
    <w:rsid w:val="2B2D0E87"/>
    <w:rsid w:val="3208B904"/>
    <w:rsid w:val="6ADEAB2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B55A32"/>
    <w:pPr>
      <w:spacing w:after="0" w:line="240" w:lineRule="auto"/>
    </w:pPr>
    <w:rPr>
      <w:rFonts w:ascii="Calibri" w:eastAsia="SimSun" w:hAnsi="Calibri" w:cs="Arial"/>
      <w:sz w:val="20"/>
      <w:szCs w:val="20"/>
    </w:rPr>
  </w:style>
  <w:style w:type="character" w:customStyle="1" w:styleId="FootnoteTextChar">
    <w:name w:val="Footnote Text Char"/>
    <w:basedOn w:val="DefaultParagraphFont"/>
    <w:link w:val="FootnoteText"/>
    <w:uiPriority w:val="99"/>
    <w:semiHidden/>
    <w:rsid w:val="00B55A32"/>
    <w:rPr>
      <w:rFonts w:ascii="Calibri" w:eastAsia="SimSun" w:hAnsi="Calibri" w:cs="Arial"/>
      <w:sz w:val="20"/>
      <w:szCs w:val="20"/>
    </w:rPr>
  </w:style>
  <w:style w:type="character" w:styleId="FootnoteReference">
    <w:name w:val="footnote reference"/>
    <w:basedOn w:val="DefaultParagraphFont"/>
    <w:uiPriority w:val="99"/>
    <w:semiHidden/>
    <w:unhideWhenUsed/>
    <w:rsid w:val="00B55A32"/>
    <w:rPr>
      <w:vertAlign w:val="superscript"/>
    </w:rPr>
  </w:style>
  <w:style w:type="character" w:styleId="Strong">
    <w:name w:val="Strong"/>
    <w:basedOn w:val="DefaultParagraphFont"/>
    <w:uiPriority w:val="22"/>
    <w:qFormat/>
    <w:rsid w:val="000D03BD"/>
    <w:rPr>
      <w:b/>
      <w:bCs/>
    </w:rPr>
  </w:style>
  <w:style w:type="paragraph" w:styleId="Revision">
    <w:name w:val="Revision"/>
    <w:hidden/>
    <w:uiPriority w:val="99"/>
    <w:semiHidden/>
    <w:rsid w:val="00C244A2"/>
    <w:pPr>
      <w:spacing w:after="0" w:line="240" w:lineRule="auto"/>
    </w:pPr>
  </w:style>
  <w:style w:type="character" w:styleId="FollowedHyperlink">
    <w:name w:val="FollowedHyperlink"/>
    <w:basedOn w:val="DefaultParagraphFont"/>
    <w:uiPriority w:val="99"/>
    <w:semiHidden/>
    <w:unhideWhenUsed/>
    <w:rsid w:val="00D825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9335">
      <w:bodyDiv w:val="1"/>
      <w:marLeft w:val="0"/>
      <w:marRight w:val="0"/>
      <w:marTop w:val="0"/>
      <w:marBottom w:val="0"/>
      <w:divBdr>
        <w:top w:val="none" w:sz="0" w:space="0" w:color="auto"/>
        <w:left w:val="none" w:sz="0" w:space="0" w:color="auto"/>
        <w:bottom w:val="none" w:sz="0" w:space="0" w:color="auto"/>
        <w:right w:val="none" w:sz="0" w:space="0" w:color="auto"/>
      </w:divBdr>
    </w:div>
    <w:div w:id="312948279">
      <w:bodyDiv w:val="1"/>
      <w:marLeft w:val="0"/>
      <w:marRight w:val="0"/>
      <w:marTop w:val="0"/>
      <w:marBottom w:val="0"/>
      <w:divBdr>
        <w:top w:val="none" w:sz="0" w:space="0" w:color="auto"/>
        <w:left w:val="none" w:sz="0" w:space="0" w:color="auto"/>
        <w:bottom w:val="none" w:sz="0" w:space="0" w:color="auto"/>
        <w:right w:val="none" w:sz="0" w:space="0" w:color="auto"/>
      </w:divBdr>
    </w:div>
    <w:div w:id="337194900">
      <w:bodyDiv w:val="1"/>
      <w:marLeft w:val="0"/>
      <w:marRight w:val="0"/>
      <w:marTop w:val="0"/>
      <w:marBottom w:val="0"/>
      <w:divBdr>
        <w:top w:val="none" w:sz="0" w:space="0" w:color="auto"/>
        <w:left w:val="none" w:sz="0" w:space="0" w:color="auto"/>
        <w:bottom w:val="none" w:sz="0" w:space="0" w:color="auto"/>
        <w:right w:val="none" w:sz="0" w:space="0" w:color="auto"/>
      </w:divBdr>
    </w:div>
    <w:div w:id="502596470">
      <w:bodyDiv w:val="1"/>
      <w:marLeft w:val="0"/>
      <w:marRight w:val="0"/>
      <w:marTop w:val="0"/>
      <w:marBottom w:val="0"/>
      <w:divBdr>
        <w:top w:val="none" w:sz="0" w:space="0" w:color="auto"/>
        <w:left w:val="none" w:sz="0" w:space="0" w:color="auto"/>
        <w:bottom w:val="none" w:sz="0" w:space="0" w:color="auto"/>
        <w:right w:val="none" w:sz="0" w:space="0" w:color="auto"/>
      </w:divBdr>
    </w:div>
    <w:div w:id="524171103">
      <w:bodyDiv w:val="1"/>
      <w:marLeft w:val="0"/>
      <w:marRight w:val="0"/>
      <w:marTop w:val="0"/>
      <w:marBottom w:val="0"/>
      <w:divBdr>
        <w:top w:val="none" w:sz="0" w:space="0" w:color="auto"/>
        <w:left w:val="none" w:sz="0" w:space="0" w:color="auto"/>
        <w:bottom w:val="none" w:sz="0" w:space="0" w:color="auto"/>
        <w:right w:val="none" w:sz="0" w:space="0" w:color="auto"/>
      </w:divBdr>
    </w:div>
    <w:div w:id="573009254">
      <w:bodyDiv w:val="1"/>
      <w:marLeft w:val="0"/>
      <w:marRight w:val="0"/>
      <w:marTop w:val="0"/>
      <w:marBottom w:val="0"/>
      <w:divBdr>
        <w:top w:val="none" w:sz="0" w:space="0" w:color="auto"/>
        <w:left w:val="none" w:sz="0" w:space="0" w:color="auto"/>
        <w:bottom w:val="none" w:sz="0" w:space="0" w:color="auto"/>
        <w:right w:val="none" w:sz="0" w:space="0" w:color="auto"/>
      </w:divBdr>
    </w:div>
    <w:div w:id="676155699">
      <w:bodyDiv w:val="1"/>
      <w:marLeft w:val="0"/>
      <w:marRight w:val="0"/>
      <w:marTop w:val="0"/>
      <w:marBottom w:val="0"/>
      <w:divBdr>
        <w:top w:val="none" w:sz="0" w:space="0" w:color="auto"/>
        <w:left w:val="none" w:sz="0" w:space="0" w:color="auto"/>
        <w:bottom w:val="none" w:sz="0" w:space="0" w:color="auto"/>
        <w:right w:val="none" w:sz="0" w:space="0" w:color="auto"/>
      </w:divBdr>
    </w:div>
    <w:div w:id="810902238">
      <w:bodyDiv w:val="1"/>
      <w:marLeft w:val="0"/>
      <w:marRight w:val="0"/>
      <w:marTop w:val="0"/>
      <w:marBottom w:val="0"/>
      <w:divBdr>
        <w:top w:val="none" w:sz="0" w:space="0" w:color="auto"/>
        <w:left w:val="none" w:sz="0" w:space="0" w:color="auto"/>
        <w:bottom w:val="none" w:sz="0" w:space="0" w:color="auto"/>
        <w:right w:val="none" w:sz="0" w:space="0" w:color="auto"/>
      </w:divBdr>
    </w:div>
    <w:div w:id="100783277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328169766">
      <w:bodyDiv w:val="1"/>
      <w:marLeft w:val="0"/>
      <w:marRight w:val="0"/>
      <w:marTop w:val="0"/>
      <w:marBottom w:val="0"/>
      <w:divBdr>
        <w:top w:val="none" w:sz="0" w:space="0" w:color="auto"/>
        <w:left w:val="none" w:sz="0" w:space="0" w:color="auto"/>
        <w:bottom w:val="none" w:sz="0" w:space="0" w:color="auto"/>
        <w:right w:val="none" w:sz="0" w:space="0" w:color="auto"/>
      </w:divBdr>
    </w:div>
    <w:div w:id="1338927533">
      <w:bodyDiv w:val="1"/>
      <w:marLeft w:val="0"/>
      <w:marRight w:val="0"/>
      <w:marTop w:val="0"/>
      <w:marBottom w:val="0"/>
      <w:divBdr>
        <w:top w:val="none" w:sz="0" w:space="0" w:color="auto"/>
        <w:left w:val="none" w:sz="0" w:space="0" w:color="auto"/>
        <w:bottom w:val="none" w:sz="0" w:space="0" w:color="auto"/>
        <w:right w:val="none" w:sz="0" w:space="0" w:color="auto"/>
      </w:divBdr>
    </w:div>
    <w:div w:id="1447042248">
      <w:bodyDiv w:val="1"/>
      <w:marLeft w:val="0"/>
      <w:marRight w:val="0"/>
      <w:marTop w:val="0"/>
      <w:marBottom w:val="0"/>
      <w:divBdr>
        <w:top w:val="none" w:sz="0" w:space="0" w:color="auto"/>
        <w:left w:val="none" w:sz="0" w:space="0" w:color="auto"/>
        <w:bottom w:val="none" w:sz="0" w:space="0" w:color="auto"/>
        <w:right w:val="none" w:sz="0" w:space="0" w:color="auto"/>
      </w:divBdr>
    </w:div>
    <w:div w:id="1548369257">
      <w:bodyDiv w:val="1"/>
      <w:marLeft w:val="0"/>
      <w:marRight w:val="0"/>
      <w:marTop w:val="0"/>
      <w:marBottom w:val="0"/>
      <w:divBdr>
        <w:top w:val="none" w:sz="0" w:space="0" w:color="auto"/>
        <w:left w:val="none" w:sz="0" w:space="0" w:color="auto"/>
        <w:bottom w:val="none" w:sz="0" w:space="0" w:color="auto"/>
        <w:right w:val="none" w:sz="0" w:space="0" w:color="auto"/>
      </w:divBdr>
    </w:div>
    <w:div w:id="196747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class/revisions/coicop_revision.asp" TargetMode="External"/><Relationship Id="rId18" Type="http://schemas.openxmlformats.org/officeDocument/2006/relationships/hyperlink" Target="https://apps.who.int/nha/databas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datatopics.worldbank.org/universal-health-coverage/" TargetMode="External"/><Relationship Id="rId7" Type="http://schemas.openxmlformats.org/officeDocument/2006/relationships/settings" Target="settings.xml"/><Relationship Id="rId12" Type="http://schemas.openxmlformats.org/officeDocument/2006/relationships/hyperlink" Target="http://www.oecd-ilibrary.org/social-issues-migration-health/a-system-of-health-accounts/classification-of-health-care-financing-schemes-icha-hf_9789264116016-9-en" TargetMode="External"/><Relationship Id="rId17" Type="http://schemas.openxmlformats.org/officeDocument/2006/relationships/hyperlink" Target="mailto:uhc_stats@who.int"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who.int/data/gho/indicator-metadata-registry/imr-details/4844" TargetMode="External"/><Relationship Id="rId20" Type="http://schemas.openxmlformats.org/officeDocument/2006/relationships/hyperlink" Target="https://datatopics.worldbank.org/universal-health-cover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ho.int/health-accounts/methodology/en/" TargetMode="External"/><Relationship Id="rId24" Type="http://schemas.openxmlformats.org/officeDocument/2006/relationships/hyperlink" Target="http://www.worldbank.org/en/topic/health/publication/analyzing-health-equity-using-household-survey-data" TargetMode="External"/><Relationship Id="rId5" Type="http://schemas.openxmlformats.org/officeDocument/2006/relationships/numbering" Target="numbering.xml"/><Relationship Id="rId15" Type="http://schemas.openxmlformats.org/officeDocument/2006/relationships/hyperlink" Target="https://cdn.who.int/media/docs/default-source/health-financing/sustainable-health-financing-universal-coverage-and-social-health-insurance.pdf?sfvrsn=f8358323_3" TargetMode="External"/><Relationship Id="rId23" Type="http://schemas.openxmlformats.org/officeDocument/2006/relationships/hyperlink" Target="http://dx.doi.org/10.1016/S2214-109X(17)30429-1"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who.int/data/gho/data/themes/topics/financial-prote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class/revisions/coicop_revision.asp" TargetMode="External"/><Relationship Id="rId22" Type="http://schemas.openxmlformats.org/officeDocument/2006/relationships/hyperlink" Target="https://www.who.int/teams/health-systems-governance-and-financing/global-monitoring-report"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www.euro.who.int/en/health-topics/Health-systems/health-systems-financing/publications/clusters/universal-health-coverage-financial-protection" TargetMode="External"/><Relationship Id="rId13" Type="http://schemas.openxmlformats.org/officeDocument/2006/relationships/hyperlink" Target="https://datacatalog.worldbank.org/dataset/world-development-indicators" TargetMode="External"/><Relationship Id="rId3" Type="http://schemas.openxmlformats.org/officeDocument/2006/relationships/hyperlink" Target="http://unstats.un.org/unsd/cr/registry/regcs.asp?Cl=5&amp;Lg=1&amp;Co=06.1" TargetMode="External"/><Relationship Id="rId7" Type="http://schemas.openxmlformats.org/officeDocument/2006/relationships/hyperlink" Target="http://www.who.int/healthinfo/indicators/2015/en/" TargetMode="External"/><Relationship Id="rId12" Type="http://schemas.openxmlformats.org/officeDocument/2006/relationships/hyperlink" Target="https://pip.worldbank.org/home" TargetMode="External"/><Relationship Id="rId2" Type="http://schemas.openxmlformats.org/officeDocument/2006/relationships/hyperlink" Target="https://unstats.un.org/unsd/statcom/49th-session/documents/" TargetMode="External"/><Relationship Id="rId1" Type="http://schemas.openxmlformats.org/officeDocument/2006/relationships/hyperlink" Target="http://www.oecd-ilibrary.org/social-issues-migration-health/a-system-of-health-accounts/classification-of-health-care-financing-schemes-icha-hf_9789264116016-9-en" TargetMode="External"/><Relationship Id="rId6" Type="http://schemas.openxmlformats.org/officeDocument/2006/relationships/hyperlink" Target="http://unstats.un.org/sdgs/metadata/files/Metadata-01-01-01a.pdf" TargetMode="External"/><Relationship Id="rId11" Type="http://schemas.openxmlformats.org/officeDocument/2006/relationships/hyperlink" Target="http://www.paho.org/hq/index.php?option=com_content&amp;view=article&amp;id=11065%3A2015-universal-health-coverage-latin-america-caribbean&amp;catid=3316%3Apublications&amp;Itemid=3562&amp;lang=en" TargetMode="External"/><Relationship Id="rId5" Type="http://schemas.openxmlformats.org/officeDocument/2006/relationships/hyperlink" Target="http://unstats.un.org/sdgs/metadata/files/Metadata-01-01-01a.pdf" TargetMode="External"/><Relationship Id="rId10" Type="http://schemas.openxmlformats.org/officeDocument/2006/relationships/hyperlink" Target="http://apps.searo.who.int/uhc" TargetMode="External"/><Relationship Id="rId4" Type="http://schemas.openxmlformats.org/officeDocument/2006/relationships/hyperlink" Target="http://www.ilo.org/public/english/bureau/stat/download/17thicls/r2hies.pdf" TargetMode="External"/><Relationship Id="rId9" Type="http://schemas.openxmlformats.org/officeDocument/2006/relationships/hyperlink" Target="http://applications.emro.who.int/dsaf/EMROPUB_2016_EN_19169.pdf?ua=1" TargetMode="External"/><Relationship Id="rId14" Type="http://schemas.openxmlformats.org/officeDocument/2006/relationships/hyperlink" Target="https://apps.who.int/nha/databas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F170A52-9BB5-4091-AA84-532E23786947}"/>
      </w:docPartPr>
      <w:docPartBody>
        <w:p w:rsidR="008C6E14" w:rsidRDefault="001B5A1C">
          <w:r w:rsidRPr="00D1754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T15Ct00">
    <w:altName w:val="MS Mincho"/>
    <w:panose1 w:val="00000000000000000000"/>
    <w:charset w:val="80"/>
    <w:family w:val="auto"/>
    <w:notTrueType/>
    <w:pitch w:val="default"/>
    <w:sig w:usb0="00000001" w:usb1="08070000" w:usb2="00000010" w:usb3="00000000" w:csb0="00020000" w:csb1="00000000"/>
  </w:font>
  <w:font w:name="DINPro">
    <w:altName w:val="Yu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1C"/>
    <w:rsid w:val="0006186A"/>
    <w:rsid w:val="000C6B7C"/>
    <w:rsid w:val="00153C92"/>
    <w:rsid w:val="001B5A1C"/>
    <w:rsid w:val="004D64BC"/>
    <w:rsid w:val="005D7135"/>
    <w:rsid w:val="00684DEB"/>
    <w:rsid w:val="008C6E14"/>
    <w:rsid w:val="008F719B"/>
    <w:rsid w:val="00C26503"/>
    <w:rsid w:val="00F26D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5A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1B58CA2382DD46BB50CCA2174312FD" ma:contentTypeVersion="14" ma:contentTypeDescription="Create a new document." ma:contentTypeScope="" ma:versionID="078008f266bd36561a87dbf49e8c5c21">
  <xsd:schema xmlns:xsd="http://www.w3.org/2001/XMLSchema" xmlns:xs="http://www.w3.org/2001/XMLSchema" xmlns:p="http://schemas.microsoft.com/office/2006/metadata/properties" xmlns:ns2="bf6ea8c3-33a6-4b9a-8e0d-11e589774e75" xmlns:ns3="8af6c4d7-24bf-40cc-9d89-15f689e2cd83" targetNamespace="http://schemas.microsoft.com/office/2006/metadata/properties" ma:root="true" ma:fieldsID="d60be966a7e7c97f0155e00ccf65081b" ns2:_="" ns3:_="">
    <xsd:import namespace="bf6ea8c3-33a6-4b9a-8e0d-11e589774e75"/>
    <xsd:import namespace="8af6c4d7-24bf-40cc-9d89-15f689e2cd8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6ea8c3-33a6-4b9a-8e0d-11e589774e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f857c6f6-de38-40a2-b765-a144f949f168}" ma:internalName="TaxCatchAll" ma:showField="CatchAllData" ma:web="bf6ea8c3-33a6-4b9a-8e0d-11e589774e7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f6c4d7-24bf-40cc-9d89-15f689e2cd8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f6ea8c3-33a6-4b9a-8e0d-11e589774e75" xsi:nil="true"/>
    <lcf76f155ced4ddcb4097134ff3c332f xmlns="8af6c4d7-24bf-40cc-9d89-15f689e2cd8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8B95C2D6-0FEE-4C81-BB0F-DDE22F3D7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6ea8c3-33a6-4b9a-8e0d-11e589774e75"/>
    <ds:schemaRef ds:uri="8af6c4d7-24bf-40cc-9d89-15f689e2cd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bf6ea8c3-33a6-4b9a-8e0d-11e589774e75"/>
    <ds:schemaRef ds:uri="8af6c4d7-24bf-40cc-9d89-15f689e2cd83"/>
  </ds:schemaRefs>
</ds:datastoreItem>
</file>

<file path=customXml/itemProps4.xml><?xml version="1.0" encoding="utf-8"?>
<ds:datastoreItem xmlns:ds="http://schemas.openxmlformats.org/officeDocument/2006/customXml" ds:itemID="{179B6D07-C9C7-46C0-BC2D-4D255CF67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5669</Words>
  <Characters>32315</Characters>
  <Application>Microsoft Office Word</Application>
  <DocSecurity>0</DocSecurity>
  <Lines>269</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United Nations</Company>
  <LinksUpToDate>false</LinksUpToDate>
  <CharactersWithSpaces>37909</CharactersWithSpaces>
  <SharedDoc>false</SharedDoc>
  <HLinks>
    <vt:vector size="192" baseType="variant">
      <vt:variant>
        <vt:i4>5242949</vt:i4>
      </vt:variant>
      <vt:variant>
        <vt:i4>45</vt:i4>
      </vt:variant>
      <vt:variant>
        <vt:i4>0</vt:i4>
      </vt:variant>
      <vt:variant>
        <vt:i4>5</vt:i4>
      </vt:variant>
      <vt:variant>
        <vt:lpwstr>http://www.worldbank.org/en/topic/health/publication/analyzing-health-equity-using-household-survey-data</vt:lpwstr>
      </vt:variant>
      <vt:variant>
        <vt:lpwstr/>
      </vt:variant>
      <vt:variant>
        <vt:i4>3342385</vt:i4>
      </vt:variant>
      <vt:variant>
        <vt:i4>42</vt:i4>
      </vt:variant>
      <vt:variant>
        <vt:i4>0</vt:i4>
      </vt:variant>
      <vt:variant>
        <vt:i4>5</vt:i4>
      </vt:variant>
      <vt:variant>
        <vt:lpwstr>http://dx.doi.org/10.1016/S2214-109X(17)30429-1</vt:lpwstr>
      </vt:variant>
      <vt:variant>
        <vt:lpwstr/>
      </vt:variant>
      <vt:variant>
        <vt:i4>6291567</vt:i4>
      </vt:variant>
      <vt:variant>
        <vt:i4>39</vt:i4>
      </vt:variant>
      <vt:variant>
        <vt:i4>0</vt:i4>
      </vt:variant>
      <vt:variant>
        <vt:i4>5</vt:i4>
      </vt:variant>
      <vt:variant>
        <vt:lpwstr>https://www.who.int/teams/health-systems-governance-and-financing/global-monitoring-report</vt:lpwstr>
      </vt:variant>
      <vt:variant>
        <vt:lpwstr/>
      </vt:variant>
      <vt:variant>
        <vt:i4>6684711</vt:i4>
      </vt:variant>
      <vt:variant>
        <vt:i4>36</vt:i4>
      </vt:variant>
      <vt:variant>
        <vt:i4>0</vt:i4>
      </vt:variant>
      <vt:variant>
        <vt:i4>5</vt:i4>
      </vt:variant>
      <vt:variant>
        <vt:lpwstr>http://datatopics.worldbank.org/universal-health-coverage/</vt:lpwstr>
      </vt:variant>
      <vt:variant>
        <vt:lpwstr/>
      </vt:variant>
      <vt:variant>
        <vt:i4>4128802</vt:i4>
      </vt:variant>
      <vt:variant>
        <vt:i4>33</vt:i4>
      </vt:variant>
      <vt:variant>
        <vt:i4>0</vt:i4>
      </vt:variant>
      <vt:variant>
        <vt:i4>5</vt:i4>
      </vt:variant>
      <vt:variant>
        <vt:lpwstr>https://datatopics.worldbank.org/universal-health-coverage/</vt:lpwstr>
      </vt:variant>
      <vt:variant>
        <vt:lpwstr/>
      </vt:variant>
      <vt:variant>
        <vt:i4>196625</vt:i4>
      </vt:variant>
      <vt:variant>
        <vt:i4>30</vt:i4>
      </vt:variant>
      <vt:variant>
        <vt:i4>0</vt:i4>
      </vt:variant>
      <vt:variant>
        <vt:i4>5</vt:i4>
      </vt:variant>
      <vt:variant>
        <vt:lpwstr>https://www.who.int/data/gho/data/themes/topics/financial-protection</vt:lpwstr>
      </vt:variant>
      <vt:variant>
        <vt:lpwstr/>
      </vt:variant>
      <vt:variant>
        <vt:i4>1638494</vt:i4>
      </vt:variant>
      <vt:variant>
        <vt:i4>27</vt:i4>
      </vt:variant>
      <vt:variant>
        <vt:i4>0</vt:i4>
      </vt:variant>
      <vt:variant>
        <vt:i4>5</vt:i4>
      </vt:variant>
      <vt:variant>
        <vt:lpwstr>https://apps.who.int/nha/database</vt:lpwstr>
      </vt:variant>
      <vt:variant>
        <vt:lpwstr/>
      </vt:variant>
      <vt:variant>
        <vt:i4>1048597</vt:i4>
      </vt:variant>
      <vt:variant>
        <vt:i4>24</vt:i4>
      </vt:variant>
      <vt:variant>
        <vt:i4>0</vt:i4>
      </vt:variant>
      <vt:variant>
        <vt:i4>5</vt:i4>
      </vt:variant>
      <vt:variant>
        <vt:lpwstr>mailto:uhc_stats@who.int</vt:lpwstr>
      </vt:variant>
      <vt:variant>
        <vt:lpwstr/>
      </vt:variant>
      <vt:variant>
        <vt:i4>1769497</vt:i4>
      </vt:variant>
      <vt:variant>
        <vt:i4>21</vt:i4>
      </vt:variant>
      <vt:variant>
        <vt:i4>0</vt:i4>
      </vt:variant>
      <vt:variant>
        <vt:i4>5</vt:i4>
      </vt:variant>
      <vt:variant>
        <vt:lpwstr>https://www.who.int/data/gho/indicator-metadata-registry/imr-details/4844</vt:lpwstr>
      </vt:variant>
      <vt:variant>
        <vt:lpwstr/>
      </vt:variant>
      <vt:variant>
        <vt:i4>4390954</vt:i4>
      </vt:variant>
      <vt:variant>
        <vt:i4>18</vt:i4>
      </vt:variant>
      <vt:variant>
        <vt:i4>0</vt:i4>
      </vt:variant>
      <vt:variant>
        <vt:i4>5</vt:i4>
      </vt:variant>
      <vt:variant>
        <vt:lpwstr>https://cdn.who.int/media/docs/default-source/health-financing/sustainable-health-financing-universal-coverage-and-social-health-insurance.pdf?sfvrsn=f8358323_3</vt:lpwstr>
      </vt:variant>
      <vt:variant>
        <vt:lpwstr/>
      </vt:variant>
      <vt:variant>
        <vt:i4>8257652</vt:i4>
      </vt:variant>
      <vt:variant>
        <vt:i4>15</vt:i4>
      </vt:variant>
      <vt:variant>
        <vt:i4>0</vt:i4>
      </vt:variant>
      <vt:variant>
        <vt:i4>5</vt:i4>
      </vt:variant>
      <vt:variant>
        <vt:lpwstr>http://unstats.un.org/unsd/cr/registry/regcs.asp?Cl=5&amp;Lg=1&amp;Co=06.1</vt:lpwstr>
      </vt:variant>
      <vt:variant>
        <vt:lpwstr/>
      </vt:variant>
      <vt:variant>
        <vt:i4>3342354</vt:i4>
      </vt:variant>
      <vt:variant>
        <vt:i4>12</vt:i4>
      </vt:variant>
      <vt:variant>
        <vt:i4>0</vt:i4>
      </vt:variant>
      <vt:variant>
        <vt:i4>5</vt:i4>
      </vt:variant>
      <vt:variant>
        <vt:lpwstr>https://unstats.un.org/unsd/class/revisions/coicop_revision.asp</vt:lpwstr>
      </vt:variant>
      <vt:variant>
        <vt:lpwstr/>
      </vt:variant>
      <vt:variant>
        <vt:i4>8257652</vt:i4>
      </vt:variant>
      <vt:variant>
        <vt:i4>9</vt:i4>
      </vt:variant>
      <vt:variant>
        <vt:i4>0</vt:i4>
      </vt:variant>
      <vt:variant>
        <vt:i4>5</vt:i4>
      </vt:variant>
      <vt:variant>
        <vt:lpwstr>http://unstats.un.org/unsd/cr/registry/regcs.asp?Cl=5&amp;Lg=1&amp;Co=06.1</vt:lpwstr>
      </vt:variant>
      <vt:variant>
        <vt:lpwstr/>
      </vt:variant>
      <vt:variant>
        <vt:i4>3342354</vt:i4>
      </vt:variant>
      <vt:variant>
        <vt:i4>6</vt:i4>
      </vt:variant>
      <vt:variant>
        <vt:i4>0</vt:i4>
      </vt:variant>
      <vt:variant>
        <vt:i4>5</vt:i4>
      </vt:variant>
      <vt:variant>
        <vt:lpwstr>https://unstats.un.org/unsd/class/revisions/coicop_revision.asp</vt:lpwstr>
      </vt:variant>
      <vt:variant>
        <vt:lpwstr/>
      </vt:variant>
      <vt:variant>
        <vt:i4>1310819</vt:i4>
      </vt:variant>
      <vt:variant>
        <vt:i4>3</vt:i4>
      </vt:variant>
      <vt:variant>
        <vt:i4>0</vt:i4>
      </vt:variant>
      <vt:variant>
        <vt:i4>5</vt:i4>
      </vt:variant>
      <vt:variant>
        <vt:lpwstr>http://www.oecd-ilibrary.org/social-issues-migration-health/a-system-of-health-accounts/classification-of-health-care-financing-schemes-icha-hf_9789264116016-9-en</vt:lpwstr>
      </vt:variant>
      <vt:variant>
        <vt:lpwstr/>
      </vt:variant>
      <vt:variant>
        <vt:i4>2752569</vt:i4>
      </vt:variant>
      <vt:variant>
        <vt:i4>0</vt:i4>
      </vt:variant>
      <vt:variant>
        <vt:i4>0</vt:i4>
      </vt:variant>
      <vt:variant>
        <vt:i4>5</vt:i4>
      </vt:variant>
      <vt:variant>
        <vt:lpwstr>http://www.who.int/health-accounts/methodology/en/</vt:lpwstr>
      </vt:variant>
      <vt:variant>
        <vt:lpwstr/>
      </vt:variant>
      <vt:variant>
        <vt:i4>1638494</vt:i4>
      </vt:variant>
      <vt:variant>
        <vt:i4>42</vt:i4>
      </vt:variant>
      <vt:variant>
        <vt:i4>0</vt:i4>
      </vt:variant>
      <vt:variant>
        <vt:i4>5</vt:i4>
      </vt:variant>
      <vt:variant>
        <vt:lpwstr>https://apps.who.int/nha/database</vt:lpwstr>
      </vt:variant>
      <vt:variant>
        <vt:lpwstr/>
      </vt:variant>
      <vt:variant>
        <vt:i4>7536686</vt:i4>
      </vt:variant>
      <vt:variant>
        <vt:i4>39</vt:i4>
      </vt:variant>
      <vt:variant>
        <vt:i4>0</vt:i4>
      </vt:variant>
      <vt:variant>
        <vt:i4>5</vt:i4>
      </vt:variant>
      <vt:variant>
        <vt:lpwstr>https://datacatalog.worldbank.org/dataset/world-development-indicators</vt:lpwstr>
      </vt:variant>
      <vt:variant>
        <vt:lpwstr/>
      </vt:variant>
      <vt:variant>
        <vt:i4>2097190</vt:i4>
      </vt:variant>
      <vt:variant>
        <vt:i4>33</vt:i4>
      </vt:variant>
      <vt:variant>
        <vt:i4>0</vt:i4>
      </vt:variant>
      <vt:variant>
        <vt:i4>5</vt:i4>
      </vt:variant>
      <vt:variant>
        <vt:lpwstr>https://pip.worldbank.org/home</vt:lpwstr>
      </vt:variant>
      <vt:variant>
        <vt:lpwstr/>
      </vt:variant>
      <vt:variant>
        <vt:i4>6422530</vt:i4>
      </vt:variant>
      <vt:variant>
        <vt:i4>30</vt:i4>
      </vt:variant>
      <vt:variant>
        <vt:i4>0</vt:i4>
      </vt:variant>
      <vt:variant>
        <vt:i4>5</vt:i4>
      </vt:variant>
      <vt:variant>
        <vt:lpwstr>http://www.paho.org/hq/index.php?option=com_content&amp;view=article&amp;id=11065%3A2015-universal-health-coverage-latin-america-caribbean&amp;catid=3316%3Apublications&amp;Itemid=3562&amp;lang=en</vt:lpwstr>
      </vt:variant>
      <vt:variant>
        <vt:lpwstr/>
      </vt:variant>
      <vt:variant>
        <vt:i4>4325383</vt:i4>
      </vt:variant>
      <vt:variant>
        <vt:i4>27</vt:i4>
      </vt:variant>
      <vt:variant>
        <vt:i4>0</vt:i4>
      </vt:variant>
      <vt:variant>
        <vt:i4>5</vt:i4>
      </vt:variant>
      <vt:variant>
        <vt:lpwstr>http://apps.searo.who.int/uhc</vt:lpwstr>
      </vt:variant>
      <vt:variant>
        <vt:lpwstr/>
      </vt:variant>
      <vt:variant>
        <vt:i4>524389</vt:i4>
      </vt:variant>
      <vt:variant>
        <vt:i4>24</vt:i4>
      </vt:variant>
      <vt:variant>
        <vt:i4>0</vt:i4>
      </vt:variant>
      <vt:variant>
        <vt:i4>5</vt:i4>
      </vt:variant>
      <vt:variant>
        <vt:lpwstr>http://applications.emro.who.int/dsaf/EMROPUB_2016_EN_19169.pdf?ua=1</vt:lpwstr>
      </vt:variant>
      <vt:variant>
        <vt:lpwstr/>
      </vt:variant>
      <vt:variant>
        <vt:i4>6225920</vt:i4>
      </vt:variant>
      <vt:variant>
        <vt:i4>21</vt:i4>
      </vt:variant>
      <vt:variant>
        <vt:i4>0</vt:i4>
      </vt:variant>
      <vt:variant>
        <vt:i4>5</vt:i4>
      </vt:variant>
      <vt:variant>
        <vt:lpwstr>http://www.euro.who.int/en/health-topics/Health-systems/health-systems-financing/publications/clusters/universal-health-coverage-financial-protection</vt:lpwstr>
      </vt:variant>
      <vt:variant>
        <vt:lpwstr/>
      </vt:variant>
      <vt:variant>
        <vt:i4>4915216</vt:i4>
      </vt:variant>
      <vt:variant>
        <vt:i4>18</vt:i4>
      </vt:variant>
      <vt:variant>
        <vt:i4>0</vt:i4>
      </vt:variant>
      <vt:variant>
        <vt:i4>5</vt:i4>
      </vt:variant>
      <vt:variant>
        <vt:lpwstr>http://www.who.int/healthinfo/indicators/2015/en/</vt:lpwstr>
      </vt:variant>
      <vt:variant>
        <vt:lpwstr/>
      </vt:variant>
      <vt:variant>
        <vt:i4>4456474</vt:i4>
      </vt:variant>
      <vt:variant>
        <vt:i4>15</vt:i4>
      </vt:variant>
      <vt:variant>
        <vt:i4>0</vt:i4>
      </vt:variant>
      <vt:variant>
        <vt:i4>5</vt:i4>
      </vt:variant>
      <vt:variant>
        <vt:lpwstr>http://unstats.un.org/sdgs/metadata/files/Metadata-01-01-01a.pdf</vt:lpwstr>
      </vt:variant>
      <vt:variant>
        <vt:lpwstr/>
      </vt:variant>
      <vt:variant>
        <vt:i4>4456474</vt:i4>
      </vt:variant>
      <vt:variant>
        <vt:i4>12</vt:i4>
      </vt:variant>
      <vt:variant>
        <vt:i4>0</vt:i4>
      </vt:variant>
      <vt:variant>
        <vt:i4>5</vt:i4>
      </vt:variant>
      <vt:variant>
        <vt:lpwstr>http://unstats.un.org/sdgs/metadata/files/Metadata-01-01-01a.pdf</vt:lpwstr>
      </vt:variant>
      <vt:variant>
        <vt:lpwstr/>
      </vt:variant>
      <vt:variant>
        <vt:i4>2883619</vt:i4>
      </vt:variant>
      <vt:variant>
        <vt:i4>9</vt:i4>
      </vt:variant>
      <vt:variant>
        <vt:i4>0</vt:i4>
      </vt:variant>
      <vt:variant>
        <vt:i4>5</vt:i4>
      </vt:variant>
      <vt:variant>
        <vt:lpwstr>http://www.ilo.org/public/english/bureau/stat/download/17thicls/r2hies.pdf</vt:lpwstr>
      </vt:variant>
      <vt:variant>
        <vt:lpwstr/>
      </vt:variant>
      <vt:variant>
        <vt:i4>8257652</vt:i4>
      </vt:variant>
      <vt:variant>
        <vt:i4>6</vt:i4>
      </vt:variant>
      <vt:variant>
        <vt:i4>0</vt:i4>
      </vt:variant>
      <vt:variant>
        <vt:i4>5</vt:i4>
      </vt:variant>
      <vt:variant>
        <vt:lpwstr>http://unstats.un.org/unsd/cr/registry/regcs.asp?Cl=5&amp;Lg=1&amp;Co=06.1</vt:lpwstr>
      </vt:variant>
      <vt:variant>
        <vt:lpwstr/>
      </vt:variant>
      <vt:variant>
        <vt:i4>8323188</vt:i4>
      </vt:variant>
      <vt:variant>
        <vt:i4>3</vt:i4>
      </vt:variant>
      <vt:variant>
        <vt:i4>0</vt:i4>
      </vt:variant>
      <vt:variant>
        <vt:i4>5</vt:i4>
      </vt:variant>
      <vt:variant>
        <vt:lpwstr>https://unstats.un.org/unsd/statcom/49th-session/documents/</vt:lpwstr>
      </vt:variant>
      <vt:variant>
        <vt:lpwstr/>
      </vt:variant>
      <vt:variant>
        <vt:i4>1310819</vt:i4>
      </vt:variant>
      <vt:variant>
        <vt:i4>0</vt:i4>
      </vt:variant>
      <vt:variant>
        <vt:i4>0</vt:i4>
      </vt:variant>
      <vt:variant>
        <vt:i4>5</vt:i4>
      </vt:variant>
      <vt:variant>
        <vt:lpwstr>http://www.oecd-ilibrary.org/social-issues-migration-health/a-system-of-health-accounts/classification-of-health-care-financing-schemes-icha-hf_9789264116016-9-en</vt:lpwstr>
      </vt:variant>
      <vt:variant>
        <vt:lpwstr/>
      </vt:variant>
      <vt:variant>
        <vt:i4>1769497</vt:i4>
      </vt:variant>
      <vt:variant>
        <vt:i4>3</vt:i4>
      </vt:variant>
      <vt:variant>
        <vt:i4>0</vt:i4>
      </vt:variant>
      <vt:variant>
        <vt:i4>5</vt:i4>
      </vt:variant>
      <vt:variant>
        <vt:lpwstr>https://www.who.int/data/gho/indicator-metadata-registry/imr-details/4845</vt:lpwstr>
      </vt:variant>
      <vt:variant>
        <vt:lpwstr/>
      </vt:variant>
      <vt:variant>
        <vt:i4>1769497</vt:i4>
      </vt:variant>
      <vt:variant>
        <vt:i4>0</vt:i4>
      </vt:variant>
      <vt:variant>
        <vt:i4>0</vt:i4>
      </vt:variant>
      <vt:variant>
        <vt:i4>5</vt:i4>
      </vt:variant>
      <vt:variant>
        <vt:lpwstr>https://www.who.int/data/gho/indicator-metadata-registry/imr-details/4844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FLORES PENTZKE SAINT-GERMAIN, Gabriela</dc:creator>
  <cp:lastModifiedBy>Harumi Shibata Salazar</cp:lastModifiedBy>
  <cp:revision>8</cp:revision>
  <cp:lastPrinted>2016-07-16T14:25:00Z</cp:lastPrinted>
  <dcterms:created xsi:type="dcterms:W3CDTF">2023-05-02T14:37:00Z</dcterms:created>
  <dcterms:modified xsi:type="dcterms:W3CDTF">2023-05-15T13:42:00Z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0x010100F91B58CA2382DD46BB50CCA2174312FD</vt:lpwstr>
  </property>
  <property fmtid="{D5CDD505-2E9C-101B-9397-08002B2CF9AE}" pid="3" name="GrammarlyDocumentId">
    <vt:lpwstr>f74cfd8a4f61a44a34ff2664e6c515e309d39a716dff395d66e50705470ff027</vt:lpwstr>
  </property>
  <property fmtid="{D5CDD505-2E9C-101B-9397-08002B2CF9AE}" pid="4" name="MediaServiceImageTags">
    <vt:lpwstr/>
  </property>
</Properties>
</file>